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小标宋简体" w:hAnsi="宋体" w:eastAsia="方正小标宋简体"/>
          <w:color w:val="FF0000"/>
          <w:spacing w:val="-11"/>
          <w:sz w:val="66"/>
          <w:szCs w:val="66"/>
        </w:rPr>
      </w:pPr>
      <w:bookmarkStart w:id="0" w:name="body"/>
      <w:bookmarkEnd w:id="0"/>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方正小标宋简体" w:hAnsi="宋体" w:eastAsia="方正小标宋简体"/>
          <w:color w:val="FF0000"/>
          <w:spacing w:val="-11"/>
          <w:sz w:val="52"/>
          <w:szCs w:val="52"/>
        </w:rPr>
      </w:pP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outlineLvl w:val="9"/>
        <w:rPr>
          <w:rFonts w:hint="eastAsia" w:ascii="仿宋_GB2312" w:eastAsia="仿宋_GB2312"/>
          <w:color w:val="FF0000"/>
          <w:spacing w:val="0"/>
          <w:sz w:val="66"/>
          <w:szCs w:val="66"/>
          <w:lang w:val="en-US"/>
        </w:rPr>
      </w:pPr>
      <w:r>
        <w:rPr>
          <w:rFonts w:hint="eastAsia" w:ascii="方正小标宋简体" w:hAnsi="宋体" w:eastAsia="方正小标宋简体"/>
          <w:color w:val="FF0000"/>
          <w:spacing w:val="0"/>
          <w:sz w:val="66"/>
          <w:szCs w:val="66"/>
        </w:rPr>
        <mc:AlternateContent>
          <mc:Choice Requires="wps">
            <w:drawing>
              <wp:anchor distT="0" distB="0" distL="114300" distR="114300" simplePos="0" relativeHeight="251659264" behindDoc="1" locked="0" layoutInCell="1" allowOverlap="1">
                <wp:simplePos x="0" y="0"/>
                <wp:positionH relativeFrom="column">
                  <wp:posOffset>4552950</wp:posOffset>
                </wp:positionH>
                <wp:positionV relativeFrom="paragraph">
                  <wp:posOffset>60325</wp:posOffset>
                </wp:positionV>
                <wp:extent cx="1505585" cy="975995"/>
                <wp:effectExtent l="0" t="0" r="18415" b="14605"/>
                <wp:wrapNone/>
                <wp:docPr id="1" name="矩形 1"/>
                <wp:cNvGraphicFramePr/>
                <a:graphic xmlns:a="http://schemas.openxmlformats.org/drawingml/2006/main">
                  <a:graphicData uri="http://schemas.microsoft.com/office/word/2010/wordprocessingShape">
                    <wps:wsp>
                      <wps:cNvSpPr/>
                      <wps:spPr>
                        <a:xfrm>
                          <a:off x="0" y="0"/>
                          <a:ext cx="1505585" cy="975995"/>
                        </a:xfrm>
                        <a:prstGeom prst="rect">
                          <a:avLst/>
                        </a:prstGeom>
                        <a:solidFill>
                          <a:srgbClr val="FFFFFF"/>
                        </a:solidFill>
                        <a:ln>
                          <a:noFill/>
                        </a:ln>
                      </wps:spPr>
                      <wps:txbx>
                        <w:txbxContent>
                          <w:p>
                            <w:pPr>
                              <w:jc w:val="center"/>
                              <w:rPr>
                                <w:rFonts w:hint="eastAsia" w:ascii="黑体" w:eastAsia="黑体"/>
                                <w:color w:val="FF0000"/>
                                <w:sz w:val="90"/>
                                <w:szCs w:val="90"/>
                              </w:rPr>
                            </w:pPr>
                            <w:r>
                              <w:rPr>
                                <w:rFonts w:hint="eastAsia" w:ascii="黑体" w:eastAsia="黑体"/>
                                <w:color w:val="FF0000"/>
                                <w:sz w:val="90"/>
                                <w:szCs w:val="90"/>
                              </w:rPr>
                              <w:t>文</w:t>
                            </w:r>
                            <w:r>
                              <w:rPr>
                                <w:rFonts w:hint="eastAsia" w:ascii="黑体" w:eastAsia="黑体"/>
                                <w:color w:val="FF0000"/>
                                <w:sz w:val="90"/>
                                <w:szCs w:val="90"/>
                                <w:lang w:val="en-US" w:eastAsia="zh-CN"/>
                              </w:rPr>
                              <w:t>件</w:t>
                            </w:r>
                          </w:p>
                          <w:p>
                            <w:pPr>
                              <w:rPr>
                                <w:rFonts w:hint="eastAsia" w:ascii="黑体" w:eastAsia="黑体"/>
                                <w:color w:val="FF0000"/>
                                <w:sz w:val="90"/>
                                <w:szCs w:val="90"/>
                              </w:rPr>
                            </w:pPr>
                            <w:r>
                              <w:rPr>
                                <w:rFonts w:hint="eastAsia" w:ascii="黑体" w:eastAsia="黑体"/>
                                <w:color w:val="FF0000"/>
                                <w:sz w:val="90"/>
                                <w:szCs w:val="90"/>
                              </w:rPr>
                              <w:t>件</w:t>
                            </w:r>
                          </w:p>
                        </w:txbxContent>
                      </wps:txbx>
                      <wps:bodyPr upright="1"/>
                    </wps:wsp>
                  </a:graphicData>
                </a:graphic>
              </wp:anchor>
            </w:drawing>
          </mc:Choice>
          <mc:Fallback>
            <w:pict>
              <v:rect id="_x0000_s1026" o:spid="_x0000_s1026" o:spt="1" style="position:absolute;left:0pt;margin-left:358.5pt;margin-top:4.75pt;height:76.85pt;width:118.55pt;z-index:-251657216;mso-width-relative:page;mso-height-relative:page;" fillcolor="#FFFFFF" filled="t" stroked="f" coordsize="21600,21600" o:gfxdata="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9SzvQ1wAAAAkBAAAPAAAAAAAAAAEAIAAAADgAAABkcnMv&#10;ZG93bnJldi54bWxQSwECFAAUAAAACACHTuJAHmoW57UBAABqAwAADgAAAAAAAAABACAAAAA8AQAA&#10;ZHJzL2Uyb0RvYy54bWxQSwUGAAAAAAYABgBZAQAAYwUAAAAA&#10;">
                <v:fill on="t" focussize="0,0"/>
                <v:stroke on="f"/>
                <v:imagedata o:title=""/>
                <o:lock v:ext="edit" aspectratio="f"/>
                <v:textbox>
                  <w:txbxContent>
                    <w:p>
                      <w:pPr>
                        <w:jc w:val="center"/>
                        <w:rPr>
                          <w:rFonts w:hint="eastAsia" w:ascii="黑体" w:eastAsia="黑体"/>
                          <w:color w:val="FF0000"/>
                          <w:sz w:val="90"/>
                          <w:szCs w:val="90"/>
                        </w:rPr>
                      </w:pPr>
                      <w:r>
                        <w:rPr>
                          <w:rFonts w:hint="eastAsia" w:ascii="黑体" w:eastAsia="黑体"/>
                          <w:color w:val="FF0000"/>
                          <w:sz w:val="90"/>
                          <w:szCs w:val="90"/>
                        </w:rPr>
                        <w:t>文</w:t>
                      </w:r>
                      <w:r>
                        <w:rPr>
                          <w:rFonts w:hint="eastAsia" w:ascii="黑体" w:eastAsia="黑体"/>
                          <w:color w:val="FF0000"/>
                          <w:sz w:val="90"/>
                          <w:szCs w:val="90"/>
                          <w:lang w:val="en-US" w:eastAsia="zh-CN"/>
                        </w:rPr>
                        <w:t>件</w:t>
                      </w:r>
                    </w:p>
                    <w:p>
                      <w:pPr>
                        <w:rPr>
                          <w:rFonts w:hint="eastAsia" w:ascii="黑体" w:eastAsia="黑体"/>
                          <w:color w:val="FF0000"/>
                          <w:sz w:val="90"/>
                          <w:szCs w:val="90"/>
                        </w:rPr>
                      </w:pPr>
                      <w:r>
                        <w:rPr>
                          <w:rFonts w:hint="eastAsia" w:ascii="黑体" w:eastAsia="黑体"/>
                          <w:color w:val="FF0000"/>
                          <w:sz w:val="90"/>
                          <w:szCs w:val="90"/>
                        </w:rPr>
                        <w:t>件</w:t>
                      </w:r>
                    </w:p>
                  </w:txbxContent>
                </v:textbox>
              </v:rect>
            </w:pict>
          </mc:Fallback>
        </mc:AlternateContent>
      </w:r>
      <w:r>
        <w:rPr>
          <w:rFonts w:hint="eastAsia" w:ascii="方正小标宋简体" w:hAnsi="宋体" w:eastAsia="方正小标宋简体"/>
          <w:color w:val="FF0000"/>
          <w:spacing w:val="0"/>
          <w:sz w:val="66"/>
          <w:szCs w:val="66"/>
        </w:rPr>
        <w:t>莆</w:t>
      </w:r>
      <w:r>
        <w:rPr>
          <w:rFonts w:hint="eastAsia" w:ascii="方正小标宋简体" w:hAnsi="宋体" w:eastAsia="方正小标宋简体"/>
          <w:color w:val="FF0000"/>
          <w:spacing w:val="0"/>
          <w:sz w:val="66"/>
          <w:szCs w:val="66"/>
          <w:lang w:val="en-US" w:eastAsia="zh-CN"/>
        </w:rPr>
        <w:t xml:space="preserve">  </w:t>
      </w:r>
      <w:r>
        <w:rPr>
          <w:rFonts w:hint="eastAsia" w:ascii="方正小标宋简体" w:hAnsi="宋体" w:eastAsia="方正小标宋简体"/>
          <w:color w:val="FF0000"/>
          <w:spacing w:val="0"/>
          <w:sz w:val="66"/>
          <w:szCs w:val="66"/>
        </w:rPr>
        <w:t>田</w:t>
      </w:r>
      <w:r>
        <w:rPr>
          <w:rFonts w:hint="eastAsia" w:ascii="方正小标宋简体" w:hAnsi="宋体" w:eastAsia="方正小标宋简体"/>
          <w:color w:val="FF0000"/>
          <w:spacing w:val="0"/>
          <w:sz w:val="66"/>
          <w:szCs w:val="66"/>
          <w:lang w:val="en-US" w:eastAsia="zh-CN"/>
        </w:rPr>
        <w:t xml:space="preserve">  </w:t>
      </w:r>
      <w:r>
        <w:rPr>
          <w:rFonts w:hint="eastAsia" w:ascii="方正小标宋简体" w:hAnsi="宋体" w:eastAsia="方正小标宋简体"/>
          <w:color w:val="FF0000"/>
          <w:spacing w:val="0"/>
          <w:sz w:val="66"/>
          <w:szCs w:val="66"/>
        </w:rPr>
        <w:t>市</w:t>
      </w:r>
      <w:r>
        <w:rPr>
          <w:rFonts w:hint="eastAsia" w:ascii="方正小标宋简体" w:hAnsi="宋体" w:eastAsia="方正小标宋简体"/>
          <w:color w:val="FF0000"/>
          <w:spacing w:val="0"/>
          <w:sz w:val="66"/>
          <w:szCs w:val="66"/>
          <w:lang w:val="en-US" w:eastAsia="zh-CN"/>
        </w:rPr>
        <w:t xml:space="preserve">  财  政  局</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outlineLvl w:val="9"/>
        <w:rPr>
          <w:rFonts w:hint="eastAsia" w:ascii="仿宋_GB2312" w:eastAsia="方正小标宋简体"/>
          <w:color w:val="FF0000"/>
          <w:spacing w:val="-11"/>
          <w:sz w:val="66"/>
          <w:szCs w:val="66"/>
          <w:lang w:val="en-US" w:eastAsia="zh-CN"/>
        </w:rPr>
      </w:pPr>
      <w:r>
        <w:rPr>
          <w:rFonts w:ascii="方正小标宋简体" w:hAnsi="宋体" w:eastAsia="方正小标宋简体"/>
          <w:color w:val="FF0000"/>
          <w:spacing w:val="-11"/>
          <w:sz w:val="66"/>
          <w:szCs w:val="66"/>
        </w:rPr>
        <w:t>莆</w:t>
      </w:r>
      <w:r>
        <w:rPr>
          <w:rFonts w:hint="eastAsia" w:ascii="方正小标宋简体" w:hAnsi="宋体" w:eastAsia="方正小标宋简体"/>
          <w:color w:val="FF0000"/>
          <w:spacing w:val="-11"/>
          <w:sz w:val="66"/>
          <w:szCs w:val="66"/>
        </w:rPr>
        <w:t xml:space="preserve"> </w:t>
      </w:r>
      <w:r>
        <w:rPr>
          <w:rFonts w:ascii="方正小标宋简体" w:hAnsi="宋体" w:eastAsia="方正小标宋简体"/>
          <w:color w:val="FF0000"/>
          <w:spacing w:val="-11"/>
          <w:sz w:val="66"/>
          <w:szCs w:val="66"/>
        </w:rPr>
        <w:t>田</w:t>
      </w:r>
      <w:r>
        <w:rPr>
          <w:rFonts w:hint="eastAsia" w:ascii="方正小标宋简体" w:hAnsi="宋体" w:eastAsia="方正小标宋简体"/>
          <w:color w:val="FF0000"/>
          <w:spacing w:val="-11"/>
          <w:sz w:val="66"/>
          <w:szCs w:val="66"/>
        </w:rPr>
        <w:t xml:space="preserve"> </w:t>
      </w:r>
      <w:r>
        <w:rPr>
          <w:rFonts w:ascii="方正小标宋简体" w:hAnsi="宋体" w:eastAsia="方正小标宋简体"/>
          <w:color w:val="FF0000"/>
          <w:spacing w:val="-11"/>
          <w:sz w:val="66"/>
          <w:szCs w:val="66"/>
        </w:rPr>
        <w:t>市</w:t>
      </w:r>
      <w:r>
        <w:rPr>
          <w:rFonts w:hint="eastAsia" w:ascii="方正小标宋简体" w:hAnsi="宋体" w:eastAsia="方正小标宋简体"/>
          <w:color w:val="FF0000"/>
          <w:spacing w:val="-11"/>
          <w:sz w:val="66"/>
          <w:szCs w:val="66"/>
          <w:lang w:val="en-US" w:eastAsia="zh-CN"/>
        </w:rPr>
        <w:t xml:space="preserve"> 城 市 管 理 局</w:t>
      </w:r>
    </w:p>
    <w:p>
      <w:pPr>
        <w:keepNext w:val="0"/>
        <w:keepLines w:val="0"/>
        <w:pageBreakBefore w:val="0"/>
        <w:widowControl w:val="0"/>
        <w:kinsoku/>
        <w:wordWrap/>
        <w:overflowPunct/>
        <w:topLinePunct w:val="0"/>
        <w:autoSpaceDE/>
        <w:autoSpaceDN/>
        <w:bidi w:val="0"/>
        <w:adjustRightInd/>
        <w:snapToGrid/>
        <w:spacing w:before="0" w:beforeLines="0" w:after="0" w:afterLines="0" w:line="220" w:lineRule="exact"/>
        <w:ind w:left="0" w:leftChars="0" w:right="0" w:rightChars="0" w:firstLine="0" w:firstLineChars="0"/>
        <w:jc w:val="both"/>
        <w:textAlignment w:val="auto"/>
        <w:outlineLvl w:val="9"/>
        <w:rPr>
          <w:rFonts w:hint="eastAsia" w:ascii="仿宋_GB2312" w:eastAsia="宋体"/>
          <w:sz w:val="32"/>
          <w:szCs w:val="32"/>
          <w:lang w:val="en-US" w:eastAsia="zh-CN"/>
        </w:rPr>
      </w:pPr>
      <w:r>
        <w:rPr>
          <w:rFonts w:hint="eastAsia" w:ascii="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312" w:beforeLines="100" w:line="240" w:lineRule="atLeast"/>
        <w:ind w:left="0" w:leftChars="0" w:right="0" w:rightChars="0" w:firstLine="0" w:firstLineChars="0"/>
        <w:jc w:val="both"/>
        <w:textAlignment w:val="auto"/>
        <w:outlineLvl w:val="9"/>
        <w:rPr>
          <w:rFonts w:hint="eastAsia" w:ascii="仿宋" w:hAnsi="仿宋" w:eastAsia="仿宋" w:cs="宋体"/>
          <w:kern w:val="0"/>
          <w:szCs w:val="20"/>
          <w:lang w:val="en-US" w:eastAsia="zh-CN"/>
        </w:rPr>
      </w:pPr>
      <w:r>
        <w:rPr>
          <w:rFonts w:hint="eastAsia" w:ascii="仿宋" w:hAnsi="仿宋" w:eastAsia="仿宋"/>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tabs>
          <w:tab w:val="left" w:pos="690"/>
          <w:tab w:val="center" w:pos="4422"/>
        </w:tabs>
        <w:kinsoku/>
        <w:wordWrap/>
        <w:overflowPunct/>
        <w:topLinePunct w:val="0"/>
        <w:autoSpaceDE/>
        <w:autoSpaceDN/>
        <w:bidi w:val="0"/>
        <w:adjustRightInd w:val="0"/>
        <w:snapToGrid w:val="0"/>
        <w:spacing w:line="240" w:lineRule="atLeast"/>
        <w:ind w:left="0" w:leftChars="0" w:right="204" w:rightChars="97"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kern w:val="0"/>
          <w:sz w:val="32"/>
          <w:szCs w:val="32"/>
          <w:lang w:val="zh-CN"/>
        </w:rPr>
        <w:t>莆</w:t>
      </w:r>
      <w:r>
        <w:rPr>
          <w:rFonts w:hint="eastAsia" w:ascii="仿宋_GB2312" w:hAnsi="仿宋_GB2312" w:eastAsia="仿宋_GB2312" w:cs="仿宋_GB2312"/>
          <w:kern w:val="0"/>
          <w:sz w:val="32"/>
          <w:szCs w:val="32"/>
          <w:lang w:val="en-US" w:eastAsia="zh-CN"/>
        </w:rPr>
        <w:t>财建</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lang w:val="zh-CN"/>
        </w:rPr>
        <w:t>号</w:t>
      </w:r>
    </w:p>
    <w:p>
      <w:pPr>
        <w:spacing w:line="280" w:lineRule="exact"/>
        <w:rPr>
          <w:rFonts w:hint="eastAsia" w:ascii="仿宋_GB2312"/>
          <w:sz w:val="34"/>
          <w:szCs w:val="34"/>
        </w:rPr>
      </w:pPr>
      <w:r>
        <w:rPr>
          <w:rFonts w:hint="eastAsia" w:ascii="仿宋_GB2312" w:eastAsia="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28575</wp:posOffset>
                </wp:positionV>
                <wp:extent cx="5657215" cy="10160"/>
                <wp:effectExtent l="0" t="28575" r="635" b="37465"/>
                <wp:wrapNone/>
                <wp:docPr id="2" name="直接连接符 2"/>
                <wp:cNvGraphicFramePr/>
                <a:graphic xmlns:a="http://schemas.openxmlformats.org/drawingml/2006/main">
                  <a:graphicData uri="http://schemas.microsoft.com/office/word/2010/wordprocessingShape">
                    <wps:wsp>
                      <wps:cNvCnPr/>
                      <wps:spPr>
                        <a:xfrm>
                          <a:off x="0" y="0"/>
                          <a:ext cx="5657215" cy="1016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5pt;height:0.8pt;width:445.45pt;z-index:251660288;mso-width-relative:page;mso-height-relative:page;" filled="f" stroked="t" coordsize="21600,21600" o:gfxdata="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sNuSadMAAAAEAQAADwAAAAAAAAABACAA&#10;AAA4AAAAZHJzL2Rvd25yZXYueG1sUEsBAhQAFAAAAAgAh07iQB/Db378AQAA6QMAAA4AAAAAAAAA&#10;AQAgAAAAOAEAAGRycy9lMm9Eb2MueG1sUEsFBgAAAAAGAAYAWQEAAKYFAAAAAA==&#10;">
                <v:fill on="f" focussize="0,0"/>
                <v:stroke weight="4.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莆田市财政局    莆田市城市管理局</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 w:hAnsi="仿宋" w:eastAsia="方正小标宋简体"/>
          <w:sz w:val="44"/>
          <w:szCs w:val="44"/>
          <w:lang w:val="en-US" w:eastAsia="zh-CN"/>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eastAsia="zh-CN"/>
        </w:rPr>
        <w:t>环境卫生治理专项资金</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各县（区、管委会）</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（财金局）</w:t>
      </w:r>
      <w:r>
        <w:rPr>
          <w:rFonts w:hint="eastAsia" w:ascii="仿宋_GB2312" w:hAnsi="仿宋_GB2312" w:eastAsia="仿宋_GB2312" w:cs="仿宋_GB2312"/>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0" w:beforeAutospacing="0" w:after="0" w:afterAutospacing="0" w:line="560" w:lineRule="atLeas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《莆田市财政局关于批复2024年市城市管理局预算和绩效目标的通知》（莆财预</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val="zh-CN"/>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文件精神，</w:t>
      </w:r>
      <w:bookmarkStart w:id="1" w:name="_GoBack"/>
      <w:bookmarkEnd w:id="1"/>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从环境卫生治理专项</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中下达农村人居环境治理资金</w:t>
      </w:r>
      <w:r>
        <w:rPr>
          <w:rFonts w:hint="eastAsia" w:ascii="仿宋_GB2312" w:hAnsi="仿宋_GB2312" w:eastAsia="仿宋_GB2312" w:cs="仿宋_GB2312"/>
          <w:color w:val="auto"/>
          <w:sz w:val="32"/>
          <w:szCs w:val="32"/>
          <w:lang w:val="en-US" w:eastAsia="zh-CN"/>
        </w:rPr>
        <w:t>400</w:t>
      </w:r>
      <w:r>
        <w:rPr>
          <w:rFonts w:hint="eastAsia" w:ascii="仿宋_GB2312" w:hAnsi="仿宋_GB2312" w:eastAsia="仿宋_GB2312" w:cs="仿宋_GB2312"/>
          <w:color w:val="auto"/>
          <w:sz w:val="32"/>
          <w:szCs w:val="32"/>
        </w:rPr>
        <w:t>万元，其中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其中仙游县</w:t>
      </w:r>
      <w:r>
        <w:rPr>
          <w:rFonts w:hint="eastAsia" w:ascii="仿宋_GB2312" w:hAnsi="仿宋_GB2312" w:eastAsia="仿宋_GB2312" w:cs="仿宋_GB2312"/>
          <w:color w:val="auto"/>
          <w:sz w:val="32"/>
          <w:szCs w:val="32"/>
          <w:lang w:val="en-US" w:eastAsia="zh-CN"/>
        </w:rPr>
        <w:t>140.13</w:t>
      </w:r>
      <w:r>
        <w:rPr>
          <w:rFonts w:hint="eastAsia" w:ascii="仿宋_GB2312" w:hAnsi="仿宋_GB2312" w:eastAsia="仿宋_GB2312" w:cs="仿宋_GB2312"/>
          <w:color w:val="auto"/>
          <w:sz w:val="32"/>
          <w:szCs w:val="32"/>
        </w:rPr>
        <w:t>万元，荔城区</w:t>
      </w:r>
      <w:r>
        <w:rPr>
          <w:rFonts w:hint="eastAsia" w:ascii="仿宋_GB2312" w:hAnsi="仿宋_GB2312" w:eastAsia="仿宋_GB2312" w:cs="仿宋_GB2312"/>
          <w:color w:val="auto"/>
          <w:sz w:val="32"/>
          <w:szCs w:val="32"/>
          <w:lang w:val="en-US" w:eastAsia="zh-CN"/>
        </w:rPr>
        <w:t>49.9</w:t>
      </w:r>
      <w:r>
        <w:rPr>
          <w:rFonts w:hint="eastAsia" w:ascii="仿宋_GB2312" w:hAnsi="仿宋_GB2312" w:eastAsia="仿宋_GB2312" w:cs="仿宋_GB2312"/>
          <w:color w:val="auto"/>
          <w:sz w:val="32"/>
          <w:szCs w:val="32"/>
        </w:rPr>
        <w:t>万元，城厢区</w:t>
      </w:r>
      <w:r>
        <w:rPr>
          <w:rFonts w:hint="eastAsia" w:ascii="仿宋_GB2312" w:hAnsi="仿宋_GB2312" w:eastAsia="仿宋_GB2312" w:cs="仿宋_GB2312"/>
          <w:color w:val="auto"/>
          <w:sz w:val="32"/>
          <w:szCs w:val="32"/>
          <w:lang w:val="en-US" w:eastAsia="zh-CN"/>
        </w:rPr>
        <w:t>45.21</w:t>
      </w:r>
      <w:r>
        <w:rPr>
          <w:rFonts w:hint="eastAsia" w:ascii="仿宋_GB2312" w:hAnsi="仿宋_GB2312" w:eastAsia="仿宋_GB2312" w:cs="仿宋_GB2312"/>
          <w:color w:val="auto"/>
          <w:sz w:val="32"/>
          <w:szCs w:val="32"/>
        </w:rPr>
        <w:t>万元，涵江区</w:t>
      </w:r>
      <w:r>
        <w:rPr>
          <w:rFonts w:hint="eastAsia" w:ascii="仿宋_GB2312" w:hAnsi="仿宋_GB2312" w:eastAsia="仿宋_GB2312" w:cs="仿宋_GB2312"/>
          <w:color w:val="auto"/>
          <w:sz w:val="32"/>
          <w:szCs w:val="32"/>
          <w:lang w:val="en-US" w:eastAsia="zh-CN"/>
        </w:rPr>
        <w:t>33.24</w:t>
      </w:r>
      <w:r>
        <w:rPr>
          <w:rFonts w:hint="eastAsia" w:ascii="仿宋_GB2312" w:hAnsi="仿宋_GB2312" w:eastAsia="仿宋_GB2312" w:cs="仿宋_GB2312"/>
          <w:color w:val="auto"/>
          <w:spacing w:val="-6"/>
          <w:sz w:val="32"/>
          <w:szCs w:val="32"/>
        </w:rPr>
        <w:t>万元</w:t>
      </w:r>
      <w:r>
        <w:rPr>
          <w:rFonts w:hint="eastAsia" w:ascii="仿宋_GB2312" w:hAnsi="仿宋_GB2312" w:eastAsia="仿宋_GB2312" w:cs="仿宋_GB2312"/>
          <w:color w:val="auto"/>
          <w:sz w:val="32"/>
          <w:szCs w:val="32"/>
        </w:rPr>
        <w:t>，秀屿区</w:t>
      </w:r>
      <w:r>
        <w:rPr>
          <w:rFonts w:hint="eastAsia" w:ascii="仿宋_GB2312" w:hAnsi="仿宋_GB2312" w:eastAsia="仿宋_GB2312" w:cs="仿宋_GB2312"/>
          <w:color w:val="auto"/>
          <w:sz w:val="32"/>
          <w:szCs w:val="32"/>
          <w:lang w:val="en-US" w:eastAsia="zh-CN"/>
        </w:rPr>
        <w:t>104.61</w:t>
      </w:r>
      <w:r>
        <w:rPr>
          <w:rFonts w:hint="eastAsia" w:ascii="仿宋_GB2312" w:hAnsi="仿宋_GB2312" w:eastAsia="仿宋_GB2312" w:cs="仿宋_GB2312"/>
          <w:color w:val="auto"/>
          <w:sz w:val="32"/>
          <w:szCs w:val="32"/>
        </w:rPr>
        <w:t>万元，湄洲岛</w:t>
      </w:r>
      <w:r>
        <w:rPr>
          <w:rFonts w:hint="eastAsia" w:ascii="仿宋_GB2312" w:hAnsi="仿宋_GB2312" w:eastAsia="仿宋_GB2312" w:cs="仿宋_GB2312"/>
          <w:color w:val="auto"/>
          <w:sz w:val="32"/>
          <w:szCs w:val="32"/>
          <w:lang w:val="en-US" w:eastAsia="zh-CN"/>
        </w:rPr>
        <w:t>4.38</w:t>
      </w:r>
      <w:r>
        <w:rPr>
          <w:rFonts w:hint="eastAsia" w:ascii="仿宋_GB2312" w:hAnsi="仿宋_GB2312" w:eastAsia="仿宋_GB2312" w:cs="仿宋_GB2312"/>
          <w:color w:val="auto"/>
          <w:sz w:val="32"/>
          <w:szCs w:val="32"/>
        </w:rPr>
        <w:t>万元，北岸</w:t>
      </w:r>
      <w:r>
        <w:rPr>
          <w:rFonts w:hint="eastAsia" w:ascii="仿宋_GB2312" w:hAnsi="仿宋_GB2312" w:eastAsia="仿宋_GB2312" w:cs="仿宋_GB2312"/>
          <w:color w:val="auto"/>
          <w:sz w:val="32"/>
          <w:szCs w:val="32"/>
          <w:lang w:val="en-US" w:eastAsia="zh-CN"/>
        </w:rPr>
        <w:t>22.53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支出功能分类科目：2120816-农业农村生态环境支出。政府预算支出经济分类科目：51301-上下级政府间转移性支出。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请加强资金管理，确保专款专用。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附件：专项资金绩效目标表</w:t>
      </w:r>
    </w:p>
    <w:p>
      <w:pPr>
        <w:keepNext w:val="0"/>
        <w:keepLines w:val="0"/>
        <w:pageBreakBefore w:val="0"/>
        <w:widowControl w:val="0"/>
        <w:tabs>
          <w:tab w:val="right" w:pos="8204"/>
        </w:tabs>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204"/>
        </w:tabs>
        <w:kinsoku/>
        <w:wordWrap/>
        <w:overflowPunct/>
        <w:topLinePunct w:val="0"/>
        <w:autoSpaceDE/>
        <w:autoSpaceDN/>
        <w:bidi w:val="0"/>
        <w:adjustRightInd w:val="0"/>
        <w:snapToGrid w:val="0"/>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24" w:firstLine="960" w:firstLineChars="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莆田市财政局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莆田市城市管理局</w:t>
      </w:r>
    </w:p>
    <w:p>
      <w:pPr>
        <w:keepNext w:val="0"/>
        <w:keepLines w:val="0"/>
        <w:pageBreakBefore w:val="0"/>
        <w:widowControl w:val="0"/>
        <w:tabs>
          <w:tab w:val="left" w:pos="8820"/>
        </w:tabs>
        <w:kinsoku/>
        <w:wordWrap/>
        <w:overflowPunct/>
        <w:topLinePunct w:val="0"/>
        <w:autoSpaceDE/>
        <w:autoSpaceDN/>
        <w:bidi w:val="0"/>
        <w:adjustRightInd/>
        <w:snapToGrid/>
        <w:spacing w:after="156" w:line="560" w:lineRule="exact"/>
        <w:ind w:right="23" w:rightChars="11" w:firstLine="5440" w:firstLineChars="17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keepNext w:val="0"/>
        <w:keepLines w:val="0"/>
        <w:pageBreakBefore w:val="0"/>
        <w:widowControl w:val="0"/>
        <w:tabs>
          <w:tab w:val="left" w:pos="8820"/>
        </w:tabs>
        <w:kinsoku/>
        <w:wordWrap/>
        <w:overflowPunct/>
        <w:topLinePunct w:val="0"/>
        <w:autoSpaceDE/>
        <w:autoSpaceDN/>
        <w:bidi w:val="0"/>
        <w:adjustRightInd/>
        <w:snapToGrid/>
        <w:spacing w:before="0" w:beforeLines="0" w:after="0" w:afterLines="0" w:line="560" w:lineRule="exact"/>
        <w:ind w:right="21" w:rightChars="1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8820"/>
        </w:tabs>
        <w:kinsoku/>
        <w:wordWrap/>
        <w:overflowPunct/>
        <w:topLinePunct w:val="0"/>
        <w:autoSpaceDE/>
        <w:autoSpaceDN/>
        <w:bidi w:val="0"/>
        <w:adjustRightInd/>
        <w:snapToGrid/>
        <w:spacing w:before="0" w:beforeLines="0" w:after="0" w:afterLines="0" w:line="560" w:lineRule="exact"/>
        <w:ind w:right="21" w:rightChars="1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8820"/>
        </w:tabs>
        <w:kinsoku/>
        <w:wordWrap/>
        <w:overflowPunct/>
        <w:topLinePunct w:val="0"/>
        <w:autoSpaceDE/>
        <w:autoSpaceDN/>
        <w:bidi w:val="0"/>
        <w:adjustRightInd/>
        <w:snapToGrid/>
        <w:spacing w:line="560" w:lineRule="exact"/>
        <w:ind w:right="23" w:rightChars="11" w:firstLine="640" w:firstLineChars="200"/>
        <w:textAlignment w:val="auto"/>
        <w:outlineLvl w:val="9"/>
        <w:rPr>
          <w:rFonts w:hint="eastAsia" w:ascii="仿宋_GB2312" w:hAnsi="仿宋_GB2312" w:eastAsia="仿宋_GB2312" w:cs="仿宋_GB2312"/>
          <w:sz w:val="32"/>
          <w:szCs w:val="32"/>
          <w:lang w:val="en-US" w:eastAsia="zh-CN"/>
        </w:rPr>
        <w:sectPr>
          <w:footerReference r:id="rId5" w:type="first"/>
          <w:footerReference r:id="rId3" w:type="default"/>
          <w:footerReference r:id="rId4" w:type="even"/>
          <w:pgSz w:w="11906" w:h="16838"/>
          <w:pgMar w:top="1701" w:right="1474" w:bottom="1587" w:left="1588" w:header="851" w:footer="1134" w:gutter="0"/>
          <w:pgNumType w:fmt="numberInDash"/>
          <w:cols w:space="720" w:num="1"/>
          <w:titlePg/>
          <w:docGrid w:type="lines" w:linePitch="315" w:charSpace="0"/>
        </w:sect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此件主动公开</w:t>
      </w:r>
      <w:r>
        <w:rPr>
          <w:rFonts w:hint="eastAsia" w:ascii="仿宋_GB2312" w:hAnsi="仿宋_GB2312" w:eastAsia="仿宋_GB2312" w:cs="仿宋_GB2312"/>
          <w:sz w:val="32"/>
          <w:szCs w:val="32"/>
          <w:lang w:eastAsia="zh-CN"/>
        </w:rPr>
        <w:t>）</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
        <w:gridCol w:w="13589"/>
        <w:gridCol w:w="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gridAfter w:val="1"/>
          <w:wBefore w:w="93" w:type="dxa"/>
          <w:wAfter w:w="1203" w:type="dxa"/>
          <w:trHeight w:val="586" w:hRule="atLeast"/>
        </w:trPr>
        <w:tc>
          <w:tcPr>
            <w:tcW w:w="1358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outlineLvl w:val="9"/>
              <w:rPr>
                <w:rFonts w:ascii="黑体" w:hAnsi="宋体" w:eastAsia="黑体" w:cs="黑体"/>
                <w:i w:val="0"/>
                <w:color w:val="000000"/>
                <w:sz w:val="28"/>
                <w:szCs w:val="28"/>
                <w:u w:val="none"/>
              </w:rPr>
            </w:pPr>
            <w:r>
              <w:rPr>
                <w:rFonts w:hint="eastAsia" w:ascii="黑体" w:hAnsi="宋体" w:eastAsia="黑体" w:cs="黑体"/>
                <w:i w:val="0"/>
                <w:color w:val="000000"/>
                <w:kern w:val="0"/>
                <w:sz w:val="32"/>
                <w:szCs w:val="32"/>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3980" w:type="dxa"/>
            <w:gridSpan w:val="3"/>
            <w:noWrap w:val="0"/>
            <w:vAlign w:val="top"/>
          </w:tcPr>
          <w:p>
            <w:pPr>
              <w:kinsoku/>
              <w:autoSpaceDE/>
              <w:autoSpaceDN w:val="0"/>
              <w:ind w:left="0" w:leftChars="0" w:right="0" w:rightChars="0" w:firstLine="0" w:firstLineChars="0"/>
              <w:jc w:val="center"/>
              <w:textAlignment w:val="center"/>
              <w:rPr>
                <w:rFonts w:hint="eastAsia" w:ascii="仿宋" w:hAnsi="仿宋" w:eastAsia="仿宋" w:cs="仿宋"/>
                <w:b w:val="0"/>
                <w:i w:val="0"/>
                <w:snapToGrid/>
                <w:color w:val="auto"/>
                <w:sz w:val="24"/>
                <w:u w:val="none"/>
                <w:lang w:eastAsia="zh-CN"/>
              </w:rPr>
            </w:pPr>
            <w:r>
              <w:rPr>
                <w:rFonts w:hint="eastAsia" w:ascii="方正小标宋简体" w:hAnsi="方正小标宋简体" w:eastAsia="方正小标宋简体" w:cs="方正小标宋简体"/>
                <w:i w:val="0"/>
                <w:color w:val="auto"/>
                <w:kern w:val="0"/>
                <w:sz w:val="44"/>
                <w:szCs w:val="44"/>
                <w:u w:val="none"/>
                <w:lang w:val="en-US" w:eastAsia="zh-CN"/>
              </w:rPr>
              <w:t>专项资金绩效目标表</w:t>
            </w:r>
          </w:p>
        </w:tc>
      </w:tr>
    </w:tbl>
    <w:p>
      <w:pPr>
        <w:rPr>
          <w:color w:val="auto"/>
        </w:rPr>
      </w:pPr>
    </w:p>
    <w:tbl>
      <w:tblPr>
        <w:tblStyle w:val="5"/>
        <w:tblW w:w="137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3"/>
        <w:gridCol w:w="1911"/>
        <w:gridCol w:w="2194"/>
        <w:gridCol w:w="2911"/>
        <w:gridCol w:w="1242"/>
        <w:gridCol w:w="990"/>
        <w:gridCol w:w="990"/>
        <w:gridCol w:w="990"/>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项目名称</w:t>
            </w:r>
          </w:p>
        </w:tc>
        <w:tc>
          <w:tcPr>
            <w:tcW w:w="12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lang w:eastAsia="zh-CN"/>
              </w:rPr>
            </w:pPr>
            <w:r>
              <w:rPr>
                <w:rFonts w:hint="eastAsia" w:ascii="仿宋_GB2312" w:hAnsi="仿宋_GB2312" w:eastAsia="仿宋_GB2312" w:cs="仿宋_GB2312"/>
                <w:i w:val="0"/>
                <w:iCs w:val="0"/>
                <w:color w:val="auto"/>
                <w:sz w:val="22"/>
                <w:szCs w:val="22"/>
                <w:u w:val="none"/>
              </w:rPr>
              <w:t>环境卫生治理专项资金</w:t>
            </w:r>
            <w:r>
              <w:rPr>
                <w:rFonts w:hint="eastAsia" w:ascii="仿宋_GB2312" w:hAnsi="仿宋_GB2312" w:eastAsia="仿宋_GB2312" w:cs="仿宋_GB2312"/>
                <w:i w:val="0"/>
                <w:iCs w:val="0"/>
                <w:color w:val="auto"/>
                <w:sz w:val="22"/>
                <w:szCs w:val="22"/>
                <w:u w:val="none"/>
                <w:lang w:eastAsia="zh-CN"/>
              </w:rPr>
              <w:t>（转移县区）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项目负责人</w:t>
            </w:r>
          </w:p>
        </w:tc>
        <w:tc>
          <w:tcPr>
            <w:tcW w:w="7016"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郑金清</w:t>
            </w:r>
          </w:p>
        </w:tc>
        <w:tc>
          <w:tcPr>
            <w:tcW w:w="223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联系电话</w:t>
            </w:r>
          </w:p>
        </w:tc>
        <w:tc>
          <w:tcPr>
            <w:tcW w:w="29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0594-2626233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项目起止时间</w:t>
            </w:r>
          </w:p>
        </w:tc>
        <w:tc>
          <w:tcPr>
            <w:tcW w:w="12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2024年1月1日-2024年12月31日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项目立项依据</w:t>
            </w:r>
          </w:p>
        </w:tc>
        <w:tc>
          <w:tcPr>
            <w:tcW w:w="12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莆田市人民政府关于进一步改善农村人居环境共建美丽乡村的实施意见》（莆政综[2016]133号）、《莆田市人民政府关于印发莆田市推进全市农村生活垃圾治理三年提升专项行动实施方案的通知》（莆政综[2015]60号）、《莆田市生活垃圾分类工作领导小组关于印发&lt;关于进一步推进生活垃圾分类工作的实施方案&gt;的通知》(莆分类〔2022〕1号)、《莆田市人民政府办公室关于印发莆田市中心城区环境卫生管理体制改革方案（试行）的通知》（莆政办〔2007〕113号文）、市政府阅办单〔2015〕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实施期</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总体目标</w:t>
            </w:r>
          </w:p>
        </w:tc>
        <w:tc>
          <w:tcPr>
            <w:tcW w:w="1222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进一步推进农村生活垃圾治理、城区生活垃圾分类和中心城区环卫作业、河道保洁工作，实现城乡环境卫生长效治理、生活垃圾治理全覆盖、全市城市建成区全面开展生活垃圾分类工作。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资金情况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（万元）</w:t>
            </w:r>
          </w:p>
        </w:tc>
        <w:tc>
          <w:tcPr>
            <w:tcW w:w="92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资金总额：</w:t>
            </w:r>
          </w:p>
        </w:tc>
        <w:tc>
          <w:tcPr>
            <w:tcW w:w="29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1857.30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auto"/>
                <w:sz w:val="22"/>
                <w:szCs w:val="22"/>
                <w:u w:val="none"/>
              </w:rPr>
            </w:pPr>
          </w:p>
        </w:tc>
        <w:tc>
          <w:tcPr>
            <w:tcW w:w="9248" w:type="dxa"/>
            <w:gridSpan w:val="5"/>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其中：财政拨款</w:t>
            </w:r>
          </w:p>
        </w:tc>
        <w:tc>
          <w:tcPr>
            <w:tcW w:w="29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1857.30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auto"/>
                <w:sz w:val="22"/>
                <w:szCs w:val="22"/>
                <w:u w:val="none"/>
              </w:rPr>
            </w:pPr>
          </w:p>
        </w:tc>
        <w:tc>
          <w:tcPr>
            <w:tcW w:w="9248" w:type="dxa"/>
            <w:gridSpan w:val="5"/>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其他资金</w:t>
            </w:r>
          </w:p>
        </w:tc>
        <w:tc>
          <w:tcPr>
            <w:tcW w:w="2973"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一级指标</w:t>
            </w:r>
          </w:p>
        </w:tc>
        <w:tc>
          <w:tcPr>
            <w:tcW w:w="191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二级指标</w:t>
            </w:r>
          </w:p>
        </w:tc>
        <w:tc>
          <w:tcPr>
            <w:tcW w:w="21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三级指标</w:t>
            </w:r>
          </w:p>
        </w:tc>
        <w:tc>
          <w:tcPr>
            <w:tcW w:w="4153"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内涵解释</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指标性质</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指标</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方向</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目标值</w:t>
            </w:r>
          </w:p>
        </w:tc>
        <w:tc>
          <w:tcPr>
            <w:tcW w:w="993"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计量</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6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成本指标</w:t>
            </w:r>
          </w:p>
        </w:tc>
        <w:tc>
          <w:tcPr>
            <w:tcW w:w="191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经济成本指标</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default" w:ascii="仿宋_GB2312" w:hAnsi="仿宋_GB2312" w:eastAsia="仿宋_GB2312" w:cs="仿宋_GB2312"/>
                <w:i w:val="0"/>
                <w:iCs w:val="0"/>
                <w:color w:val="auto"/>
                <w:kern w:val="0"/>
                <w:sz w:val="22"/>
                <w:szCs w:val="22"/>
                <w:u w:val="none"/>
                <w:lang w:val="en-US" w:eastAsia="zh-CN" w:bidi="ar"/>
              </w:rPr>
              <w:t>中心城区环卫作业保洁经费</w:t>
            </w:r>
            <w:r>
              <w:rPr>
                <w:rFonts w:hint="eastAsia" w:ascii="仿宋_GB2312" w:hAnsi="仿宋_GB2312" w:eastAsia="仿宋_GB2312" w:cs="仿宋_GB2312"/>
                <w:i w:val="0"/>
                <w:iCs w:val="0"/>
                <w:color w:val="auto"/>
                <w:kern w:val="0"/>
                <w:sz w:val="22"/>
                <w:szCs w:val="22"/>
                <w:u w:val="none"/>
                <w:lang w:val="en-US" w:eastAsia="zh-CN" w:bidi="ar"/>
              </w:rPr>
              <w:t>单位</w:t>
            </w:r>
            <w:r>
              <w:rPr>
                <w:rFonts w:hint="default" w:ascii="仿宋_GB2312" w:hAnsi="仿宋_GB2312" w:eastAsia="仿宋_GB2312" w:cs="仿宋_GB2312"/>
                <w:i w:val="0"/>
                <w:iCs w:val="0"/>
                <w:color w:val="auto"/>
                <w:kern w:val="0"/>
                <w:sz w:val="22"/>
                <w:szCs w:val="22"/>
                <w:u w:val="none"/>
                <w:lang w:val="en-US" w:eastAsia="zh-CN" w:bidi="ar"/>
              </w:rPr>
              <w:t>成本</w:t>
            </w:r>
          </w:p>
        </w:tc>
        <w:tc>
          <w:tcPr>
            <w:tcW w:w="4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反映</w:t>
            </w:r>
            <w:r>
              <w:rPr>
                <w:rFonts w:hint="default" w:ascii="仿宋_GB2312" w:hAnsi="仿宋_GB2312" w:eastAsia="仿宋_GB2312" w:cs="仿宋_GB2312"/>
                <w:i w:val="0"/>
                <w:iCs w:val="0"/>
                <w:color w:val="auto"/>
                <w:kern w:val="0"/>
                <w:sz w:val="22"/>
                <w:szCs w:val="22"/>
                <w:u w:val="none"/>
                <w:lang w:val="en-US" w:eastAsia="zh-CN" w:bidi="ar"/>
              </w:rPr>
              <w:t>中心城区环卫作业保洁经费</w:t>
            </w:r>
            <w:r>
              <w:rPr>
                <w:rFonts w:hint="eastAsia" w:ascii="仿宋_GB2312" w:hAnsi="仿宋_GB2312" w:eastAsia="仿宋_GB2312" w:cs="仿宋_GB2312"/>
                <w:i w:val="0"/>
                <w:iCs w:val="0"/>
                <w:color w:val="auto"/>
                <w:kern w:val="0"/>
                <w:sz w:val="22"/>
                <w:szCs w:val="22"/>
                <w:u w:val="none"/>
                <w:lang w:val="en-US" w:eastAsia="zh-CN" w:bidi="ar"/>
              </w:rPr>
              <w:t>单位</w:t>
            </w:r>
            <w:r>
              <w:rPr>
                <w:rFonts w:hint="default" w:ascii="仿宋_GB2312" w:hAnsi="仿宋_GB2312" w:eastAsia="仿宋_GB2312" w:cs="仿宋_GB2312"/>
                <w:i w:val="0"/>
                <w:iCs w:val="0"/>
                <w:color w:val="auto"/>
                <w:kern w:val="0"/>
                <w:sz w:val="22"/>
                <w:szCs w:val="22"/>
                <w:u w:val="none"/>
                <w:lang w:val="en-US" w:eastAsia="zh-CN" w:bidi="ar"/>
              </w:rPr>
              <w:t>成本</w:t>
            </w:r>
          </w:p>
        </w:tc>
        <w:tc>
          <w:tcPr>
            <w:tcW w:w="990" w:type="dxa"/>
            <w:tcBorders>
              <w:top w:val="nil"/>
              <w:left w:val="nil"/>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反向</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&lt;=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default" w:ascii="仿宋_GB2312" w:hAnsi="仿宋_GB2312" w:eastAsia="仿宋_GB2312" w:cs="仿宋_GB2312"/>
                <w:i w:val="0"/>
                <w:iCs w:val="0"/>
                <w:color w:val="auto"/>
                <w:kern w:val="0"/>
                <w:sz w:val="22"/>
                <w:szCs w:val="22"/>
                <w:u w:val="none"/>
                <w:lang w:val="en-US" w:eastAsia="zh-CN" w:bidi="ar"/>
              </w:rPr>
              <w:t>7</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default" w:ascii="仿宋_GB2312" w:hAnsi="仿宋_GB2312" w:eastAsia="仿宋_GB2312" w:cs="仿宋_GB2312"/>
                <w:i w:val="0"/>
                <w:iCs w:val="0"/>
                <w:color w:val="auto"/>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产出指标</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数量</w:t>
            </w:r>
            <w:r>
              <w:rPr>
                <w:rFonts w:hint="eastAsia" w:ascii="仿宋_GB2312" w:hAnsi="仿宋_GB2312" w:eastAsia="仿宋_GB2312" w:cs="仿宋_GB2312"/>
                <w:i w:val="0"/>
                <w:iCs w:val="0"/>
                <w:color w:val="auto"/>
                <w:kern w:val="0"/>
                <w:sz w:val="22"/>
                <w:szCs w:val="22"/>
                <w:u w:val="none"/>
                <w:lang w:val="en-US" w:eastAsia="zh-CN" w:bidi="ar"/>
              </w:rPr>
              <w:t>指标</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生活垃圾年清运量</w:t>
            </w:r>
          </w:p>
        </w:tc>
        <w:tc>
          <w:tcPr>
            <w:tcW w:w="4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反映当年度生活垃圾清运情况</w:t>
            </w:r>
          </w:p>
        </w:tc>
        <w:tc>
          <w:tcPr>
            <w:tcW w:w="990" w:type="dxa"/>
            <w:tcBorders>
              <w:top w:val="single" w:color="auto" w:sz="4" w:space="0"/>
              <w:left w:val="nil"/>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正向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&gt;=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90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auto"/>
                <w:sz w:val="22"/>
                <w:szCs w:val="22"/>
                <w:u w:val="none"/>
              </w:rPr>
            </w:pPr>
          </w:p>
        </w:tc>
        <w:tc>
          <w:tcPr>
            <w:tcW w:w="1911"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质量指标</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转运站覆盖率</w:t>
            </w:r>
          </w:p>
        </w:tc>
        <w:tc>
          <w:tcPr>
            <w:tcW w:w="4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反映我市乡镇（街道）转运站建成情况，体现我市生活垃圾清扫转运能力及覆盖范围</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正向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&gt;=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95</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auto"/>
                <w:sz w:val="22"/>
                <w:szCs w:val="22"/>
                <w:u w:val="none"/>
              </w:rPr>
            </w:pP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时效指标</w:t>
            </w:r>
          </w:p>
        </w:tc>
        <w:tc>
          <w:tcPr>
            <w:tcW w:w="21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cs="仿宋_GB2312"/>
                <w:i w:val="0"/>
                <w:iCs w:val="0"/>
                <w:color w:val="auto"/>
                <w:sz w:val="22"/>
                <w:szCs w:val="22"/>
                <w:u w:val="none"/>
              </w:rPr>
            </w:pPr>
            <w:r>
              <w:rPr>
                <w:rFonts w:hint="eastAsia" w:ascii="仿宋_GB2312" w:hAnsi="宋体" w:eastAsia="仿宋_GB2312" w:cs="宋体"/>
                <w:color w:val="auto"/>
                <w:kern w:val="0"/>
                <w:sz w:val="22"/>
                <w:szCs w:val="22"/>
              </w:rPr>
              <w:t>投诉案件解决率</w:t>
            </w:r>
          </w:p>
        </w:tc>
        <w:tc>
          <w:tcPr>
            <w:tcW w:w="415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仿宋_GB2312" w:eastAsia="仿宋_GB2312" w:cs="仿宋_GB2312"/>
                <w:i w:val="0"/>
                <w:iCs w:val="0"/>
                <w:color w:val="auto"/>
                <w:sz w:val="22"/>
                <w:szCs w:val="22"/>
                <w:u w:val="none"/>
              </w:rPr>
            </w:pPr>
            <w:r>
              <w:rPr>
                <w:rFonts w:hint="eastAsia" w:ascii="仿宋_GB2312" w:hAnsi="宋体" w:eastAsia="仿宋_GB2312" w:cs="宋体"/>
                <w:color w:val="auto"/>
                <w:kern w:val="0"/>
                <w:sz w:val="22"/>
                <w:szCs w:val="22"/>
              </w:rPr>
              <w:t>反映市民投诉案件处理率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正向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i w:val="0"/>
                <w:iCs w:val="0"/>
                <w:color w:val="auto"/>
                <w:sz w:val="22"/>
                <w:szCs w:val="22"/>
                <w:u w:val="none"/>
              </w:rPr>
            </w:pPr>
            <w:r>
              <w:rPr>
                <w:rFonts w:hint="eastAsia" w:ascii="仿宋_GB2312" w:hAnsi="宋体" w:eastAsia="仿宋_GB2312" w:cs="宋体"/>
                <w:color w:val="auto"/>
                <w:kern w:val="0"/>
                <w:sz w:val="22"/>
                <w:szCs w:val="22"/>
              </w:rPr>
              <w:t>&gt;=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宋体" w:eastAsia="仿宋_GB2312" w:cs="宋体"/>
                <w:color w:val="auto"/>
                <w:kern w:val="0"/>
                <w:sz w:val="22"/>
                <w:szCs w:val="22"/>
              </w:rPr>
              <w:t>95</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宋体" w:eastAsia="仿宋_GB2312" w:cs="宋体"/>
                <w:color w:val="auto"/>
                <w:kern w:val="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6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效益指标</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社会效益指标</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对农村地区卫生清扫覆盖率</w:t>
            </w:r>
          </w:p>
        </w:tc>
        <w:tc>
          <w:tcPr>
            <w:tcW w:w="4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反映农村地区卫生清扫覆盖情况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正向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&gt;=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56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iCs w:val="0"/>
                <w:color w:val="auto"/>
                <w:sz w:val="22"/>
                <w:szCs w:val="22"/>
                <w:u w:val="none"/>
              </w:rPr>
            </w:pP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生态效益</w:t>
            </w:r>
            <w:r>
              <w:rPr>
                <w:rFonts w:hint="eastAsia" w:ascii="仿宋_GB2312" w:hAnsi="仿宋_GB2312" w:eastAsia="仿宋_GB2312" w:cs="仿宋_GB2312"/>
                <w:i w:val="0"/>
                <w:iCs w:val="0"/>
                <w:color w:val="auto"/>
                <w:kern w:val="0"/>
                <w:sz w:val="22"/>
                <w:szCs w:val="22"/>
                <w:u w:val="none"/>
                <w:lang w:val="en-US" w:eastAsia="zh-CN" w:bidi="ar"/>
              </w:rPr>
              <w:t>指标</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生活垃圾无害化处理率</w:t>
            </w:r>
          </w:p>
        </w:tc>
        <w:tc>
          <w:tcPr>
            <w:tcW w:w="4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反映我市生活垃圾无害化处理情况</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正向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u w:val="none"/>
                <w:lang w:val="en-US" w:eastAsia="zh-CN" w:bidi="ar"/>
              </w:rPr>
              <w:t>&gt;=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100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5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满意度指标</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服务对象满意度指标</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服务对象满意度目标</w:t>
            </w:r>
          </w:p>
        </w:tc>
        <w:tc>
          <w:tcPr>
            <w:tcW w:w="41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反映服务对象对项目实施效果的满意程度</w:t>
            </w:r>
          </w:p>
        </w:tc>
        <w:tc>
          <w:tcPr>
            <w:tcW w:w="9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正向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&gt;=</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90</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w:t>
            </w:r>
          </w:p>
        </w:tc>
      </w:tr>
    </w:tbl>
    <w:p/>
    <w:p/>
    <w:p/>
    <w:p/>
    <w:p/>
    <w:p/>
    <w:p/>
    <w:p/>
    <w:p/>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黑体" w:hAnsi="黑体" w:eastAsia="黑体"/>
          <w:sz w:val="10"/>
          <w:szCs w:val="10"/>
        </w:rPr>
      </w:pP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outlineLvl w:val="9"/>
        <w:rPr>
          <w:rFonts w:hint="eastAsia" w:ascii="仿宋" w:hAnsi="仿宋" w:eastAsia="仿宋"/>
          <w:sz w:val="24"/>
          <w:szCs w:val="24"/>
          <w:lang w:val="en-US" w:eastAsia="zh-CN"/>
        </w:rPr>
      </w:pPr>
      <w:r>
        <w:rPr>
          <w:rFonts w:hint="eastAsia" w:ascii="仿宋" w:hAnsi="仿宋" w:eastAsia="仿宋"/>
          <w:sz w:val="24"/>
          <w:szCs w:val="24"/>
        </w:rP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101600</wp:posOffset>
                </wp:positionV>
                <wp:extent cx="9445625" cy="43180"/>
                <wp:effectExtent l="0" t="9525" r="3175" b="23495"/>
                <wp:wrapNone/>
                <wp:docPr id="6" name="直接连接符 6"/>
                <wp:cNvGraphicFramePr/>
                <a:graphic xmlns:a="http://schemas.openxmlformats.org/drawingml/2006/main">
                  <a:graphicData uri="http://schemas.microsoft.com/office/word/2010/wordprocessingShape">
                    <wps:wsp>
                      <wps:cNvCnPr/>
                      <wps:spPr>
                        <a:xfrm>
                          <a:off x="0" y="0"/>
                          <a:ext cx="9445625" cy="4318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pt;margin-top:8pt;height:3.4pt;width:743.75pt;z-index:251662336;mso-width-relative:page;mso-height-relative:page;" filled="f" stroked="t" coordsize="21600,21600" o:gfxdata="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5OnC0dYAAAAJAQAADwAAAAAAAAAB&#10;ACAAAAA4AAAAZHJzL2Rvd25yZXYueG1sUEsBAhQAFAAAAAgAh07iQH8yz5P8AQAA6QMAAA4AAAAA&#10;AAAAAQAgAAAAOwEAAGRycy9lMm9Eb2MueG1sUEsFBgAAAAAGAAYAWQEAAKkFA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-48260</wp:posOffset>
                </wp:positionH>
                <wp:positionV relativeFrom="paragraph">
                  <wp:posOffset>237490</wp:posOffset>
                </wp:positionV>
                <wp:extent cx="9434195" cy="2540"/>
                <wp:effectExtent l="0" t="0" r="0" b="0"/>
                <wp:wrapNone/>
                <wp:docPr id="7" name="直接连接符 7"/>
                <wp:cNvGraphicFramePr/>
                <a:graphic xmlns:a="http://schemas.openxmlformats.org/drawingml/2006/main">
                  <a:graphicData uri="http://schemas.microsoft.com/office/word/2010/wordprocessingShape">
                    <wps:wsp>
                      <wps:cNvCnPr/>
                      <wps:spPr>
                        <a:xfrm>
                          <a:off x="0" y="0"/>
                          <a:ext cx="9434195" cy="25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pt;margin-top:18.7pt;height:0.2pt;width:742.85pt;z-index:251663360;mso-width-relative:page;mso-height-relative:page;" filled="f" stroked="t" coordsize="21600,21600" o:gfxdata="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9CsfF1gAAAAkBAAAPAAAAAAAAAAEA&#10;IAAAADgAAABkcnMvZG93bnJldi54bWxQSwECFAAUAAAACACHTuJAspKHdfsBAADoAwAADgAAAAAA&#10;AAABACAAAAA7AQAAZHJzL2Uyb0RvYy54bWxQSwUGAAAAAAYABgBZAQAAqAU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rPr>
        <w:t>莆田市城市管理局办公室</w:t>
      </w:r>
      <w:r>
        <w:rPr>
          <w:rFonts w:hint="eastAsia" w:ascii="仿宋_GB2312" w:hAnsi="仿宋_GB2312" w:eastAsia="仿宋_GB2312" w:cs="仿宋_GB2312"/>
          <w:sz w:val="28"/>
          <w:szCs w:val="28"/>
          <w:lang w:val="en-US" w:eastAsia="zh-CN"/>
        </w:rPr>
        <w:t xml:space="preserve">                                                              2024年</w:t>
      </w: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月6日印发</w:t>
      </w:r>
    </w:p>
    <w:p/>
    <w:sectPr>
      <w:pgSz w:w="16838" w:h="11906" w:orient="landscape"/>
      <w:pgMar w:top="1531" w:right="1134" w:bottom="1417"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1.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5nBC0wAAAAcBAAAPAAAAAAAAAAEAIAAAADgA&#10;AABkcnMvZG93bnJldi54bWxQSwECFAAUAAAACACHTuJAUrNoRr8BAACMAwAADgAAAAAAAAABACAA&#10;AAA4AQAAZHJzL2Uyb0RvYy54bWxQSwUGAAAAAAYABgBZAQAAaQ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&#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5dblS0AAAAAUBAAAPAAAAAAAAAAEAIAAAADgAAABk&#10;cnMvZG93bnJldi54bWxQSwECFAAUAAAACACHTuJAGiVBr78BAACMAwAADgAAAAAAAAABACAAAAA1&#10;AQAAZHJzL2Uyb0RvYy54bWxQSwUGAAAAAAYABgBZAQAAZg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1.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5nBC0wAAAAcBAAAPAAAAAAAAAAEAIAAAADgA&#10;AABkcnMvZG93bnJldi54bWxQSwECFAAUAAAACACHTuJAaVontL8BAACMAwAADgAAAAAAAAABACAA&#10;AAA4AQAAZHJzL2Uyb0RvYy54bWxQSwUGAAAAAAYABgBZAQAAaQ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ZjUxMDgwOThmZWE0MDUxZGEyNmRhNTRhN2FkNTAifQ=="/>
  </w:docVars>
  <w:rsids>
    <w:rsidRoot w:val="50915883"/>
    <w:rsid w:val="0A6C1FEF"/>
    <w:rsid w:val="0CB31FE5"/>
    <w:rsid w:val="0CD555CF"/>
    <w:rsid w:val="0E283822"/>
    <w:rsid w:val="19FA29A7"/>
    <w:rsid w:val="1FDE1C59"/>
    <w:rsid w:val="2AE5563C"/>
    <w:rsid w:val="304A4829"/>
    <w:rsid w:val="372141CC"/>
    <w:rsid w:val="37EFE45C"/>
    <w:rsid w:val="39E83061"/>
    <w:rsid w:val="3F33EC98"/>
    <w:rsid w:val="3FF3573E"/>
    <w:rsid w:val="45DC5FBB"/>
    <w:rsid w:val="4A314103"/>
    <w:rsid w:val="4EE36188"/>
    <w:rsid w:val="50915883"/>
    <w:rsid w:val="52BC7C45"/>
    <w:rsid w:val="57CB6DC6"/>
    <w:rsid w:val="5FBDDF77"/>
    <w:rsid w:val="61625BF2"/>
    <w:rsid w:val="63224312"/>
    <w:rsid w:val="685F7716"/>
    <w:rsid w:val="6E784767"/>
    <w:rsid w:val="702A6C3A"/>
    <w:rsid w:val="77DF128D"/>
    <w:rsid w:val="7F7F277D"/>
    <w:rsid w:val="7FFE2429"/>
    <w:rsid w:val="7FFE74EA"/>
    <w:rsid w:val="80FB7D8F"/>
    <w:rsid w:val="DB6F77DE"/>
    <w:rsid w:val="DBFA843A"/>
    <w:rsid w:val="DDFF527B"/>
    <w:rsid w:val="EEDFD02C"/>
    <w:rsid w:val="F1BFE218"/>
    <w:rsid w:val="F7EFE9E3"/>
    <w:rsid w:val="FDFC2361"/>
    <w:rsid w:val="FFDB30C3"/>
    <w:rsid w:val="FFF5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rPr>
      <w:sz w:val="24"/>
    </w:rPr>
  </w:style>
  <w:style w:type="character" w:customStyle="1" w:styleId="7">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gjb</Company>
  <Pages>5</Pages>
  <Words>1675</Words>
  <Characters>1903</Characters>
  <Lines>0</Lines>
  <Paragraphs>0</Paragraphs>
  <TotalTime>0</TotalTime>
  <ScaleCrop>false</ScaleCrop>
  <LinksUpToDate>false</LinksUpToDate>
  <CharactersWithSpaces>2163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2022-05-07T18:20:00Z</dcterms:created>
  <dc:creator>ct</dc:creator>
  <cp:lastModifiedBy>戴建军</cp:lastModifiedBy>
  <cp:lastPrinted>2024-02-06T09:11:00Z</cp:lastPrinted>
  <dcterms:modified xsi:type="dcterms:W3CDTF">2024-12-24T14:36:21Z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50C0DA2D4C7B480793AB3FDEC82211F7</vt:lpwstr>
  </property>
</Properties>
</file>