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1692D">
      <w:pPr>
        <w:rPr>
          <w:rFonts w:ascii="仿宋" w:hAnsi="仿宋" w:eastAsia="仿宋" w:cs="华文中宋"/>
          <w:color w:val="000000" w:themeColor="text1"/>
          <w:sz w:val="32"/>
          <w:szCs w:val="32"/>
          <w:lang w:val="en"/>
        </w:rPr>
      </w:pPr>
      <w:r>
        <w:rPr>
          <w:rFonts w:hint="eastAsia" w:ascii="仿宋" w:hAnsi="仿宋" w:eastAsia="仿宋" w:cs="华文中宋"/>
          <w:color w:val="000000" w:themeColor="text1"/>
          <w:sz w:val="32"/>
          <w:szCs w:val="32"/>
          <w:lang w:val="en"/>
        </w:rPr>
        <w:t>附件</w:t>
      </w:r>
      <w:r>
        <w:rPr>
          <w:rFonts w:ascii="仿宋" w:hAnsi="仿宋" w:eastAsia="仿宋" w:cs="华文中宋"/>
          <w:color w:val="000000" w:themeColor="text1"/>
          <w:sz w:val="32"/>
          <w:szCs w:val="32"/>
          <w:lang w:val="en"/>
        </w:rPr>
        <w:t>4</w:t>
      </w:r>
      <w:r>
        <w:rPr>
          <w:rFonts w:hint="eastAsia" w:ascii="仿宋" w:hAnsi="仿宋" w:eastAsia="仿宋" w:cs="华文中宋"/>
          <w:color w:val="000000" w:themeColor="text1"/>
          <w:sz w:val="32"/>
          <w:szCs w:val="32"/>
          <w:lang w:val="en"/>
        </w:rPr>
        <w:t>：</w:t>
      </w:r>
    </w:p>
    <w:p w14:paraId="45C8407E">
      <w:pPr>
        <w:rPr>
          <w:rFonts w:ascii="华文中宋" w:hAnsi="华文中宋" w:eastAsia="华文中宋" w:cs="华文中宋"/>
          <w:color w:val="000000" w:themeColor="text1"/>
          <w:sz w:val="36"/>
          <w:szCs w:val="36"/>
          <w:lang w:val="en"/>
        </w:rPr>
      </w:pPr>
    </w:p>
    <w:p w14:paraId="6A5F44DD">
      <w:pPr>
        <w:spacing w:line="360" w:lineRule="auto"/>
        <w:jc w:val="center"/>
        <w:rPr>
          <w:rFonts w:hint="eastAsia" w:ascii="方正小标宋简体" w:hAnsi="华文中宋" w:eastAsia="方正小标宋简体"/>
          <w:color w:val="000000" w:themeColor="text1"/>
          <w:sz w:val="36"/>
          <w:szCs w:val="36"/>
        </w:rPr>
      </w:pPr>
      <w:r>
        <w:rPr>
          <w:rFonts w:hint="eastAsia" w:ascii="方正小标宋简体" w:hAnsi="华文中宋" w:eastAsia="方正小标宋简体"/>
          <w:color w:val="000000" w:themeColor="text1"/>
          <w:sz w:val="36"/>
          <w:szCs w:val="36"/>
        </w:rPr>
        <w:t>2021年度行政事业性国有资产报表编制说明</w:t>
      </w:r>
    </w:p>
    <w:p w14:paraId="0E95C78B">
      <w:pPr>
        <w:pStyle w:val="2"/>
        <w:ind w:firstLine="0" w:firstLineChars="0"/>
        <w:jc w:val="center"/>
        <w:rPr>
          <w:color w:val="000000" w:themeColor="text1"/>
        </w:rPr>
      </w:pPr>
      <w:r>
        <w:rPr>
          <w:rFonts w:hint="eastAsia"/>
          <w:color w:val="000000" w:themeColor="text1"/>
        </w:rPr>
        <w:t>第一部分：总体要求</w:t>
      </w:r>
    </w:p>
    <w:p w14:paraId="27EFEF5C">
      <w:pPr>
        <w:widowControl/>
        <w:spacing w:line="360" w:lineRule="auto"/>
        <w:ind w:firstLine="708" w:firstLineChars="236"/>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一、按照财务隶属关系或预算管理级次，逐级汇总上报。</w:t>
      </w:r>
      <w:r>
        <w:rPr>
          <w:rFonts w:hint="eastAsia" w:ascii="仿宋_GB2312" w:hAnsi="仿宋" w:eastAsia="仿宋_GB2312"/>
          <w:bCs/>
          <w:color w:val="000000" w:themeColor="text1"/>
          <w:sz w:val="30"/>
          <w:szCs w:val="30"/>
          <w:lang w:bidi="ar"/>
        </w:rPr>
        <w:t>实行经费自理的事业单位编报级次问题，按照《事业单位法人证书》所列举办单位确认所属关系。涉及两个或两个以上举办单位的，按排序第一的举办单位确认，纳入该举办单位资产报告编制范围；如举办单位之间有协议、章程或管理办法约定的，按约定执行，不得重复编报。</w:t>
      </w:r>
    </w:p>
    <w:p w14:paraId="18210955">
      <w:pPr>
        <w:spacing w:line="360" w:lineRule="auto"/>
        <w:ind w:firstLine="708" w:firstLineChars="236"/>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二、各行政事业单位应在各项资产全面盘点的基础上，真实、准确的填报和编制本套报表，并按要求编写填报说明和分析报告。严格按照政府会计准则制度的要求，进一步规范和加强长期股权投资核算，全面准确反映单位的长期股权投资情况。</w:t>
      </w:r>
    </w:p>
    <w:p w14:paraId="03A24114">
      <w:pPr>
        <w:spacing w:line="360" w:lineRule="auto"/>
        <w:ind w:firstLine="708" w:firstLineChars="236"/>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三、行政事业性国有资产报告相关数据与部门决算、政府部门财务报告、国有企业财务会计决算报告同口径数据保持衔接一致。</w:t>
      </w:r>
    </w:p>
    <w:p w14:paraId="386E361D">
      <w:pPr>
        <w:spacing w:line="360" w:lineRule="auto"/>
        <w:ind w:firstLine="708" w:firstLineChars="236"/>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四、本套报表的单户表录入金额单位为“元”（保留两位小数），汇总打印报表金额单位为“万元”（保留两位小数）。</w:t>
      </w:r>
    </w:p>
    <w:p w14:paraId="074D7217">
      <w:pPr>
        <w:pStyle w:val="2"/>
        <w:ind w:firstLine="0" w:firstLineChars="0"/>
        <w:jc w:val="center"/>
        <w:rPr>
          <w:color w:val="000000" w:themeColor="text1"/>
        </w:rPr>
      </w:pPr>
      <w:r>
        <w:rPr>
          <w:rFonts w:hint="eastAsia"/>
          <w:color w:val="000000" w:themeColor="text1"/>
        </w:rPr>
        <w:t>第二部分</w:t>
      </w:r>
      <w:r>
        <w:rPr>
          <w:color w:val="000000" w:themeColor="text1"/>
        </w:rPr>
        <w:t>：</w:t>
      </w:r>
      <w:r>
        <w:rPr>
          <w:rFonts w:hint="eastAsia"/>
          <w:color w:val="000000" w:themeColor="text1"/>
        </w:rPr>
        <w:t>20</w:t>
      </w:r>
      <w:r>
        <w:rPr>
          <w:color w:val="000000" w:themeColor="text1"/>
        </w:rPr>
        <w:t>21</w:t>
      </w:r>
      <w:r>
        <w:rPr>
          <w:rFonts w:hint="eastAsia"/>
          <w:color w:val="000000" w:themeColor="text1"/>
        </w:rPr>
        <w:t>年度行政事业性国有资产报表编制说明</w:t>
      </w:r>
    </w:p>
    <w:p w14:paraId="519153E4">
      <w:pPr>
        <w:pStyle w:val="2"/>
        <w:ind w:firstLine="600" w:firstLineChars="200"/>
        <w:rPr>
          <w:b/>
          <w:color w:val="000000" w:themeColor="text1"/>
        </w:rPr>
      </w:pPr>
      <w:bookmarkStart w:id="0" w:name="OLE_LINK11"/>
      <w:r>
        <w:rPr>
          <w:rFonts w:hint="eastAsia"/>
          <w:color w:val="000000" w:themeColor="text1"/>
        </w:rPr>
        <w:t>一、单户封面编制说明</w:t>
      </w:r>
    </w:p>
    <w:bookmarkEnd w:id="0"/>
    <w:p w14:paraId="6FDBF34C">
      <w:pPr>
        <w:pStyle w:val="4"/>
        <w:spacing w:line="360" w:lineRule="auto"/>
        <w:ind w:firstLine="6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1.单位名称：填写单位全称，并在上报纸质文件时加盖单位公章。行政事业单位主管部门填报本级报表时，应在单位名称后加注“（本级）”。</w:t>
      </w:r>
    </w:p>
    <w:p w14:paraId="0634A4FD">
      <w:pPr>
        <w:pStyle w:val="5"/>
        <w:tabs>
          <w:tab w:val="left" w:pos="180"/>
        </w:tabs>
        <w:spacing w:line="360" w:lineRule="auto"/>
        <w:ind w:left="-2" w:leftChars="-1" w:firstLine="542"/>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单位负责人、资产管理负责人、填表人、座机号码、手机号码、单位地址，均按单位实际情况如实、完整填报，其中资产管理负责人是指承担资产管理职责部门的负责人；单位地址应按照省、市（地）、县（区）逐级填写详细</w:t>
      </w:r>
      <w:r>
        <w:rPr>
          <w:rFonts w:ascii="仿宋_GB2312" w:hAnsi="仿宋" w:eastAsia="仿宋_GB2312"/>
          <w:color w:val="000000" w:themeColor="text1"/>
          <w:sz w:val="30"/>
          <w:szCs w:val="30"/>
        </w:rPr>
        <w:t>地址</w:t>
      </w:r>
      <w:r>
        <w:rPr>
          <w:rFonts w:hint="eastAsia" w:ascii="仿宋_GB2312" w:hAnsi="仿宋" w:eastAsia="仿宋_GB2312"/>
          <w:color w:val="000000" w:themeColor="text1"/>
          <w:sz w:val="30"/>
          <w:szCs w:val="30"/>
        </w:rPr>
        <w:t>；手机号码填写填表人11位手机号码。</w:t>
      </w:r>
    </w:p>
    <w:p w14:paraId="041168CB">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3.报送日期：填列单位实际报送报表的日期。</w:t>
      </w:r>
    </w:p>
    <w:p w14:paraId="00895FEC">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4.</w:t>
      </w:r>
      <w:r>
        <w:rPr>
          <w:rFonts w:hint="eastAsia" w:ascii="仿宋_GB2312" w:hAnsi="仿宋" w:eastAsia="仿宋_GB2312"/>
          <w:color w:val="000000" w:themeColor="text1"/>
          <w:sz w:val="30"/>
        </w:rPr>
        <w:t>统一社会信用代码：依据登记管理部门发放的18位代码填写。尚未领取统一社会信用代码的单位，应主动与当地相关登记管理部门联系办理核发手续，并编报临时代码</w:t>
      </w:r>
      <w:r>
        <w:rPr>
          <w:rFonts w:hint="eastAsia" w:ascii="仿宋_GB2312" w:hAnsi="仿宋" w:eastAsia="仿宋_GB2312"/>
          <w:color w:val="000000" w:themeColor="text1"/>
          <w:sz w:val="30"/>
          <w:szCs w:val="30"/>
        </w:rPr>
        <w:t>。</w:t>
      </w:r>
    </w:p>
    <w:p w14:paraId="34001957">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5.财政预算代码：地方单位的财政预算代码应与部门预算代码一致。</w:t>
      </w:r>
    </w:p>
    <w:p w14:paraId="112DCCB0">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6.单位基本性质：依据政府编制管理部门确定的单位性质，根据共产党机关、政府机关、人大机关、政协机关、群众团体、民主党派、政法机关、参照公务员法管理事业单位、财政补助事业单位、经费自理事业单位、社会</w:t>
      </w:r>
      <w:r>
        <w:rPr>
          <w:rFonts w:ascii="仿宋_GB2312" w:hAnsi="仿宋" w:eastAsia="仿宋_GB2312"/>
          <w:color w:val="000000" w:themeColor="text1"/>
          <w:sz w:val="30"/>
          <w:szCs w:val="30"/>
        </w:rPr>
        <w:t>团体</w:t>
      </w:r>
      <w:r>
        <w:rPr>
          <w:rFonts w:hint="eastAsia" w:ascii="仿宋_GB2312" w:hAnsi="仿宋" w:eastAsia="仿宋_GB2312"/>
          <w:color w:val="000000" w:themeColor="text1"/>
          <w:sz w:val="30"/>
          <w:szCs w:val="30"/>
        </w:rPr>
        <w:t>及其他填列。主管部门、各级财政部门编报汇总报表时不填列本项。</w:t>
      </w:r>
    </w:p>
    <w:p w14:paraId="47EE665E">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7.单位所在地区：反映单位实际所在地，依据国家标准《中华人民共和国行政区划代码》填列。</w:t>
      </w:r>
    </w:p>
    <w:p w14:paraId="4A7DBC3B">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8.事业单位改革分类：已经完成事业单位改革的单位，应按照改革后确定的单位分类，在“行政类事业单位”、“公益一类事业单位”、“公益二类事业单位”、“生产经营类事业单位”四种类型中选择填列；暂未明确类别和未进行事业单位分类改革的单位，选择“暂未明确类别单位”填列。</w:t>
      </w:r>
    </w:p>
    <w:p w14:paraId="309171BD">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9.隶属关系（国家标准：隶属关系-部门标识代码）：本代码</w:t>
      </w:r>
      <w:r>
        <w:rPr>
          <w:rFonts w:ascii="仿宋_GB2312" w:hAnsi="仿宋" w:eastAsia="仿宋_GB2312"/>
          <w:color w:val="000000" w:themeColor="text1"/>
          <w:sz w:val="30"/>
          <w:szCs w:val="30"/>
        </w:rPr>
        <w:t>由“</w:t>
      </w:r>
      <w:r>
        <w:rPr>
          <w:rFonts w:hint="eastAsia" w:ascii="仿宋_GB2312" w:hAnsi="仿宋" w:eastAsia="仿宋_GB2312"/>
          <w:color w:val="000000" w:themeColor="text1"/>
          <w:sz w:val="30"/>
          <w:szCs w:val="30"/>
        </w:rPr>
        <w:t>行政</w:t>
      </w:r>
      <w:r>
        <w:rPr>
          <w:rFonts w:ascii="仿宋_GB2312" w:hAnsi="仿宋" w:eastAsia="仿宋_GB2312"/>
          <w:color w:val="000000" w:themeColor="text1"/>
          <w:sz w:val="30"/>
          <w:szCs w:val="30"/>
        </w:rPr>
        <w:t>隶属关系代码”</w:t>
      </w:r>
      <w:r>
        <w:rPr>
          <w:rFonts w:hint="eastAsia" w:ascii="仿宋_GB2312" w:hAnsi="仿宋" w:eastAsia="仿宋_GB2312"/>
          <w:color w:val="000000" w:themeColor="text1"/>
          <w:sz w:val="30"/>
          <w:szCs w:val="30"/>
        </w:rPr>
        <w:t>和</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部门</w:t>
      </w:r>
      <w:r>
        <w:rPr>
          <w:rFonts w:ascii="仿宋_GB2312" w:hAnsi="仿宋" w:eastAsia="仿宋_GB2312"/>
          <w:color w:val="000000" w:themeColor="text1"/>
          <w:sz w:val="30"/>
          <w:szCs w:val="30"/>
        </w:rPr>
        <w:t>标识代码”</w:t>
      </w:r>
      <w:r>
        <w:rPr>
          <w:rFonts w:hint="eastAsia" w:ascii="仿宋_GB2312" w:hAnsi="仿宋" w:eastAsia="仿宋_GB2312"/>
          <w:color w:val="000000" w:themeColor="text1"/>
          <w:sz w:val="30"/>
          <w:szCs w:val="30"/>
        </w:rPr>
        <w:t>两部分</w:t>
      </w:r>
      <w:r>
        <w:rPr>
          <w:rFonts w:ascii="仿宋_GB2312" w:hAnsi="仿宋" w:eastAsia="仿宋_GB2312"/>
          <w:color w:val="000000" w:themeColor="text1"/>
          <w:sz w:val="30"/>
          <w:szCs w:val="30"/>
        </w:rPr>
        <w:t>组成</w:t>
      </w:r>
      <w:r>
        <w:rPr>
          <w:rFonts w:hint="eastAsia" w:ascii="仿宋_GB2312" w:hAnsi="仿宋" w:eastAsia="仿宋_GB2312"/>
          <w:color w:val="000000" w:themeColor="text1"/>
          <w:sz w:val="30"/>
          <w:szCs w:val="30"/>
        </w:rPr>
        <w:t>。具体</w:t>
      </w:r>
      <w:r>
        <w:rPr>
          <w:rFonts w:ascii="仿宋_GB2312" w:hAnsi="仿宋" w:eastAsia="仿宋_GB2312"/>
          <w:color w:val="000000" w:themeColor="text1"/>
          <w:sz w:val="30"/>
          <w:szCs w:val="30"/>
        </w:rPr>
        <w:t>填报方法如下：</w:t>
      </w:r>
    </w:p>
    <w:p w14:paraId="71D033F4">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“行政隶属</w:t>
      </w:r>
      <w:r>
        <w:rPr>
          <w:rFonts w:ascii="仿宋_GB2312" w:hAnsi="仿宋" w:eastAsia="仿宋_GB2312"/>
          <w:color w:val="000000" w:themeColor="text1"/>
          <w:sz w:val="30"/>
          <w:szCs w:val="30"/>
        </w:rPr>
        <w:t>关系</w:t>
      </w:r>
      <w:r>
        <w:rPr>
          <w:rFonts w:hint="eastAsia" w:ascii="仿宋_GB2312" w:hAnsi="仿宋" w:eastAsia="仿宋_GB2312"/>
          <w:color w:val="000000" w:themeColor="text1"/>
          <w:sz w:val="30"/>
          <w:szCs w:val="30"/>
        </w:rPr>
        <w:t>代码”</w:t>
      </w:r>
      <w:r>
        <w:rPr>
          <w:rFonts w:ascii="仿宋_GB2312" w:hAnsi="仿宋" w:eastAsia="仿宋_GB2312"/>
          <w:color w:val="000000" w:themeColor="text1"/>
          <w:sz w:val="30"/>
          <w:szCs w:val="30"/>
        </w:rPr>
        <w:t>根据国家标准《</w:t>
      </w:r>
      <w:r>
        <w:rPr>
          <w:rFonts w:hint="eastAsia" w:ascii="仿宋_GB2312" w:hAnsi="仿宋" w:eastAsia="仿宋_GB2312"/>
          <w:color w:val="000000" w:themeColor="text1"/>
          <w:sz w:val="30"/>
          <w:szCs w:val="30"/>
        </w:rPr>
        <w:t>中华</w:t>
      </w:r>
      <w:r>
        <w:rPr>
          <w:rFonts w:ascii="仿宋_GB2312" w:hAnsi="仿宋" w:eastAsia="仿宋_GB2312"/>
          <w:color w:val="000000" w:themeColor="text1"/>
          <w:sz w:val="30"/>
          <w:szCs w:val="30"/>
        </w:rPr>
        <w:t>人民共和国行政区划代码》</w:t>
      </w:r>
      <w:r>
        <w:rPr>
          <w:rFonts w:hint="eastAsia" w:ascii="仿宋_GB2312" w:hAnsi="仿宋" w:eastAsia="仿宋_GB2312"/>
          <w:color w:val="000000" w:themeColor="text1"/>
          <w:sz w:val="30"/>
          <w:szCs w:val="30"/>
        </w:rPr>
        <w:t>编制</w:t>
      </w:r>
      <w:r>
        <w:rPr>
          <w:rFonts w:ascii="仿宋_GB2312" w:hAnsi="仿宋" w:eastAsia="仿宋_GB2312"/>
          <w:color w:val="000000" w:themeColor="text1"/>
          <w:sz w:val="30"/>
          <w:szCs w:val="30"/>
        </w:rPr>
        <w:t>。具体</w:t>
      </w:r>
      <w:r>
        <w:rPr>
          <w:rFonts w:hint="eastAsia" w:ascii="仿宋_GB2312" w:hAnsi="仿宋" w:eastAsia="仿宋_GB2312"/>
          <w:color w:val="000000" w:themeColor="text1"/>
          <w:sz w:val="30"/>
          <w:szCs w:val="30"/>
        </w:rPr>
        <w:t>编制</w:t>
      </w:r>
      <w:r>
        <w:rPr>
          <w:rFonts w:ascii="仿宋_GB2312" w:hAnsi="仿宋" w:eastAsia="仿宋_GB2312"/>
          <w:color w:val="000000" w:themeColor="text1"/>
          <w:sz w:val="30"/>
          <w:szCs w:val="30"/>
        </w:rPr>
        <w:t>方法：省级单位以行政区划代码的前两位数字后加</w:t>
      </w:r>
      <w:r>
        <w:rPr>
          <w:rFonts w:hint="eastAsia" w:ascii="仿宋_GB2312" w:hAnsi="仿宋" w:eastAsia="仿宋_GB2312"/>
          <w:color w:val="000000" w:themeColor="text1"/>
          <w:sz w:val="30"/>
          <w:szCs w:val="30"/>
        </w:rPr>
        <w:t>4个</w:t>
      </w:r>
      <w:r>
        <w:rPr>
          <w:rFonts w:ascii="仿宋_GB2312" w:hAnsi="仿宋" w:eastAsia="仿宋_GB2312"/>
          <w:color w:val="000000" w:themeColor="text1"/>
          <w:sz w:val="30"/>
          <w:szCs w:val="30"/>
        </w:rPr>
        <w:t>零表示，如湖北省省属单位一律</w:t>
      </w:r>
      <w:r>
        <w:rPr>
          <w:rFonts w:hint="eastAsia" w:ascii="仿宋_GB2312" w:hAnsi="仿宋" w:eastAsia="仿宋_GB2312"/>
          <w:color w:val="000000" w:themeColor="text1"/>
          <w:sz w:val="30"/>
          <w:szCs w:val="30"/>
        </w:rPr>
        <w:t>填列</w:t>
      </w:r>
      <w:r>
        <w:rPr>
          <w:rFonts w:ascii="仿宋_GB2312" w:hAnsi="仿宋" w:eastAsia="仿宋_GB2312"/>
          <w:color w:val="000000" w:themeColor="text1"/>
          <w:sz w:val="30"/>
          <w:szCs w:val="30"/>
        </w:rPr>
        <w:t>“420000”</w:t>
      </w:r>
      <w:r>
        <w:rPr>
          <w:rFonts w:hint="eastAsia" w:ascii="仿宋_GB2312" w:hAnsi="仿宋" w:eastAsia="仿宋_GB2312"/>
          <w:color w:val="000000" w:themeColor="text1"/>
          <w:sz w:val="30"/>
          <w:szCs w:val="30"/>
        </w:rPr>
        <w:t>；</w:t>
      </w:r>
      <w:r>
        <w:rPr>
          <w:rFonts w:ascii="仿宋_GB2312" w:hAnsi="仿宋" w:eastAsia="仿宋_GB2312"/>
          <w:color w:val="000000" w:themeColor="text1"/>
          <w:sz w:val="30"/>
          <w:szCs w:val="30"/>
        </w:rPr>
        <w:t>地市级</w:t>
      </w:r>
      <w:r>
        <w:rPr>
          <w:rFonts w:hint="eastAsia" w:ascii="仿宋_GB2312" w:hAnsi="仿宋" w:eastAsia="仿宋_GB2312"/>
          <w:color w:val="000000" w:themeColor="text1"/>
          <w:sz w:val="30"/>
          <w:szCs w:val="30"/>
        </w:rPr>
        <w:t>单位</w:t>
      </w:r>
      <w:r>
        <w:rPr>
          <w:rFonts w:ascii="仿宋_GB2312" w:hAnsi="仿宋" w:eastAsia="仿宋_GB2312"/>
          <w:color w:val="000000" w:themeColor="text1"/>
          <w:sz w:val="30"/>
          <w:szCs w:val="30"/>
        </w:rPr>
        <w:t>以行政区划代码的前四位数字后加</w:t>
      </w:r>
      <w:r>
        <w:rPr>
          <w:rFonts w:hint="eastAsia" w:ascii="仿宋_GB2312" w:hAnsi="仿宋" w:eastAsia="仿宋_GB2312"/>
          <w:color w:val="000000" w:themeColor="text1"/>
          <w:sz w:val="30"/>
          <w:szCs w:val="30"/>
        </w:rPr>
        <w:t>2个</w:t>
      </w:r>
      <w:r>
        <w:rPr>
          <w:rFonts w:ascii="仿宋_GB2312" w:hAnsi="仿宋" w:eastAsia="仿宋_GB2312"/>
          <w:color w:val="000000" w:themeColor="text1"/>
          <w:sz w:val="30"/>
          <w:szCs w:val="30"/>
        </w:rPr>
        <w:t>零表示，如湖北省黄冈市市属单位一律</w:t>
      </w:r>
      <w:r>
        <w:rPr>
          <w:rFonts w:hint="eastAsia" w:ascii="仿宋_GB2312" w:hAnsi="仿宋" w:eastAsia="仿宋_GB2312"/>
          <w:color w:val="000000" w:themeColor="text1"/>
          <w:sz w:val="30"/>
          <w:szCs w:val="30"/>
        </w:rPr>
        <w:t>填列“421100”；县级</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含</w:t>
      </w:r>
      <w:r>
        <w:rPr>
          <w:rFonts w:ascii="仿宋_GB2312" w:hAnsi="仿宋" w:eastAsia="仿宋_GB2312"/>
          <w:color w:val="000000" w:themeColor="text1"/>
          <w:sz w:val="30"/>
          <w:szCs w:val="30"/>
        </w:rPr>
        <w:t>乡镇）</w:t>
      </w:r>
      <w:r>
        <w:rPr>
          <w:rFonts w:hint="eastAsia" w:ascii="仿宋_GB2312" w:hAnsi="仿宋" w:eastAsia="仿宋_GB2312"/>
          <w:color w:val="000000" w:themeColor="text1"/>
          <w:sz w:val="30"/>
          <w:szCs w:val="30"/>
        </w:rPr>
        <w:t>所属</w:t>
      </w:r>
      <w:r>
        <w:rPr>
          <w:rFonts w:ascii="仿宋_GB2312" w:hAnsi="仿宋" w:eastAsia="仿宋_GB2312"/>
          <w:color w:val="000000" w:themeColor="text1"/>
          <w:sz w:val="30"/>
          <w:szCs w:val="30"/>
        </w:rPr>
        <w:t>单位以行政区划代码的本身</w:t>
      </w:r>
      <w:r>
        <w:rPr>
          <w:rFonts w:hint="eastAsia" w:ascii="仿宋_GB2312" w:hAnsi="仿宋" w:eastAsia="仿宋_GB2312"/>
          <w:color w:val="000000" w:themeColor="text1"/>
          <w:sz w:val="30"/>
          <w:szCs w:val="30"/>
        </w:rPr>
        <w:t>6位</w:t>
      </w:r>
      <w:r>
        <w:rPr>
          <w:rFonts w:ascii="仿宋_GB2312" w:hAnsi="仿宋" w:eastAsia="仿宋_GB2312"/>
          <w:color w:val="000000" w:themeColor="text1"/>
          <w:sz w:val="30"/>
          <w:szCs w:val="30"/>
        </w:rPr>
        <w:t>数表示，如湖北省黄冈市红安县县级及乡镇级单位一律填列“421122”</w:t>
      </w:r>
      <w:r>
        <w:rPr>
          <w:rFonts w:hint="eastAsia" w:ascii="仿宋_GB2312" w:hAnsi="仿宋" w:eastAsia="仿宋_GB2312"/>
          <w:color w:val="000000" w:themeColor="text1"/>
          <w:sz w:val="30"/>
          <w:szCs w:val="30"/>
        </w:rPr>
        <w:t>。</w:t>
      </w:r>
    </w:p>
    <w:p w14:paraId="18C104C0">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“部门</w:t>
      </w:r>
      <w:r>
        <w:rPr>
          <w:rFonts w:ascii="仿宋_GB2312" w:hAnsi="仿宋" w:eastAsia="仿宋_GB2312"/>
          <w:color w:val="000000" w:themeColor="text1"/>
          <w:sz w:val="30"/>
          <w:szCs w:val="30"/>
        </w:rPr>
        <w:t>标识代码</w:t>
      </w:r>
      <w:r>
        <w:rPr>
          <w:rFonts w:hint="eastAsia" w:ascii="仿宋_GB2312" w:hAnsi="仿宋" w:eastAsia="仿宋_GB2312"/>
          <w:color w:val="000000" w:themeColor="text1"/>
          <w:sz w:val="30"/>
          <w:szCs w:val="30"/>
        </w:rPr>
        <w:t>”按照</w:t>
      </w:r>
      <w:r>
        <w:rPr>
          <w:rFonts w:ascii="仿宋_GB2312" w:hAnsi="仿宋" w:eastAsia="仿宋_GB2312"/>
          <w:color w:val="000000" w:themeColor="text1"/>
          <w:sz w:val="30"/>
          <w:szCs w:val="30"/>
        </w:rPr>
        <w:t>单位财务或归口管理的部门、机构，比照国家标准</w:t>
      </w:r>
      <w:r>
        <w:rPr>
          <w:rFonts w:hint="eastAsia" w:ascii="仿宋_GB2312" w:hAnsi="仿宋" w:eastAsia="仿宋_GB2312"/>
          <w:color w:val="000000" w:themeColor="text1"/>
          <w:sz w:val="30"/>
          <w:szCs w:val="30"/>
        </w:rPr>
        <w:t>《中央</w:t>
      </w:r>
      <w:r>
        <w:rPr>
          <w:rFonts w:ascii="仿宋_GB2312" w:hAnsi="仿宋" w:eastAsia="仿宋_GB2312"/>
          <w:color w:val="000000" w:themeColor="text1"/>
          <w:sz w:val="30"/>
          <w:szCs w:val="30"/>
        </w:rPr>
        <w:t>党政机关、人民团体及其他机构代码</w:t>
      </w:r>
      <w:r>
        <w:rPr>
          <w:rFonts w:hint="eastAsia" w:ascii="仿宋_GB2312" w:hAnsi="仿宋" w:eastAsia="仿宋_GB2312"/>
          <w:color w:val="000000" w:themeColor="text1"/>
          <w:sz w:val="30"/>
          <w:szCs w:val="30"/>
        </w:rPr>
        <w:t>》填报</w:t>
      </w:r>
      <w:r>
        <w:rPr>
          <w:rFonts w:ascii="仿宋_GB2312" w:hAnsi="仿宋" w:eastAsia="仿宋_GB2312"/>
          <w:color w:val="000000" w:themeColor="text1"/>
          <w:sz w:val="30"/>
          <w:szCs w:val="30"/>
        </w:rPr>
        <w:t>。各级</w:t>
      </w:r>
      <w:r>
        <w:rPr>
          <w:rFonts w:hint="eastAsia" w:ascii="仿宋_GB2312" w:hAnsi="仿宋" w:eastAsia="仿宋_GB2312"/>
          <w:color w:val="000000" w:themeColor="text1"/>
          <w:sz w:val="30"/>
          <w:szCs w:val="30"/>
        </w:rPr>
        <w:t>政府</w:t>
      </w:r>
      <w:r>
        <w:rPr>
          <w:rFonts w:ascii="仿宋_GB2312" w:hAnsi="仿宋" w:eastAsia="仿宋_GB2312"/>
          <w:color w:val="000000" w:themeColor="text1"/>
          <w:sz w:val="30"/>
          <w:szCs w:val="30"/>
        </w:rPr>
        <w:t>财政部门汇总本级预算单位</w:t>
      </w:r>
      <w:r>
        <w:rPr>
          <w:rFonts w:hint="eastAsia" w:ascii="仿宋_GB2312" w:hAnsi="仿宋" w:eastAsia="仿宋_GB2312"/>
          <w:color w:val="000000" w:themeColor="text1"/>
          <w:sz w:val="30"/>
          <w:szCs w:val="30"/>
        </w:rPr>
        <w:t>或者</w:t>
      </w:r>
      <w:r>
        <w:rPr>
          <w:rFonts w:ascii="仿宋_GB2312" w:hAnsi="仿宋" w:eastAsia="仿宋_GB2312"/>
          <w:color w:val="000000" w:themeColor="text1"/>
          <w:sz w:val="30"/>
          <w:szCs w:val="30"/>
        </w:rPr>
        <w:t>下级财政报送</w:t>
      </w:r>
      <w:r>
        <w:rPr>
          <w:rFonts w:hint="eastAsia" w:ascii="仿宋_GB2312" w:hAnsi="仿宋" w:eastAsia="仿宋_GB2312"/>
          <w:color w:val="000000" w:themeColor="text1"/>
          <w:sz w:val="30"/>
          <w:szCs w:val="30"/>
        </w:rPr>
        <w:t>资产</w:t>
      </w:r>
      <w:r>
        <w:rPr>
          <w:rFonts w:ascii="仿宋_GB2312" w:hAnsi="仿宋" w:eastAsia="仿宋_GB2312"/>
          <w:color w:val="000000" w:themeColor="text1"/>
          <w:sz w:val="30"/>
          <w:szCs w:val="30"/>
        </w:rPr>
        <w:t>数据时建立的汇总报表，一律选择“999”</w:t>
      </w:r>
      <w:r>
        <w:rPr>
          <w:rFonts w:hint="eastAsia" w:ascii="仿宋_GB2312" w:hAnsi="仿宋" w:eastAsia="仿宋_GB2312"/>
          <w:color w:val="000000" w:themeColor="text1"/>
          <w:sz w:val="30"/>
          <w:szCs w:val="30"/>
        </w:rPr>
        <w:t>（财政</w:t>
      </w:r>
      <w:r>
        <w:rPr>
          <w:rFonts w:ascii="仿宋_GB2312" w:hAnsi="仿宋" w:eastAsia="仿宋_GB2312"/>
          <w:color w:val="000000" w:themeColor="text1"/>
          <w:sz w:val="30"/>
          <w:szCs w:val="30"/>
        </w:rPr>
        <w:t>汇总</w:t>
      </w:r>
      <w:r>
        <w:rPr>
          <w:rFonts w:hint="eastAsia" w:ascii="仿宋_GB2312" w:hAnsi="仿宋" w:eastAsia="仿宋_GB2312"/>
          <w:color w:val="000000" w:themeColor="text1"/>
          <w:sz w:val="30"/>
          <w:szCs w:val="30"/>
        </w:rPr>
        <w:t>）填列</w:t>
      </w:r>
      <w:r>
        <w:rPr>
          <w:rFonts w:ascii="仿宋_GB2312" w:hAnsi="仿宋" w:eastAsia="仿宋_GB2312"/>
          <w:color w:val="000000" w:themeColor="text1"/>
          <w:sz w:val="30"/>
          <w:szCs w:val="30"/>
        </w:rPr>
        <w:t>。</w:t>
      </w:r>
    </w:p>
    <w:p w14:paraId="76C56A0E">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10.单位在职人员工资使用科目：根据本单位202</w:t>
      </w:r>
      <w:r>
        <w:rPr>
          <w:rFonts w:ascii="仿宋_GB2312" w:hAnsi="仿宋" w:eastAsia="仿宋_GB2312"/>
          <w:color w:val="000000" w:themeColor="text1"/>
          <w:sz w:val="30"/>
          <w:szCs w:val="30"/>
        </w:rPr>
        <w:t>1</w:t>
      </w:r>
      <w:r>
        <w:rPr>
          <w:rFonts w:hint="eastAsia" w:ascii="仿宋_GB2312" w:hAnsi="仿宋" w:eastAsia="仿宋_GB2312"/>
          <w:color w:val="000000" w:themeColor="text1"/>
          <w:sz w:val="30"/>
          <w:szCs w:val="30"/>
        </w:rPr>
        <w:t>年部门预算批复表中基本支出人员经费（不含社会保障支出和住房改革支出）功能分类科目编码的前三位，对照《202</w:t>
      </w:r>
      <w:r>
        <w:rPr>
          <w:rFonts w:ascii="仿宋_GB2312" w:hAnsi="仿宋" w:eastAsia="仿宋_GB2312"/>
          <w:color w:val="000000" w:themeColor="text1"/>
          <w:sz w:val="30"/>
          <w:szCs w:val="30"/>
        </w:rPr>
        <w:t>1</w:t>
      </w:r>
      <w:r>
        <w:rPr>
          <w:rFonts w:hint="eastAsia" w:ascii="仿宋_GB2312" w:hAnsi="仿宋" w:eastAsia="仿宋_GB2312"/>
          <w:color w:val="000000" w:themeColor="text1"/>
          <w:sz w:val="30"/>
          <w:szCs w:val="30"/>
        </w:rPr>
        <w:t>年政府收支功能科目》中一般公共预算支出功能分类科目选择填列，包括：201 一般公共服务支出、202 外交支出、203 国防支出、204 公共安全支出、205 教育支出、206 科学技术支出、20701 文化和旅游、20702 文物、20703 体育、20706 新闻出版电影、20708 广播电视、20799 其他文化体育与传媒支出、208 社会保障和就业支出、210 卫生健康支出、211 节能环保支出、212 城乡社区支出、213 农林水支出、214 交通运输支出、215 资源勘探信息等支出、216 商业服务业等支出、217 金融支出、219 援助其他地区支出、220 自然资源海洋气象等支出、221 住房保障支出、222 粮油物资储备支出、224 灾害防治及应急管理支出、229 其他支出。</w:t>
      </w:r>
    </w:p>
    <w:p w14:paraId="1637C5F2">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11.单位执行会计制度：反映单位截止20</w:t>
      </w:r>
      <w:r>
        <w:rPr>
          <w:rFonts w:ascii="仿宋_GB2312" w:hAnsi="仿宋" w:eastAsia="仿宋_GB2312"/>
          <w:color w:val="000000" w:themeColor="text1"/>
          <w:sz w:val="30"/>
          <w:szCs w:val="30"/>
        </w:rPr>
        <w:t>21</w:t>
      </w:r>
      <w:r>
        <w:rPr>
          <w:rFonts w:hint="eastAsia" w:ascii="仿宋_GB2312" w:hAnsi="仿宋" w:eastAsia="仿宋_GB2312"/>
          <w:color w:val="000000" w:themeColor="text1"/>
          <w:sz w:val="30"/>
          <w:szCs w:val="30"/>
        </w:rPr>
        <w:t>年12月31日执行的会计制度，分为政府会计准则制度、民间非营利组织会计制度和军工科研事业单位会计制度。主管部门、各级财政部门编报汇总报表时不填列本项。</w:t>
      </w:r>
    </w:p>
    <w:p w14:paraId="0AA2711B">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12</w:t>
      </w:r>
      <w:r>
        <w:rPr>
          <w:rFonts w:ascii="仿宋_GB2312" w:hAnsi="仿宋" w:eastAsia="仿宋_GB2312"/>
          <w:color w:val="000000" w:themeColor="text1"/>
          <w:sz w:val="30"/>
          <w:szCs w:val="30"/>
        </w:rPr>
        <w:t>.</w:t>
      </w:r>
      <w:r>
        <w:rPr>
          <w:rFonts w:hint="eastAsia"/>
          <w:color w:val="000000" w:themeColor="text1"/>
        </w:rPr>
        <w:t xml:space="preserve"> </w:t>
      </w:r>
      <w:r>
        <w:rPr>
          <w:rFonts w:hint="eastAsia" w:ascii="仿宋_GB2312" w:hAnsi="仿宋" w:eastAsia="仿宋_GB2312"/>
          <w:color w:val="000000" w:themeColor="text1"/>
          <w:sz w:val="30"/>
          <w:szCs w:val="30"/>
        </w:rPr>
        <w:t>参照公务员法管理事业单位执行财务规则：单位性质选择“21.参照公务员法管理事业单位”时，执行财务规则按1</w:t>
      </w:r>
      <w:r>
        <w:rPr>
          <w:rFonts w:ascii="仿宋_GB2312" w:hAnsi="仿宋" w:eastAsia="仿宋_GB2312"/>
          <w:color w:val="000000" w:themeColor="text1"/>
          <w:sz w:val="30"/>
          <w:szCs w:val="30"/>
        </w:rPr>
        <w:t>0.</w:t>
      </w:r>
      <w:r>
        <w:rPr>
          <w:rFonts w:hint="eastAsia" w:ascii="仿宋_GB2312" w:hAnsi="仿宋" w:eastAsia="仿宋_GB2312"/>
          <w:color w:val="000000" w:themeColor="text1"/>
          <w:sz w:val="30"/>
          <w:szCs w:val="30"/>
        </w:rPr>
        <w:t>行政单位财务规则、2</w:t>
      </w:r>
      <w:r>
        <w:rPr>
          <w:rFonts w:ascii="仿宋_GB2312" w:hAnsi="仿宋" w:eastAsia="仿宋_GB2312"/>
          <w:color w:val="000000" w:themeColor="text1"/>
          <w:sz w:val="30"/>
          <w:szCs w:val="30"/>
        </w:rPr>
        <w:t>0.</w:t>
      </w:r>
      <w:r>
        <w:rPr>
          <w:rFonts w:hint="eastAsia" w:ascii="仿宋_GB2312" w:hAnsi="仿宋" w:eastAsia="仿宋_GB2312"/>
          <w:color w:val="000000" w:themeColor="text1"/>
          <w:sz w:val="30"/>
          <w:szCs w:val="30"/>
        </w:rPr>
        <w:t>事业单位财务规则及其他选择填写。</w:t>
      </w:r>
    </w:p>
    <w:p w14:paraId="0E374009">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13.机构行业类型：依据国家标准《国民经济行业分类》（GB/T4754-2017）填列。单位应当根据</w:t>
      </w:r>
      <w:r>
        <w:rPr>
          <w:rFonts w:ascii="仿宋_GB2312" w:hAnsi="仿宋" w:eastAsia="仿宋_GB2312"/>
          <w:color w:val="000000" w:themeColor="text1"/>
          <w:sz w:val="30"/>
          <w:szCs w:val="30"/>
        </w:rPr>
        <w:t>实际从事</w:t>
      </w:r>
      <w:r>
        <w:rPr>
          <w:rFonts w:hint="eastAsia" w:ascii="仿宋_GB2312" w:hAnsi="仿宋" w:eastAsia="仿宋_GB2312"/>
          <w:color w:val="000000" w:themeColor="text1"/>
          <w:sz w:val="30"/>
          <w:szCs w:val="30"/>
        </w:rPr>
        <w:t>经济活动的性质，结合</w:t>
      </w:r>
      <w:r>
        <w:rPr>
          <w:rFonts w:hint="eastAsia" w:ascii="仿宋_GB2312" w:eastAsia="仿宋_GB2312"/>
          <w:color w:val="000000" w:themeColor="text1"/>
          <w:sz w:val="32"/>
          <w:szCs w:val="32"/>
        </w:rPr>
        <w:t>“</w:t>
      </w:r>
      <w:r>
        <w:rPr>
          <w:rFonts w:hint="eastAsia" w:ascii="仿宋_GB2312" w:hAnsi="仿宋" w:eastAsia="仿宋_GB2312"/>
          <w:color w:val="000000" w:themeColor="text1"/>
          <w:sz w:val="30"/>
          <w:szCs w:val="30"/>
        </w:rPr>
        <w:t>基本支出人员经费功能分类”选择相应的</w:t>
      </w:r>
      <w:r>
        <w:rPr>
          <w:rFonts w:ascii="仿宋_GB2312" w:hAnsi="仿宋" w:eastAsia="仿宋_GB2312"/>
          <w:color w:val="000000" w:themeColor="text1"/>
          <w:sz w:val="30"/>
          <w:szCs w:val="30"/>
        </w:rPr>
        <w:t>行业分类</w:t>
      </w:r>
      <w:r>
        <w:rPr>
          <w:rFonts w:hint="eastAsia" w:ascii="仿宋_GB2312" w:hAnsi="仿宋" w:eastAsia="仿宋_GB2312"/>
          <w:color w:val="000000" w:themeColor="text1"/>
          <w:sz w:val="30"/>
          <w:szCs w:val="30"/>
        </w:rPr>
        <w:t>进行选择</w:t>
      </w:r>
      <w:r>
        <w:rPr>
          <w:rFonts w:ascii="仿宋_GB2312" w:hAnsi="仿宋" w:eastAsia="仿宋_GB2312"/>
          <w:color w:val="000000" w:themeColor="text1"/>
          <w:sz w:val="30"/>
          <w:szCs w:val="30"/>
        </w:rPr>
        <w:t>填列</w:t>
      </w:r>
      <w:r>
        <w:rPr>
          <w:rFonts w:hint="eastAsia" w:ascii="仿宋_GB2312" w:hAnsi="仿宋" w:eastAsia="仿宋_GB2312"/>
          <w:color w:val="000000" w:themeColor="text1"/>
          <w:sz w:val="30"/>
          <w:szCs w:val="30"/>
        </w:rPr>
        <w:t>。</w:t>
      </w:r>
    </w:p>
    <w:p w14:paraId="10DBA281">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bookmarkStart w:id="1" w:name="_Hlk524441887"/>
      <w:r>
        <w:rPr>
          <w:rFonts w:hint="eastAsia" w:ascii="仿宋_GB2312" w:hAnsi="仿宋" w:eastAsia="仿宋_GB2312"/>
          <w:color w:val="000000" w:themeColor="text1"/>
          <w:sz w:val="30"/>
          <w:szCs w:val="30"/>
        </w:rPr>
        <w:t>4.预算管理级次：反映单位归属政府级次，包括中央、省、地（市）、县、乡镇五级政府级次。</w:t>
      </w:r>
      <w:bookmarkEnd w:id="1"/>
    </w:p>
    <w:p w14:paraId="264757EA">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15.是否编报部门决算：依据单位编报部门决算的实际情况选择是、否填列。</w:t>
      </w:r>
    </w:p>
    <w:p w14:paraId="05D0560A">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16.上报因素：</w:t>
      </w:r>
      <w:r>
        <w:rPr>
          <w:rFonts w:hint="eastAsia" w:ascii="仿宋_GB2312" w:eastAsia="仿宋_GB2312"/>
          <w:color w:val="000000" w:themeColor="text1"/>
          <w:sz w:val="30"/>
          <w:szCs w:val="30"/>
        </w:rPr>
        <w:t>根据单位实际报送情况选择填列。</w:t>
      </w:r>
      <w:r>
        <w:rPr>
          <w:rFonts w:hint="eastAsia" w:ascii="仿宋_GB2312" w:hAnsi="仿宋" w:eastAsia="仿宋_GB2312"/>
          <w:color w:val="000000" w:themeColor="text1"/>
          <w:sz w:val="30"/>
          <w:szCs w:val="30"/>
        </w:rPr>
        <w:t>主管部门、各级财政部门编报汇总报表时不填列本项。</w:t>
      </w:r>
    </w:p>
    <w:p w14:paraId="0C7E0C53">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“0”表示连续上报，由连续编报资产报表且报表类型未改变的单位使用。如单位只是组织机构代码发生改变，仍选择连续上报。</w:t>
      </w:r>
    </w:p>
    <w:p w14:paraId="2168B073">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rPr>
        <w:t>“1”表示新增单位，由新设立的单位（包括因机构改革合并、分立等设立的单位）</w:t>
      </w:r>
      <w:r>
        <w:rPr>
          <w:rFonts w:hint="eastAsia" w:ascii="仿宋_GB2312" w:hAnsi="仿宋" w:eastAsia="仿宋_GB2312"/>
          <w:color w:val="000000" w:themeColor="text1"/>
          <w:sz w:val="30"/>
          <w:szCs w:val="30"/>
        </w:rPr>
        <w:t>、因会计制度变更新纳入填报范围的单位</w:t>
      </w:r>
      <w:r>
        <w:rPr>
          <w:rFonts w:hint="eastAsia" w:ascii="仿宋_GB2312" w:hAnsi="仿宋" w:eastAsia="仿宋_GB2312"/>
          <w:color w:val="000000" w:themeColor="text1"/>
          <w:sz w:val="30"/>
        </w:rPr>
        <w:t>和同财政部门新建立经费缴拨关系的社会团体使用。</w:t>
      </w:r>
    </w:p>
    <w:p w14:paraId="6F6E4266">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“2”表示上年应报未报，由上一年度应编未编资产报表的单位使用。</w:t>
      </w:r>
    </w:p>
    <w:p w14:paraId="064C7297">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w:t>
      </w:r>
      <w:r>
        <w:rPr>
          <w:rFonts w:ascii="仿宋_GB2312" w:hAnsi="仿宋" w:eastAsia="仿宋_GB2312"/>
          <w:color w:val="000000" w:themeColor="text1"/>
          <w:sz w:val="30"/>
          <w:szCs w:val="30"/>
        </w:rPr>
        <w:t>3</w:t>
      </w:r>
      <w:r>
        <w:rPr>
          <w:rFonts w:hint="eastAsia" w:ascii="仿宋_GB2312" w:hAnsi="仿宋" w:eastAsia="仿宋_GB2312"/>
          <w:color w:val="000000" w:themeColor="text1"/>
          <w:sz w:val="30"/>
          <w:szCs w:val="30"/>
        </w:rPr>
        <w:t>”表示隶属关系改变，由当年因机构改革等原因改变隶属关系的单位使用。</w:t>
      </w:r>
    </w:p>
    <w:p w14:paraId="21B656E4">
      <w:pPr>
        <w:pStyle w:val="5"/>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17.</w:t>
      </w:r>
      <w:bookmarkStart w:id="2" w:name="_Hlk22853081"/>
      <w:r>
        <w:rPr>
          <w:rFonts w:hint="eastAsia" w:ascii="仿宋_GB2312" w:hAnsi="仿宋" w:eastAsia="仿宋_GB2312"/>
          <w:color w:val="000000" w:themeColor="text1"/>
          <w:sz w:val="30"/>
          <w:szCs w:val="30"/>
        </w:rPr>
        <w:t>资产管理信息系统使用情况：根据日常资产管理业务使用的信息系统选择“财政部统一开发系统”、“其他系统”填列。</w:t>
      </w:r>
      <w:bookmarkEnd w:id="2"/>
    </w:p>
    <w:p w14:paraId="1310DB7A">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18</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是否编报政府部门财务报告:</w:t>
      </w:r>
      <w:r>
        <w:rPr>
          <w:rFonts w:hint="eastAsia"/>
          <w:color w:val="000000" w:themeColor="text1"/>
        </w:rPr>
        <w:t xml:space="preserve"> </w:t>
      </w:r>
      <w:r>
        <w:rPr>
          <w:rFonts w:hint="eastAsia" w:ascii="仿宋_GB2312" w:hAnsi="仿宋" w:eastAsia="仿宋_GB2312"/>
          <w:color w:val="000000" w:themeColor="text1"/>
          <w:sz w:val="30"/>
          <w:szCs w:val="30"/>
        </w:rPr>
        <w:t>依据单位编报政府部门财务报告的实际情况选择是、否填列。</w:t>
      </w:r>
    </w:p>
    <w:p w14:paraId="06CC46E7">
      <w:pPr>
        <w:pStyle w:val="5"/>
        <w:spacing w:line="360" w:lineRule="auto"/>
        <w:ind w:firstLine="600" w:firstLineChars="200"/>
        <w:rPr>
          <w:rFonts w:ascii="仿宋_GB2312" w:hAnsi="仿宋" w:eastAsia="仿宋_GB2312"/>
          <w:bCs/>
          <w:color w:val="000000" w:themeColor="text1"/>
          <w:sz w:val="30"/>
          <w:szCs w:val="30"/>
        </w:rPr>
      </w:pPr>
      <w:r>
        <w:rPr>
          <w:rFonts w:hint="eastAsia" w:ascii="仿宋_GB2312" w:hAnsi="仿宋" w:eastAsia="仿宋_GB2312"/>
          <w:color w:val="000000" w:themeColor="text1"/>
          <w:sz w:val="30"/>
          <w:szCs w:val="30"/>
        </w:rPr>
        <w:t>19.报表类型：按单位具体填报的报表类型选择填列。其中：“0”表示单户表，由独立核算行政事业单位编制报表时使用。“1”表示汇总表，由各主管部门或地方各级财政部门编报汇总表时使用</w:t>
      </w:r>
      <w:r>
        <w:rPr>
          <w:rFonts w:hint="eastAsia" w:ascii="仿宋_GB2312" w:hAnsi="仿宋" w:eastAsia="仿宋_GB2312"/>
          <w:bCs/>
          <w:color w:val="000000" w:themeColor="text1"/>
          <w:sz w:val="30"/>
          <w:szCs w:val="30"/>
        </w:rPr>
        <w:t>。</w:t>
      </w:r>
    </w:p>
    <w:p w14:paraId="7B360A48">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20</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备用码（六位）：各主管部门可根据需要自行编制代码，下发基层单位填报。</w:t>
      </w:r>
    </w:p>
    <w:p w14:paraId="1B8DBD80">
      <w:pPr>
        <w:pStyle w:val="2"/>
        <w:ind w:firstLine="600" w:firstLineChars="200"/>
        <w:rPr>
          <w:b/>
          <w:color w:val="000000" w:themeColor="text1"/>
        </w:rPr>
      </w:pPr>
      <w:r>
        <w:rPr>
          <w:rFonts w:hint="eastAsia"/>
          <w:color w:val="000000" w:themeColor="text1"/>
        </w:rPr>
        <w:t>二、资产负债表（财资01表）</w:t>
      </w:r>
    </w:p>
    <w:p w14:paraId="47787A23">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本表反映行政事业单位期初、期末的资产、</w:t>
      </w:r>
      <w:r>
        <w:rPr>
          <w:rFonts w:ascii="仿宋_GB2312" w:hAnsi="仿宋" w:eastAsia="仿宋_GB2312"/>
          <w:color w:val="000000" w:themeColor="text1"/>
          <w:sz w:val="30"/>
          <w:szCs w:val="30"/>
        </w:rPr>
        <w:t>负债</w:t>
      </w:r>
      <w:r>
        <w:rPr>
          <w:rFonts w:hint="eastAsia" w:ascii="仿宋_GB2312" w:hAnsi="仿宋" w:eastAsia="仿宋_GB2312"/>
          <w:color w:val="000000" w:themeColor="text1"/>
          <w:sz w:val="30"/>
          <w:szCs w:val="30"/>
        </w:rPr>
        <w:t>和净资产账面情况。表中数据以</w:t>
      </w:r>
      <w:r>
        <w:rPr>
          <w:rFonts w:ascii="仿宋_GB2312" w:hAnsi="仿宋" w:eastAsia="仿宋_GB2312"/>
          <w:color w:val="000000" w:themeColor="text1"/>
          <w:sz w:val="30"/>
          <w:szCs w:val="30"/>
        </w:rPr>
        <w:t>财务会计报表和</w:t>
      </w:r>
      <w:r>
        <w:rPr>
          <w:rFonts w:hint="eastAsia" w:ascii="仿宋_GB2312" w:hAnsi="仿宋" w:eastAsia="仿宋_GB2312"/>
          <w:color w:val="000000" w:themeColor="text1"/>
          <w:sz w:val="30"/>
          <w:szCs w:val="30"/>
        </w:rPr>
        <w:t>资产</w:t>
      </w:r>
      <w:r>
        <w:rPr>
          <w:rFonts w:ascii="仿宋_GB2312" w:hAnsi="仿宋" w:eastAsia="仿宋_GB2312"/>
          <w:color w:val="000000" w:themeColor="text1"/>
          <w:sz w:val="30"/>
          <w:szCs w:val="30"/>
        </w:rPr>
        <w:t>管理信息</w:t>
      </w:r>
      <w:r>
        <w:rPr>
          <w:rFonts w:hint="eastAsia" w:ascii="仿宋_GB2312" w:hAnsi="仿宋" w:eastAsia="仿宋_GB2312"/>
          <w:color w:val="000000" w:themeColor="text1"/>
          <w:sz w:val="30"/>
          <w:szCs w:val="30"/>
        </w:rPr>
        <w:t>系统</w:t>
      </w:r>
      <w:r>
        <w:rPr>
          <w:rFonts w:ascii="仿宋_GB2312" w:hAnsi="仿宋" w:eastAsia="仿宋_GB2312"/>
          <w:color w:val="000000" w:themeColor="text1"/>
          <w:sz w:val="30"/>
          <w:szCs w:val="30"/>
        </w:rPr>
        <w:t>相关数据为基础</w:t>
      </w:r>
      <w:r>
        <w:rPr>
          <w:rFonts w:hint="eastAsia" w:ascii="仿宋_GB2312" w:hAnsi="仿宋" w:eastAsia="仿宋_GB2312"/>
          <w:color w:val="000000" w:themeColor="text1"/>
          <w:sz w:val="30"/>
          <w:szCs w:val="30"/>
        </w:rPr>
        <w:t>进行</w:t>
      </w:r>
      <w:r>
        <w:rPr>
          <w:rFonts w:ascii="仿宋_GB2312" w:hAnsi="仿宋" w:eastAsia="仿宋_GB2312"/>
          <w:color w:val="000000" w:themeColor="text1"/>
          <w:sz w:val="30"/>
          <w:szCs w:val="30"/>
        </w:rPr>
        <w:t>填报</w:t>
      </w:r>
      <w:r>
        <w:rPr>
          <w:rFonts w:hint="eastAsia" w:ascii="仿宋_GB2312" w:hAnsi="仿宋" w:eastAsia="仿宋_GB2312"/>
          <w:color w:val="000000" w:themeColor="text1"/>
          <w:sz w:val="30"/>
          <w:szCs w:val="30"/>
        </w:rPr>
        <w:t>。</w:t>
      </w:r>
    </w:p>
    <w:p w14:paraId="42ACDCC9">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主要指标</w:t>
      </w:r>
      <w:r>
        <w:rPr>
          <w:rFonts w:ascii="仿宋_GB2312" w:hAnsi="仿宋" w:eastAsia="仿宋_GB2312"/>
          <w:color w:val="000000" w:themeColor="text1"/>
          <w:sz w:val="30"/>
          <w:szCs w:val="30"/>
        </w:rPr>
        <w:t>说明：</w:t>
      </w:r>
    </w:p>
    <w:p w14:paraId="195EC69D">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短期</w:t>
      </w:r>
      <w:r>
        <w:rPr>
          <w:rFonts w:ascii="仿宋_GB2312" w:hAnsi="仿宋" w:eastAsia="仿宋_GB2312"/>
          <w:color w:val="000000" w:themeColor="text1"/>
          <w:sz w:val="30"/>
          <w:szCs w:val="30"/>
        </w:rPr>
        <w:t>投资：反映</w:t>
      </w:r>
      <w:r>
        <w:rPr>
          <w:rFonts w:hint="eastAsia" w:ascii="仿宋_GB2312" w:hAnsi="仿宋" w:eastAsia="仿宋_GB2312"/>
          <w:color w:val="000000" w:themeColor="text1"/>
          <w:sz w:val="30"/>
          <w:szCs w:val="30"/>
        </w:rPr>
        <w:t>按照规定取得的，持有</w:t>
      </w:r>
      <w:r>
        <w:rPr>
          <w:rFonts w:ascii="仿宋_GB2312" w:hAnsi="仿宋" w:eastAsia="仿宋_GB2312"/>
          <w:color w:val="000000" w:themeColor="text1"/>
          <w:sz w:val="30"/>
          <w:szCs w:val="30"/>
        </w:rPr>
        <w:t>时间不超过</w:t>
      </w:r>
      <w:r>
        <w:rPr>
          <w:rFonts w:hint="eastAsia" w:ascii="仿宋_GB2312" w:hAnsi="仿宋" w:eastAsia="仿宋_GB2312"/>
          <w:color w:val="000000" w:themeColor="text1"/>
          <w:sz w:val="30"/>
          <w:szCs w:val="30"/>
        </w:rPr>
        <w:t>1年（含1年）</w:t>
      </w:r>
      <w:r>
        <w:rPr>
          <w:rFonts w:ascii="仿宋_GB2312" w:hAnsi="仿宋" w:eastAsia="仿宋_GB2312"/>
          <w:color w:val="000000" w:themeColor="text1"/>
          <w:sz w:val="30"/>
          <w:szCs w:val="30"/>
        </w:rPr>
        <w:t>的投</w:t>
      </w:r>
      <w:r>
        <w:rPr>
          <w:rFonts w:hint="eastAsia" w:ascii="仿宋_GB2312" w:hAnsi="仿宋" w:eastAsia="仿宋_GB2312"/>
          <w:color w:val="000000" w:themeColor="text1"/>
          <w:sz w:val="30"/>
          <w:szCs w:val="30"/>
        </w:rPr>
        <w:t>资。行政单位不得填列。</w:t>
      </w:r>
    </w:p>
    <w:p w14:paraId="467D7C3E">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长期股权</w:t>
      </w:r>
      <w:r>
        <w:rPr>
          <w:rFonts w:ascii="仿宋_GB2312" w:hAnsi="仿宋" w:eastAsia="仿宋_GB2312"/>
          <w:color w:val="000000" w:themeColor="text1"/>
          <w:sz w:val="30"/>
          <w:szCs w:val="30"/>
        </w:rPr>
        <w:t>投资：</w:t>
      </w:r>
      <w:r>
        <w:rPr>
          <w:rFonts w:hint="eastAsia" w:ascii="仿宋_GB2312" w:hAnsi="仿宋" w:eastAsia="仿宋_GB2312"/>
          <w:color w:val="000000" w:themeColor="text1"/>
          <w:sz w:val="30"/>
          <w:szCs w:val="30"/>
        </w:rPr>
        <w:t>反映按照规定取得的，</w:t>
      </w:r>
      <w:r>
        <w:rPr>
          <w:rFonts w:ascii="仿宋_GB2312" w:hAnsi="仿宋" w:eastAsia="仿宋_GB2312"/>
          <w:color w:val="000000" w:themeColor="text1"/>
          <w:sz w:val="30"/>
          <w:szCs w:val="30"/>
        </w:rPr>
        <w:t>持有时间超过</w:t>
      </w:r>
      <w:r>
        <w:rPr>
          <w:rFonts w:hint="eastAsia" w:ascii="仿宋_GB2312" w:hAnsi="仿宋" w:eastAsia="仿宋_GB2312"/>
          <w:color w:val="000000" w:themeColor="text1"/>
          <w:sz w:val="30"/>
          <w:szCs w:val="30"/>
        </w:rPr>
        <w:t>1年</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不含1年</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的</w:t>
      </w:r>
      <w:r>
        <w:rPr>
          <w:rFonts w:ascii="仿宋_GB2312" w:hAnsi="仿宋" w:eastAsia="仿宋_GB2312"/>
          <w:color w:val="000000" w:themeColor="text1"/>
          <w:sz w:val="30"/>
          <w:szCs w:val="30"/>
        </w:rPr>
        <w:t>股权性质</w:t>
      </w:r>
      <w:r>
        <w:rPr>
          <w:rFonts w:hint="eastAsia" w:ascii="仿宋_GB2312" w:hAnsi="仿宋" w:eastAsia="仿宋_GB2312"/>
          <w:color w:val="000000" w:themeColor="text1"/>
          <w:sz w:val="30"/>
          <w:szCs w:val="30"/>
        </w:rPr>
        <w:t>的</w:t>
      </w:r>
      <w:r>
        <w:rPr>
          <w:rFonts w:ascii="仿宋_GB2312" w:hAnsi="仿宋" w:eastAsia="仿宋_GB2312"/>
          <w:color w:val="000000" w:themeColor="text1"/>
          <w:sz w:val="30"/>
          <w:szCs w:val="30"/>
        </w:rPr>
        <w:t>投资。</w:t>
      </w:r>
      <w:r>
        <w:rPr>
          <w:rFonts w:hint="eastAsia" w:ascii="仿宋_GB2312" w:hAnsi="仿宋" w:eastAsia="仿宋_GB2312"/>
          <w:color w:val="000000" w:themeColor="text1"/>
          <w:sz w:val="30"/>
          <w:szCs w:val="30"/>
        </w:rPr>
        <w:t>行政单位不得填列。</w:t>
      </w:r>
    </w:p>
    <w:p w14:paraId="0BFCFB8F">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长期债券</w:t>
      </w:r>
      <w:r>
        <w:rPr>
          <w:rFonts w:ascii="仿宋_GB2312" w:hAnsi="仿宋" w:eastAsia="仿宋_GB2312"/>
          <w:color w:val="000000" w:themeColor="text1"/>
          <w:sz w:val="30"/>
          <w:szCs w:val="30"/>
        </w:rPr>
        <w:t>投资：</w:t>
      </w:r>
      <w:r>
        <w:rPr>
          <w:rFonts w:hint="eastAsia" w:ascii="仿宋_GB2312" w:hAnsi="仿宋" w:eastAsia="仿宋_GB2312"/>
          <w:color w:val="000000" w:themeColor="text1"/>
          <w:sz w:val="30"/>
          <w:szCs w:val="30"/>
        </w:rPr>
        <w:t>反映按照规定取得的，</w:t>
      </w:r>
      <w:r>
        <w:rPr>
          <w:rFonts w:ascii="仿宋_GB2312" w:hAnsi="仿宋" w:eastAsia="仿宋_GB2312"/>
          <w:color w:val="000000" w:themeColor="text1"/>
          <w:sz w:val="30"/>
          <w:szCs w:val="30"/>
        </w:rPr>
        <w:t>持有时间超过</w:t>
      </w:r>
      <w:r>
        <w:rPr>
          <w:rFonts w:hint="eastAsia" w:ascii="仿宋_GB2312" w:hAnsi="仿宋" w:eastAsia="仿宋_GB2312"/>
          <w:color w:val="000000" w:themeColor="text1"/>
          <w:sz w:val="30"/>
          <w:szCs w:val="30"/>
        </w:rPr>
        <w:t>1年</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不含1年</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的</w:t>
      </w:r>
      <w:r>
        <w:rPr>
          <w:rFonts w:ascii="仿宋_GB2312" w:hAnsi="仿宋" w:eastAsia="仿宋_GB2312"/>
          <w:color w:val="000000" w:themeColor="text1"/>
          <w:sz w:val="30"/>
          <w:szCs w:val="30"/>
        </w:rPr>
        <w:t>债权性质投资。</w:t>
      </w:r>
      <w:r>
        <w:rPr>
          <w:rFonts w:hint="eastAsia" w:ascii="仿宋_GB2312" w:hAnsi="仿宋" w:eastAsia="仿宋_GB2312"/>
          <w:color w:val="000000" w:themeColor="text1"/>
          <w:sz w:val="30"/>
          <w:szCs w:val="30"/>
        </w:rPr>
        <w:t>行政单位不得填列。</w:t>
      </w:r>
    </w:p>
    <w:p w14:paraId="2460FD46">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4.固定资产原值：反映固定资产原始价值，期初、期末</w:t>
      </w:r>
      <w:r>
        <w:rPr>
          <w:rFonts w:ascii="仿宋_GB2312" w:hAnsi="仿宋" w:eastAsia="仿宋_GB2312"/>
          <w:color w:val="000000" w:themeColor="text1"/>
          <w:sz w:val="30"/>
          <w:szCs w:val="30"/>
        </w:rPr>
        <w:t>数取自资产管理信息系统固定资产卡片</w:t>
      </w:r>
      <w:bookmarkStart w:id="3" w:name="OLE_LINK1"/>
      <w:r>
        <w:rPr>
          <w:rFonts w:ascii="仿宋_GB2312" w:hAnsi="仿宋" w:eastAsia="仿宋_GB2312"/>
          <w:color w:val="000000" w:themeColor="text1"/>
          <w:sz w:val="30"/>
          <w:szCs w:val="30"/>
        </w:rPr>
        <w:t>。</w:t>
      </w:r>
      <w:bookmarkEnd w:id="3"/>
    </w:p>
    <w:p w14:paraId="13823BB6">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5</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固定资产累计</w:t>
      </w:r>
      <w:r>
        <w:rPr>
          <w:rFonts w:ascii="仿宋_GB2312" w:hAnsi="仿宋" w:eastAsia="仿宋_GB2312"/>
          <w:color w:val="000000" w:themeColor="text1"/>
          <w:sz w:val="30"/>
          <w:szCs w:val="30"/>
        </w:rPr>
        <w:t>折旧</w:t>
      </w:r>
      <w:r>
        <w:rPr>
          <w:rFonts w:hint="eastAsia" w:ascii="仿宋_GB2312" w:hAnsi="仿宋" w:eastAsia="仿宋_GB2312"/>
          <w:color w:val="000000" w:themeColor="text1"/>
          <w:sz w:val="30"/>
          <w:szCs w:val="30"/>
        </w:rPr>
        <w:t>：反映单位按照规定计提的累计折旧额，期初、期末</w:t>
      </w:r>
      <w:r>
        <w:rPr>
          <w:rFonts w:ascii="仿宋_GB2312" w:hAnsi="仿宋" w:eastAsia="仿宋_GB2312"/>
          <w:color w:val="000000" w:themeColor="text1"/>
          <w:sz w:val="30"/>
          <w:szCs w:val="30"/>
        </w:rPr>
        <w:t>数取自资产管理信息系统固定资产卡片。</w:t>
      </w:r>
    </w:p>
    <w:p w14:paraId="5FE18BC1">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6</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无形资产原值：反映无形资产原始价值，期初、期末</w:t>
      </w:r>
      <w:r>
        <w:rPr>
          <w:rFonts w:ascii="仿宋_GB2312" w:hAnsi="仿宋" w:eastAsia="仿宋_GB2312"/>
          <w:color w:val="000000" w:themeColor="text1"/>
          <w:sz w:val="30"/>
          <w:szCs w:val="30"/>
        </w:rPr>
        <w:t>数取自资产管理信息系统</w:t>
      </w:r>
      <w:r>
        <w:rPr>
          <w:rFonts w:hint="eastAsia" w:ascii="仿宋_GB2312" w:hAnsi="仿宋" w:eastAsia="仿宋_GB2312"/>
          <w:color w:val="000000" w:themeColor="text1"/>
          <w:sz w:val="30"/>
          <w:szCs w:val="30"/>
        </w:rPr>
        <w:t>无形</w:t>
      </w:r>
      <w:r>
        <w:rPr>
          <w:rFonts w:ascii="仿宋_GB2312" w:hAnsi="仿宋" w:eastAsia="仿宋_GB2312"/>
          <w:color w:val="000000" w:themeColor="text1"/>
          <w:sz w:val="30"/>
          <w:szCs w:val="30"/>
        </w:rPr>
        <w:t>资产卡片。</w:t>
      </w:r>
    </w:p>
    <w:p w14:paraId="6E7E04AA">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7</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无形资产累计</w:t>
      </w:r>
      <w:r>
        <w:rPr>
          <w:rFonts w:ascii="仿宋_GB2312" w:hAnsi="仿宋" w:eastAsia="仿宋_GB2312"/>
          <w:color w:val="000000" w:themeColor="text1"/>
          <w:sz w:val="30"/>
          <w:szCs w:val="30"/>
        </w:rPr>
        <w:t>摊销</w:t>
      </w:r>
      <w:r>
        <w:rPr>
          <w:rFonts w:hint="eastAsia" w:ascii="仿宋_GB2312" w:hAnsi="仿宋" w:eastAsia="仿宋_GB2312"/>
          <w:color w:val="000000" w:themeColor="text1"/>
          <w:sz w:val="30"/>
          <w:szCs w:val="30"/>
        </w:rPr>
        <w:t>:反映单位按照规定计提的累计摊销额，期初、期末</w:t>
      </w:r>
      <w:r>
        <w:rPr>
          <w:rFonts w:ascii="仿宋_GB2312" w:hAnsi="仿宋" w:eastAsia="仿宋_GB2312"/>
          <w:color w:val="000000" w:themeColor="text1"/>
          <w:sz w:val="30"/>
          <w:szCs w:val="30"/>
        </w:rPr>
        <w:t>数取自资产管理信息系统</w:t>
      </w:r>
      <w:r>
        <w:rPr>
          <w:rFonts w:hint="eastAsia" w:ascii="仿宋_GB2312" w:hAnsi="仿宋" w:eastAsia="仿宋_GB2312"/>
          <w:color w:val="000000" w:themeColor="text1"/>
          <w:sz w:val="30"/>
          <w:szCs w:val="30"/>
        </w:rPr>
        <w:t>无形</w:t>
      </w:r>
      <w:r>
        <w:rPr>
          <w:rFonts w:ascii="仿宋_GB2312" w:hAnsi="仿宋" w:eastAsia="仿宋_GB2312"/>
          <w:color w:val="000000" w:themeColor="text1"/>
          <w:sz w:val="30"/>
          <w:szCs w:val="30"/>
        </w:rPr>
        <w:t>资产卡片。</w:t>
      </w:r>
    </w:p>
    <w:p w14:paraId="45B60A44">
      <w:pPr>
        <w:adjustRightInd w:val="0"/>
        <w:snapToGrid w:val="0"/>
        <w:spacing w:line="360" w:lineRule="auto"/>
        <w:ind w:firstLine="600" w:firstLineChars="200"/>
        <w:rPr>
          <w:rFonts w:ascii="仿宋_GB2312" w:hAnsi="仿宋" w:eastAsia="仿宋_GB2312"/>
          <w:color w:val="000000" w:themeColor="text1"/>
          <w:sz w:val="30"/>
          <w:szCs w:val="30"/>
        </w:rPr>
      </w:pPr>
      <w:bookmarkStart w:id="4" w:name="_Hlk524444485"/>
      <w:r>
        <w:rPr>
          <w:rFonts w:hint="eastAsia" w:ascii="仿宋_GB2312" w:hAnsi="仿宋" w:eastAsia="仿宋_GB2312"/>
          <w:color w:val="000000" w:themeColor="text1"/>
          <w:sz w:val="30"/>
          <w:szCs w:val="30"/>
        </w:rPr>
        <w:t>8</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待处理财产损溢:</w:t>
      </w:r>
      <w:r>
        <w:rPr>
          <w:rFonts w:ascii="仿宋_GB2312" w:hAnsi="仿宋" w:eastAsia="仿宋_GB2312"/>
          <w:color w:val="000000" w:themeColor="text1"/>
          <w:sz w:val="30"/>
          <w:szCs w:val="30"/>
        </w:rPr>
        <w:t>按照政府会计</w:t>
      </w:r>
      <w:r>
        <w:rPr>
          <w:rFonts w:hint="eastAsia" w:ascii="仿宋_GB2312" w:hAnsi="仿宋" w:eastAsia="仿宋_GB2312"/>
          <w:color w:val="000000" w:themeColor="text1"/>
          <w:sz w:val="30"/>
          <w:szCs w:val="30"/>
        </w:rPr>
        <w:t>准则</w:t>
      </w:r>
      <w:r>
        <w:rPr>
          <w:rFonts w:ascii="仿宋_GB2312" w:hAnsi="仿宋" w:eastAsia="仿宋_GB2312"/>
          <w:color w:val="000000" w:themeColor="text1"/>
          <w:sz w:val="30"/>
          <w:szCs w:val="30"/>
        </w:rPr>
        <w:t>制度要求</w:t>
      </w:r>
      <w:r>
        <w:rPr>
          <w:rFonts w:hint="eastAsia" w:ascii="仿宋_GB2312" w:hAnsi="仿宋" w:eastAsia="仿宋_GB2312"/>
          <w:color w:val="000000" w:themeColor="text1"/>
          <w:sz w:val="30"/>
          <w:szCs w:val="30"/>
        </w:rPr>
        <w:t>，待处理财产损溢科目按规定报经批准后及时进行相应的账务处理，年终结账前一般应处理完毕，故本表该科目期初、期末数不得填列。同时因固定、无形资产数据从资产信息系统卡片中提取，如不将财务</w:t>
      </w:r>
      <w:r>
        <w:rPr>
          <w:rFonts w:ascii="仿宋_GB2312" w:hAnsi="仿宋" w:eastAsia="仿宋_GB2312"/>
          <w:color w:val="000000" w:themeColor="text1"/>
          <w:sz w:val="30"/>
          <w:szCs w:val="30"/>
        </w:rPr>
        <w:t>会计报表中</w:t>
      </w:r>
      <w:r>
        <w:rPr>
          <w:rFonts w:hint="eastAsia" w:ascii="仿宋_GB2312" w:hAnsi="仿宋" w:eastAsia="仿宋_GB2312"/>
          <w:color w:val="000000" w:themeColor="text1"/>
          <w:sz w:val="30"/>
          <w:szCs w:val="30"/>
        </w:rPr>
        <w:t>待处理财产损溢科目</w:t>
      </w:r>
      <w:r>
        <w:rPr>
          <w:rFonts w:ascii="仿宋_GB2312" w:hAnsi="仿宋" w:eastAsia="仿宋_GB2312"/>
          <w:color w:val="000000" w:themeColor="text1"/>
          <w:sz w:val="30"/>
          <w:szCs w:val="30"/>
        </w:rPr>
        <w:t>数据还原相应科目</w:t>
      </w:r>
      <w:r>
        <w:rPr>
          <w:rFonts w:hint="eastAsia" w:ascii="仿宋_GB2312" w:hAnsi="仿宋" w:eastAsia="仿宋_GB2312"/>
          <w:color w:val="000000" w:themeColor="text1"/>
          <w:sz w:val="30"/>
          <w:szCs w:val="30"/>
        </w:rPr>
        <w:t>，</w:t>
      </w:r>
      <w:r>
        <w:rPr>
          <w:rFonts w:ascii="仿宋_GB2312" w:hAnsi="仿宋" w:eastAsia="仿宋_GB2312"/>
          <w:color w:val="000000" w:themeColor="text1"/>
          <w:sz w:val="30"/>
          <w:szCs w:val="30"/>
        </w:rPr>
        <w:t>会导致数据重复填列。</w:t>
      </w:r>
      <w:bookmarkEnd w:id="4"/>
    </w:p>
    <w:p w14:paraId="7B2791D6">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9</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在建工程：反映在建建设项目工程的实际成本。</w:t>
      </w:r>
    </w:p>
    <w:p w14:paraId="4951EF80">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10</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公共基础设施原值：反映公共基础设施的原始价值。</w:t>
      </w:r>
    </w:p>
    <w:p w14:paraId="31903B1A">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11.公共基础设施累计折旧（摊销）：反映单位按照规定计提的累计折旧（摊销）额。</w:t>
      </w:r>
    </w:p>
    <w:p w14:paraId="70506539">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12.政府储备物资：反映单位控制的政府储备物资成本。</w:t>
      </w:r>
    </w:p>
    <w:p w14:paraId="52FF3722">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13.文物文化资产：反映单位为满足社会公共需求而控制的文物文化资产成本。</w:t>
      </w:r>
    </w:p>
    <w:p w14:paraId="7FC0DBA8">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14.保障性住房原值：反映单位为满足社会公共需求而控制的保障性住房的原值。</w:t>
      </w:r>
    </w:p>
    <w:p w14:paraId="3C5FD530">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15.保障性住房累计折旧：反映单位应计提的累计折旧额。</w:t>
      </w:r>
    </w:p>
    <w:p w14:paraId="2C9725CB">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16.PPP项目资产：反映单位依法依规签订的PPP项目合 同资产原值。</w:t>
      </w:r>
    </w:p>
    <w:p w14:paraId="369E1FA1">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17.PPP项目资产累计折旧（摊销）：反映单位应计提的累计折旧（摊销）额。</w:t>
      </w:r>
    </w:p>
    <w:p w14:paraId="5737136B">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18</w:t>
      </w:r>
      <w:r>
        <w:rPr>
          <w:rFonts w:ascii="仿宋_GB2312" w:hAnsi="仿宋" w:eastAsia="仿宋_GB2312"/>
          <w:color w:val="000000" w:themeColor="text1"/>
          <w:sz w:val="30"/>
          <w:szCs w:val="30"/>
        </w:rPr>
        <w:t>.受托代理资产</w:t>
      </w:r>
      <w:r>
        <w:rPr>
          <w:rFonts w:hint="eastAsia" w:ascii="仿宋_GB2312" w:hAnsi="仿宋" w:eastAsia="仿宋_GB2312"/>
          <w:color w:val="000000" w:themeColor="text1"/>
          <w:sz w:val="30"/>
          <w:szCs w:val="30"/>
        </w:rPr>
        <w:t>：</w:t>
      </w:r>
      <w:r>
        <w:rPr>
          <w:rFonts w:ascii="仿宋_GB2312" w:hAnsi="仿宋" w:eastAsia="仿宋_GB2312"/>
          <w:color w:val="000000" w:themeColor="text1"/>
          <w:sz w:val="30"/>
          <w:szCs w:val="30"/>
        </w:rPr>
        <w:t>反映单位期末受托代理资产的价值</w:t>
      </w:r>
      <w:r>
        <w:rPr>
          <w:rFonts w:hint="eastAsia" w:ascii="仿宋_GB2312" w:hAnsi="仿宋" w:eastAsia="仿宋_GB2312"/>
          <w:color w:val="000000" w:themeColor="text1"/>
          <w:sz w:val="30"/>
          <w:szCs w:val="30"/>
        </w:rPr>
        <w:t>。</w:t>
      </w:r>
      <w:r>
        <w:rPr>
          <w:rFonts w:ascii="仿宋_GB2312" w:hAnsi="仿宋" w:eastAsia="仿宋_GB2312"/>
          <w:color w:val="000000" w:themeColor="text1"/>
          <w:sz w:val="30"/>
          <w:szCs w:val="30"/>
        </w:rPr>
        <w:t>按照政府会计</w:t>
      </w:r>
      <w:r>
        <w:rPr>
          <w:rFonts w:hint="eastAsia" w:ascii="仿宋_GB2312" w:hAnsi="仿宋" w:eastAsia="仿宋_GB2312"/>
          <w:color w:val="000000" w:themeColor="text1"/>
          <w:sz w:val="30"/>
          <w:szCs w:val="30"/>
        </w:rPr>
        <w:t>准则</w:t>
      </w:r>
      <w:r>
        <w:rPr>
          <w:rFonts w:ascii="仿宋_GB2312" w:hAnsi="仿宋" w:eastAsia="仿宋_GB2312"/>
          <w:color w:val="000000" w:themeColor="text1"/>
          <w:sz w:val="30"/>
          <w:szCs w:val="30"/>
        </w:rPr>
        <w:t>制度要求</w:t>
      </w:r>
      <w:r>
        <w:rPr>
          <w:rFonts w:hint="eastAsia" w:ascii="仿宋_GB2312" w:hAnsi="仿宋" w:eastAsia="仿宋_GB2312"/>
          <w:color w:val="000000" w:themeColor="text1"/>
          <w:sz w:val="30"/>
          <w:szCs w:val="30"/>
        </w:rPr>
        <w:t>，本科目</w:t>
      </w:r>
      <w:r>
        <w:rPr>
          <w:rFonts w:ascii="仿宋_GB2312" w:hAnsi="仿宋" w:eastAsia="仿宋_GB2312"/>
          <w:color w:val="000000" w:themeColor="text1"/>
          <w:sz w:val="30"/>
          <w:szCs w:val="30"/>
        </w:rPr>
        <w:t>应根据</w:t>
      </w:r>
      <w:r>
        <w:rPr>
          <w:rFonts w:hint="eastAsia" w:ascii="仿宋_GB2312" w:hAnsi="仿宋" w:eastAsia="仿宋_GB2312"/>
          <w:color w:val="000000" w:themeColor="text1"/>
          <w:sz w:val="30"/>
          <w:szCs w:val="30"/>
        </w:rPr>
        <w:t>“</w:t>
      </w:r>
      <w:r>
        <w:rPr>
          <w:rFonts w:ascii="仿宋_GB2312" w:hAnsi="仿宋" w:eastAsia="仿宋_GB2312"/>
          <w:color w:val="000000" w:themeColor="text1"/>
          <w:sz w:val="30"/>
          <w:szCs w:val="30"/>
        </w:rPr>
        <w:t>受托代理资产</w:t>
      </w:r>
      <w:r>
        <w:rPr>
          <w:rFonts w:hint="eastAsia" w:ascii="仿宋_GB2312" w:hAnsi="仿宋" w:eastAsia="仿宋_GB2312"/>
          <w:color w:val="000000" w:themeColor="text1"/>
          <w:sz w:val="30"/>
          <w:szCs w:val="30"/>
        </w:rPr>
        <w:t>”科目期末余额与“库存现金”、“银行存款”科目下“</w:t>
      </w:r>
      <w:r>
        <w:rPr>
          <w:rFonts w:ascii="仿宋_GB2312" w:hAnsi="仿宋" w:eastAsia="仿宋_GB2312"/>
          <w:color w:val="000000" w:themeColor="text1"/>
          <w:sz w:val="30"/>
          <w:szCs w:val="30"/>
        </w:rPr>
        <w:t>受托代理资产</w:t>
      </w:r>
      <w:r>
        <w:rPr>
          <w:rFonts w:hint="eastAsia" w:ascii="仿宋_GB2312" w:hAnsi="仿宋" w:eastAsia="仿宋_GB2312"/>
          <w:color w:val="000000" w:themeColor="text1"/>
          <w:sz w:val="30"/>
          <w:szCs w:val="30"/>
        </w:rPr>
        <w:t>”明细科目期末余额的合计数填列。</w:t>
      </w:r>
    </w:p>
    <w:p w14:paraId="786084BA">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19</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除固定、无形资产相关</w:t>
      </w:r>
      <w:r>
        <w:rPr>
          <w:rFonts w:ascii="仿宋_GB2312" w:hAnsi="仿宋" w:eastAsia="仿宋_GB2312"/>
          <w:color w:val="000000" w:themeColor="text1"/>
          <w:sz w:val="30"/>
          <w:szCs w:val="30"/>
        </w:rPr>
        <w:t>科目</w:t>
      </w:r>
      <w:r>
        <w:rPr>
          <w:rFonts w:hint="eastAsia" w:ascii="仿宋_GB2312" w:hAnsi="仿宋" w:eastAsia="仿宋_GB2312"/>
          <w:color w:val="000000" w:themeColor="text1"/>
          <w:sz w:val="30"/>
          <w:szCs w:val="30"/>
        </w:rPr>
        <w:t>外，其他科目期初、期末</w:t>
      </w:r>
      <w:r>
        <w:rPr>
          <w:rFonts w:ascii="仿宋_GB2312" w:hAnsi="仿宋" w:eastAsia="仿宋_GB2312"/>
          <w:color w:val="000000" w:themeColor="text1"/>
          <w:sz w:val="30"/>
          <w:szCs w:val="30"/>
        </w:rPr>
        <w:t>数</w:t>
      </w:r>
      <w:r>
        <w:rPr>
          <w:rFonts w:hint="eastAsia" w:ascii="仿宋_GB2312" w:hAnsi="仿宋" w:eastAsia="仿宋_GB2312"/>
          <w:color w:val="000000" w:themeColor="text1"/>
          <w:sz w:val="30"/>
          <w:szCs w:val="30"/>
        </w:rPr>
        <w:t>应</w:t>
      </w:r>
      <w:r>
        <w:rPr>
          <w:rFonts w:ascii="仿宋_GB2312" w:hAnsi="仿宋" w:eastAsia="仿宋_GB2312"/>
          <w:color w:val="000000" w:themeColor="text1"/>
          <w:sz w:val="30"/>
          <w:szCs w:val="30"/>
        </w:rPr>
        <w:t>依据财务会计报表相关数据</w:t>
      </w:r>
      <w:r>
        <w:rPr>
          <w:rFonts w:hint="eastAsia" w:ascii="仿宋_GB2312" w:hAnsi="仿宋" w:eastAsia="仿宋_GB2312"/>
          <w:color w:val="000000" w:themeColor="text1"/>
          <w:sz w:val="30"/>
          <w:szCs w:val="30"/>
        </w:rPr>
        <w:t>手工</w:t>
      </w:r>
      <w:r>
        <w:rPr>
          <w:rFonts w:ascii="仿宋_GB2312" w:hAnsi="仿宋" w:eastAsia="仿宋_GB2312"/>
          <w:color w:val="000000" w:themeColor="text1"/>
          <w:sz w:val="30"/>
          <w:szCs w:val="30"/>
        </w:rPr>
        <w:t>填列。</w:t>
      </w:r>
    </w:p>
    <w:p w14:paraId="00854730">
      <w:pPr>
        <w:pStyle w:val="2"/>
        <w:ind w:firstLine="600" w:firstLineChars="200"/>
        <w:rPr>
          <w:b/>
          <w:color w:val="000000" w:themeColor="text1"/>
        </w:rPr>
      </w:pPr>
      <w:r>
        <w:rPr>
          <w:rFonts w:hint="eastAsia"/>
          <w:color w:val="000000" w:themeColor="text1"/>
        </w:rPr>
        <w:t>三、机构人员情况表（财资02表）</w:t>
      </w:r>
    </w:p>
    <w:p w14:paraId="074BC3B5">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本表反映行政事业单位年末机构设置、人员编制及实有情况。</w:t>
      </w:r>
    </w:p>
    <w:p w14:paraId="775E48C8">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主要</w:t>
      </w:r>
      <w:r>
        <w:rPr>
          <w:rFonts w:ascii="仿宋_GB2312" w:hAnsi="仿宋" w:eastAsia="仿宋_GB2312"/>
          <w:color w:val="000000" w:themeColor="text1"/>
          <w:sz w:val="30"/>
          <w:szCs w:val="30"/>
        </w:rPr>
        <w:t>指标说明：</w:t>
      </w:r>
    </w:p>
    <w:p w14:paraId="6F1F06E1">
      <w:pPr>
        <w:adjustRightInd w:val="0"/>
        <w:snapToGrid w:val="0"/>
        <w:spacing w:line="360" w:lineRule="auto"/>
        <w:ind w:firstLine="600" w:firstLineChars="200"/>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（一）人员情况</w:t>
      </w:r>
    </w:p>
    <w:p w14:paraId="4B7714BF">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编制人数：填列经政府编制管理部门核定的人员编制数。</w:t>
      </w:r>
    </w:p>
    <w:p w14:paraId="7C5F8C1E">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年末实有人数：填列在政府编制管理部门核定的编制内由单位人事部门管理的年末实有人数。</w:t>
      </w:r>
    </w:p>
    <w:p w14:paraId="588D5888">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在职人员</w:t>
      </w:r>
    </w:p>
    <w:p w14:paraId="3D71E6A5">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（1）共产党机关人员：填列各级共产党机关人员。</w:t>
      </w:r>
    </w:p>
    <w:p w14:paraId="0A0A7047">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（2）政府机关人员：填列各级政府机关行政人员，不含公安机关、司法行政机关和国家安全机关行政人员。</w:t>
      </w:r>
    </w:p>
    <w:p w14:paraId="68C7B6B4">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（3）人大机关人员：填列各级人大机关行政人员。</w:t>
      </w:r>
    </w:p>
    <w:p w14:paraId="637D0C9D">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（4）政协机关人员：填列各级政协机关行政人员。</w:t>
      </w:r>
    </w:p>
    <w:p w14:paraId="1030D943">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（5）群众团体人员：填列行使行政职能的全国性群众团体机关行政人员。</w:t>
      </w:r>
    </w:p>
    <w:p w14:paraId="533B601A">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（6）民主党派人员：填列民主党派机关行政人员，中华全国工商业联合会机关行政人员。</w:t>
      </w:r>
    </w:p>
    <w:p w14:paraId="7547B792">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（7）政法机关人员：填列公安机关、检察院、法院、司法行政机关和国家安全机关行政人员。</w:t>
      </w:r>
    </w:p>
    <w:p w14:paraId="77A01DD2">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（8）工勤人员：填列行政单位编制中由政府编制部门核定的工勤人员。</w:t>
      </w:r>
    </w:p>
    <w:p w14:paraId="5FED5445">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（9）参照公务员法管理人员：填列单位经政府编制管理部门批准参照《中华人民共和国公务员法》管理的人员。</w:t>
      </w:r>
    </w:p>
    <w:p w14:paraId="672BF00E">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（10）财政补助人员：填列经政府编制管理部门核定的财政补助人员。</w:t>
      </w:r>
    </w:p>
    <w:p w14:paraId="07BE0A02">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（11）经费自理人员：填列经政府编制管理部门核定的经费自理人员。</w:t>
      </w:r>
    </w:p>
    <w:p w14:paraId="3E819DE1">
      <w:pPr>
        <w:pStyle w:val="4"/>
        <w:adjustRightInd w:val="0"/>
        <w:snapToGrid w:val="0"/>
        <w:spacing w:line="360" w:lineRule="auto"/>
        <w:ind w:firstLine="6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4</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离退休人员</w:t>
      </w:r>
    </w:p>
    <w:p w14:paraId="77D2A9F6">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（1）离休人员：填列符合国家离休政策，已经离休的人员。</w:t>
      </w:r>
    </w:p>
    <w:p w14:paraId="4C8A0BE6">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（2）退休人员：填列符合国家退休政策，已经退休的人员。不包括内退人员（不符合国家退休政策，但按本单位有关规定已经退休人员）。</w:t>
      </w:r>
    </w:p>
    <w:p w14:paraId="1103F870">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5</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其他人员：填列由单位人事部门管理的聘用期1年以上的编制外聘用人员，不包括工勤编制人员、临时工、短期劳务人员、劳务派遣人员等。</w:t>
      </w:r>
    </w:p>
    <w:p w14:paraId="51FB794E">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6</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遗属人员：填列按规定由单位开支抚恤金的烈士遗属和牺牲病故人员遗属。</w:t>
      </w:r>
    </w:p>
    <w:p w14:paraId="03E09F09">
      <w:pPr>
        <w:adjustRightInd w:val="0"/>
        <w:snapToGrid w:val="0"/>
        <w:spacing w:line="360" w:lineRule="auto"/>
        <w:ind w:firstLine="600" w:firstLineChars="200"/>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（二）机构情况</w:t>
      </w:r>
    </w:p>
    <w:p w14:paraId="6C6D5A73">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bCs/>
          <w:color w:val="000000" w:themeColor="text1"/>
          <w:sz w:val="30"/>
          <w:szCs w:val="30"/>
        </w:rPr>
        <w:t>1</w:t>
      </w:r>
      <w:r>
        <w:rPr>
          <w:rFonts w:ascii="仿宋_GB2312" w:hAnsi="仿宋" w:eastAsia="仿宋_GB2312"/>
          <w:bCs/>
          <w:color w:val="000000" w:themeColor="text1"/>
          <w:sz w:val="30"/>
          <w:szCs w:val="30"/>
        </w:rPr>
        <w:t>.</w:t>
      </w:r>
      <w:r>
        <w:rPr>
          <w:rFonts w:hint="eastAsia" w:ascii="仿宋_GB2312" w:hAnsi="仿宋" w:eastAsia="仿宋_GB2312"/>
          <w:color w:val="000000" w:themeColor="text1"/>
          <w:sz w:val="30"/>
          <w:szCs w:val="30"/>
        </w:rPr>
        <w:t>独立编制机构数：填列经政府编制管理部门批准的行政事业机构数。</w:t>
      </w:r>
    </w:p>
    <w:p w14:paraId="1771753A">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独立核算机构数：填列经政府编制管理部门批准并实行财务独立核算的行政事业机构数。</w:t>
      </w:r>
    </w:p>
    <w:p w14:paraId="4A54D23F">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纳入部门预算管理、独立编报预算的单位，应按独立核算机构填报机构数据。</w:t>
      </w:r>
    </w:p>
    <w:p w14:paraId="578050CE">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实行会计集中核算方式的单位，建议每个独立核算机构分别填报本套报表，如无法分别填报的，应按照实际情况填列独立编制与独立核算机构数。</w:t>
      </w:r>
    </w:p>
    <w:p w14:paraId="5ECAC4AF">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共产党机关：填列各级共产党机关机构数。</w:t>
      </w:r>
    </w:p>
    <w:p w14:paraId="52DFE375">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4</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政府机关：填列各级政府机关机构数，不含公安机关、司法行政机关和国家安全机关。</w:t>
      </w:r>
    </w:p>
    <w:p w14:paraId="7CD9B6AD">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5</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人大机关：填列各级人大机关机构数。</w:t>
      </w:r>
    </w:p>
    <w:p w14:paraId="27C4FBFB">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6</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政协机关：填列各级政协机关机构数。</w:t>
      </w:r>
    </w:p>
    <w:p w14:paraId="49A04D07">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7</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群众团体：填列行使行政职能的全国性群众团体机构数。</w:t>
      </w:r>
    </w:p>
    <w:p w14:paraId="597981B5">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8</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民主党派：填列民主党派机关机构数，中华全国工商业联合会机关在此填列。</w:t>
      </w:r>
    </w:p>
    <w:p w14:paraId="0EDFDC20">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9</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政法机关：填列公安机关、检察院、法院、司法行政机关和国家安全机关机构数。</w:t>
      </w:r>
    </w:p>
    <w:p w14:paraId="57773A54">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10</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参照公务员法管理：填列经政府编制管理部门核定的参照公务员法管理事业编制机构数。</w:t>
      </w:r>
    </w:p>
    <w:p w14:paraId="379A0412">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财政补助：填列经政府编制管理部门核定的财政补助事业编制机构数。</w:t>
      </w:r>
    </w:p>
    <w:p w14:paraId="0BDB2A8A">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经费自理：填列经政府编制管理部门核定的经费自理事业编制机构数。</w:t>
      </w:r>
    </w:p>
    <w:p w14:paraId="1BB52F81">
      <w:pPr>
        <w:pStyle w:val="2"/>
        <w:ind w:firstLine="600" w:firstLineChars="200"/>
        <w:rPr>
          <w:b/>
          <w:color w:val="000000" w:themeColor="text1"/>
        </w:rPr>
      </w:pPr>
      <w:r>
        <w:rPr>
          <w:rFonts w:hint="eastAsia"/>
          <w:color w:val="000000" w:themeColor="text1"/>
        </w:rPr>
        <w:t>四、固定和无形资产存量情况表（财资03表</w:t>
      </w:r>
      <w:r>
        <w:rPr>
          <w:rFonts w:hint="eastAsia"/>
          <w:color w:val="000000" w:themeColor="text1"/>
          <w:spacing w:val="6"/>
        </w:rPr>
        <w:t>）</w:t>
      </w:r>
    </w:p>
    <w:p w14:paraId="6FCD9421">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本表以</w:t>
      </w:r>
      <w:r>
        <w:rPr>
          <w:rFonts w:ascii="仿宋_GB2312" w:hAnsi="仿宋" w:eastAsia="仿宋_GB2312"/>
          <w:color w:val="000000" w:themeColor="text1"/>
          <w:sz w:val="30"/>
          <w:szCs w:val="30"/>
        </w:rPr>
        <w:t>资产管理信息系统中的固定</w:t>
      </w:r>
      <w:r>
        <w:rPr>
          <w:rFonts w:hint="eastAsia" w:ascii="仿宋_GB2312" w:hAnsi="仿宋" w:eastAsia="仿宋_GB2312"/>
          <w:color w:val="000000" w:themeColor="text1"/>
          <w:sz w:val="30"/>
          <w:szCs w:val="30"/>
        </w:rPr>
        <w:t>和无形</w:t>
      </w:r>
      <w:r>
        <w:rPr>
          <w:rFonts w:ascii="仿宋_GB2312" w:hAnsi="仿宋" w:eastAsia="仿宋_GB2312"/>
          <w:color w:val="000000" w:themeColor="text1"/>
          <w:sz w:val="30"/>
          <w:szCs w:val="30"/>
        </w:rPr>
        <w:t>资产卡片数据为基础，</w:t>
      </w:r>
      <w:r>
        <w:rPr>
          <w:rFonts w:hint="eastAsia" w:ascii="仿宋_GB2312" w:hAnsi="仿宋" w:eastAsia="仿宋_GB2312"/>
          <w:color w:val="000000" w:themeColor="text1"/>
          <w:sz w:val="30"/>
          <w:szCs w:val="30"/>
        </w:rPr>
        <w:t>按照资产分类分项提取生成</w:t>
      </w:r>
      <w:r>
        <w:rPr>
          <w:rFonts w:ascii="仿宋_GB2312" w:hAnsi="仿宋" w:eastAsia="仿宋_GB2312"/>
          <w:color w:val="000000" w:themeColor="text1"/>
          <w:sz w:val="30"/>
          <w:szCs w:val="30"/>
        </w:rPr>
        <w:t>固定</w:t>
      </w:r>
      <w:r>
        <w:rPr>
          <w:rFonts w:hint="eastAsia" w:ascii="仿宋_GB2312" w:hAnsi="仿宋" w:eastAsia="仿宋_GB2312"/>
          <w:color w:val="000000" w:themeColor="text1"/>
          <w:sz w:val="30"/>
          <w:szCs w:val="30"/>
        </w:rPr>
        <w:t>和无形</w:t>
      </w:r>
      <w:r>
        <w:rPr>
          <w:rFonts w:ascii="仿宋_GB2312" w:hAnsi="仿宋" w:eastAsia="仿宋_GB2312"/>
          <w:color w:val="000000" w:themeColor="text1"/>
          <w:sz w:val="30"/>
          <w:szCs w:val="30"/>
        </w:rPr>
        <w:t>资产</w:t>
      </w:r>
      <w:r>
        <w:rPr>
          <w:rFonts w:hint="eastAsia" w:ascii="仿宋_GB2312" w:hAnsi="仿宋" w:eastAsia="仿宋_GB2312"/>
          <w:color w:val="000000" w:themeColor="text1"/>
          <w:sz w:val="30"/>
          <w:szCs w:val="30"/>
        </w:rPr>
        <w:t>本</w:t>
      </w:r>
      <w:r>
        <w:rPr>
          <w:rFonts w:ascii="仿宋_GB2312" w:hAnsi="仿宋" w:eastAsia="仿宋_GB2312"/>
          <w:color w:val="000000" w:themeColor="text1"/>
          <w:sz w:val="30"/>
          <w:szCs w:val="30"/>
        </w:rPr>
        <w:t>年度账面期初数</w:t>
      </w:r>
      <w:r>
        <w:rPr>
          <w:rFonts w:hint="eastAsia" w:ascii="仿宋_GB2312" w:hAnsi="仿宋" w:eastAsia="仿宋_GB2312"/>
          <w:color w:val="000000" w:themeColor="text1"/>
          <w:sz w:val="30"/>
          <w:szCs w:val="30"/>
        </w:rPr>
        <w:t>和</w:t>
      </w:r>
      <w:r>
        <w:rPr>
          <w:rFonts w:ascii="仿宋_GB2312" w:hAnsi="仿宋" w:eastAsia="仿宋_GB2312"/>
          <w:color w:val="000000" w:themeColor="text1"/>
          <w:sz w:val="30"/>
          <w:szCs w:val="30"/>
        </w:rPr>
        <w:t>账面</w:t>
      </w:r>
      <w:r>
        <w:rPr>
          <w:rFonts w:hint="eastAsia" w:ascii="仿宋_GB2312" w:hAnsi="仿宋" w:eastAsia="仿宋_GB2312"/>
          <w:color w:val="000000" w:themeColor="text1"/>
          <w:sz w:val="30"/>
          <w:szCs w:val="30"/>
        </w:rPr>
        <w:t>期末数。对于权证手续不全、但长期占有使用并实际控制的固定资产应当登记入账，并纳入本表填报范围。主要</w:t>
      </w:r>
      <w:r>
        <w:rPr>
          <w:rFonts w:ascii="仿宋_GB2312" w:hAnsi="仿宋" w:eastAsia="仿宋_GB2312"/>
          <w:color w:val="000000" w:themeColor="text1"/>
          <w:sz w:val="30"/>
          <w:szCs w:val="30"/>
        </w:rPr>
        <w:t>指标说明：</w:t>
      </w:r>
    </w:p>
    <w:p w14:paraId="7C007973">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1.土地、房屋及构筑物。本指标反映本单位在固定资产核算的境外土地所有权、房屋、构筑物及附属设施情况，不包含土地使用权、使用其他单位房屋和已投入使用的在建工程未转固房屋。</w:t>
      </w:r>
    </w:p>
    <w:p w14:paraId="241E2EDF">
      <w:pPr>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2.</w:t>
      </w:r>
      <w:r>
        <w:rPr>
          <w:rFonts w:hint="eastAsia" w:ascii="仿宋_GB2312" w:hAnsi="仿宋" w:eastAsia="仿宋_GB2312"/>
          <w:color w:val="000000" w:themeColor="text1"/>
          <w:sz w:val="30"/>
          <w:szCs w:val="30"/>
        </w:rPr>
        <w:t>土地：反映境外购置具有土地所有权的资产。</w:t>
      </w:r>
    </w:p>
    <w:p w14:paraId="4A90ACC6">
      <w:pPr>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3</w:t>
      </w:r>
      <w:r>
        <w:rPr>
          <w:rFonts w:hint="eastAsia" w:ascii="仿宋_GB2312" w:hAnsi="仿宋" w:eastAsia="仿宋_GB2312"/>
          <w:color w:val="000000" w:themeColor="text1"/>
          <w:sz w:val="30"/>
          <w:szCs w:val="30"/>
        </w:rPr>
        <w:t>.房屋。本指标反映本单位房屋情况，包括办公用房、业务用房、其他用房的建筑面积和账面价值，不包含构筑物和房屋附属设施。</w:t>
      </w:r>
    </w:p>
    <w:p w14:paraId="507F1286">
      <w:pPr>
        <w:spacing w:line="360" w:lineRule="auto"/>
        <w:ind w:firstLine="576" w:firstLineChars="192"/>
        <w:rPr>
          <w:rFonts w:ascii="仿宋_GB2312" w:eastAsia="仿宋_GB2312"/>
          <w:color w:val="000000" w:themeColor="text1"/>
          <w:kern w:val="0"/>
          <w:sz w:val="30"/>
          <w:szCs w:val="30"/>
        </w:rPr>
      </w:pPr>
      <w:r>
        <w:rPr>
          <w:rFonts w:ascii="仿宋_GB2312" w:hAnsi="仿宋" w:eastAsia="仿宋_GB2312"/>
          <w:color w:val="000000" w:themeColor="text1"/>
          <w:sz w:val="30"/>
          <w:szCs w:val="30"/>
        </w:rPr>
        <w:t>4.</w:t>
      </w:r>
      <w:r>
        <w:rPr>
          <w:rFonts w:ascii="仿宋_GB2312" w:eastAsia="仿宋_GB2312"/>
          <w:color w:val="000000" w:themeColor="text1"/>
          <w:kern w:val="0"/>
          <w:sz w:val="30"/>
          <w:szCs w:val="30"/>
        </w:rPr>
        <w:t>办公用房:</w:t>
      </w:r>
      <w:r>
        <w:rPr>
          <w:rFonts w:hint="eastAsia" w:ascii="仿宋_GB2312" w:eastAsia="仿宋_GB2312"/>
          <w:color w:val="000000" w:themeColor="text1"/>
          <w:kern w:val="0"/>
          <w:sz w:val="30"/>
          <w:szCs w:val="30"/>
        </w:rPr>
        <w:t>按照《党政机关办公用房建设标准》（发改投资〔</w:t>
      </w:r>
      <w:r>
        <w:rPr>
          <w:rFonts w:ascii="仿宋_GB2312" w:eastAsia="仿宋_GB2312"/>
          <w:color w:val="000000" w:themeColor="text1"/>
          <w:kern w:val="0"/>
          <w:sz w:val="30"/>
          <w:szCs w:val="30"/>
        </w:rPr>
        <w:t>2014〕2674号）相关规定，本表中</w:t>
      </w:r>
      <w:r>
        <w:rPr>
          <w:rFonts w:hint="eastAsia" w:ascii="仿宋_GB2312" w:eastAsia="仿宋_GB2312"/>
          <w:color w:val="000000" w:themeColor="text1"/>
          <w:kern w:val="0"/>
          <w:sz w:val="30"/>
          <w:szCs w:val="30"/>
        </w:rPr>
        <w:t>办公用房用途分类是指办公室用房、服务用房、设备用房和附属用房。数量原则上按建筑面积填列。</w:t>
      </w:r>
    </w:p>
    <w:p w14:paraId="7BB9B3DD">
      <w:pPr>
        <w:spacing w:line="360" w:lineRule="auto"/>
        <w:ind w:firstLine="576" w:firstLineChars="192"/>
        <w:rPr>
          <w:rFonts w:ascii="仿宋_GB2312" w:eastAsia="仿宋_GB2312"/>
          <w:color w:val="000000" w:themeColor="text1"/>
          <w:kern w:val="0"/>
          <w:sz w:val="30"/>
          <w:szCs w:val="30"/>
        </w:rPr>
      </w:pPr>
      <w:r>
        <w:rPr>
          <w:rFonts w:ascii="仿宋_GB2312" w:eastAsia="仿宋_GB2312"/>
          <w:color w:val="000000" w:themeColor="text1"/>
          <w:kern w:val="0"/>
          <w:sz w:val="30"/>
          <w:szCs w:val="30"/>
        </w:rPr>
        <w:t>5.办公室用房：</w:t>
      </w:r>
      <w:r>
        <w:rPr>
          <w:rFonts w:hint="eastAsia" w:ascii="仿宋_GB2312" w:eastAsia="仿宋_GB2312"/>
          <w:color w:val="000000" w:themeColor="text1"/>
          <w:kern w:val="0"/>
          <w:sz w:val="30"/>
          <w:szCs w:val="30"/>
        </w:rPr>
        <w:t>按照《党政机关办公用房建设标准》（发改投资〔</w:t>
      </w:r>
      <w:r>
        <w:rPr>
          <w:rFonts w:ascii="仿宋_GB2312" w:eastAsia="仿宋_GB2312"/>
          <w:color w:val="000000" w:themeColor="text1"/>
          <w:kern w:val="0"/>
          <w:sz w:val="30"/>
          <w:szCs w:val="30"/>
        </w:rPr>
        <w:t>2014〕2674号）相关规定，</w:t>
      </w:r>
      <w:r>
        <w:rPr>
          <w:rFonts w:hint="eastAsia" w:ascii="仿宋_GB2312" w:eastAsia="仿宋_GB2312"/>
          <w:color w:val="000000" w:themeColor="text1"/>
          <w:kern w:val="0"/>
          <w:sz w:val="30"/>
          <w:szCs w:val="30"/>
        </w:rPr>
        <w:t>填写领导人员办公室和一般工作人员办公室的使用面积。</w:t>
      </w:r>
    </w:p>
    <w:p w14:paraId="5455E70F">
      <w:pPr>
        <w:spacing w:line="360" w:lineRule="auto"/>
        <w:ind w:firstLine="576" w:firstLineChars="192"/>
        <w:rPr>
          <w:rFonts w:ascii="仿宋_GB2312" w:eastAsia="仿宋_GB2312"/>
          <w:color w:val="000000" w:themeColor="text1"/>
          <w:kern w:val="0"/>
          <w:sz w:val="30"/>
          <w:szCs w:val="30"/>
        </w:rPr>
      </w:pPr>
      <w:r>
        <w:rPr>
          <w:rFonts w:ascii="仿宋_GB2312" w:eastAsia="仿宋_GB2312"/>
          <w:color w:val="000000" w:themeColor="text1"/>
          <w:kern w:val="0"/>
          <w:sz w:val="30"/>
          <w:szCs w:val="30"/>
        </w:rPr>
        <w:t>6.业务用房:填列单位为开展各类业务设置的特殊技术业务场所。包括行政单位业务用房、公共安全用房、事业单位用房及社会团体用房等行政事业单位业务类用房，</w:t>
      </w:r>
      <w:r>
        <w:rPr>
          <w:rFonts w:hint="eastAsia" w:ascii="仿宋_GB2312" w:eastAsia="仿宋_GB2312"/>
          <w:color w:val="000000" w:themeColor="text1"/>
          <w:kern w:val="0"/>
          <w:sz w:val="30"/>
          <w:szCs w:val="30"/>
        </w:rPr>
        <w:t>数量原则上按建筑面积填列。</w:t>
      </w:r>
    </w:p>
    <w:p w14:paraId="4BF567B6">
      <w:pPr>
        <w:spacing w:line="360" w:lineRule="auto"/>
        <w:ind w:firstLine="576" w:firstLineChars="192"/>
        <w:rPr>
          <w:rFonts w:ascii="仿宋_GB2312" w:eastAsia="仿宋_GB2312"/>
          <w:color w:val="000000" w:themeColor="text1"/>
          <w:kern w:val="0"/>
          <w:sz w:val="30"/>
          <w:szCs w:val="30"/>
        </w:rPr>
      </w:pPr>
      <w:r>
        <w:rPr>
          <w:rFonts w:ascii="仿宋_GB2312" w:eastAsia="仿宋_GB2312"/>
          <w:color w:val="000000" w:themeColor="text1"/>
          <w:kern w:val="0"/>
          <w:sz w:val="30"/>
          <w:szCs w:val="30"/>
        </w:rPr>
        <w:t>7.</w:t>
      </w:r>
      <w:r>
        <w:rPr>
          <w:rFonts w:hint="eastAsia" w:ascii="仿宋_GB2312" w:eastAsia="仿宋_GB2312"/>
          <w:color w:val="000000" w:themeColor="text1"/>
          <w:kern w:val="0"/>
          <w:sz w:val="30"/>
          <w:szCs w:val="30"/>
        </w:rPr>
        <w:t>其他用房：填列除办公用房和业务用房以外的所有房屋。数量原则上按建筑面积填列。</w:t>
      </w:r>
    </w:p>
    <w:p w14:paraId="39B234F1">
      <w:pPr>
        <w:spacing w:line="360" w:lineRule="auto"/>
        <w:ind w:firstLine="576" w:firstLineChars="192"/>
        <w:rPr>
          <w:rFonts w:ascii="仿宋_GB2312" w:hAnsi="仿宋" w:eastAsia="仿宋_GB2312"/>
          <w:color w:val="000000" w:themeColor="text1"/>
          <w:sz w:val="30"/>
          <w:szCs w:val="30"/>
        </w:rPr>
      </w:pPr>
      <w:r>
        <w:rPr>
          <w:rFonts w:ascii="仿宋_GB2312" w:eastAsia="仿宋_GB2312"/>
          <w:color w:val="000000" w:themeColor="text1"/>
          <w:kern w:val="0"/>
          <w:sz w:val="30"/>
          <w:szCs w:val="30"/>
        </w:rPr>
        <w:t>8.</w:t>
      </w:r>
      <w:r>
        <w:rPr>
          <w:rFonts w:hint="eastAsia" w:ascii="仿宋_GB2312" w:eastAsia="仿宋_GB2312"/>
          <w:color w:val="000000" w:themeColor="text1"/>
          <w:kern w:val="0"/>
          <w:sz w:val="30"/>
          <w:szCs w:val="30"/>
        </w:rPr>
        <w:t>车辆：</w:t>
      </w:r>
      <w:r>
        <w:rPr>
          <w:rFonts w:hint="eastAsia" w:ascii="仿宋_GB2312" w:hAnsi="仿宋" w:eastAsia="仿宋_GB2312"/>
          <w:color w:val="000000" w:themeColor="text1"/>
          <w:sz w:val="30"/>
          <w:szCs w:val="30"/>
        </w:rPr>
        <w:t>填列单位占有使用的机动车辆（不含</w:t>
      </w:r>
      <w:r>
        <w:rPr>
          <w:rFonts w:ascii="仿宋_GB2312" w:hAnsi="仿宋" w:eastAsia="仿宋_GB2312"/>
          <w:color w:val="000000" w:themeColor="text1"/>
          <w:sz w:val="30"/>
          <w:szCs w:val="30"/>
        </w:rPr>
        <w:t>摩托车</w:t>
      </w:r>
      <w:r>
        <w:rPr>
          <w:rFonts w:hint="eastAsia" w:ascii="仿宋_GB2312" w:hAnsi="仿宋" w:eastAsia="仿宋_GB2312"/>
          <w:color w:val="000000" w:themeColor="text1"/>
          <w:sz w:val="30"/>
          <w:szCs w:val="30"/>
        </w:rPr>
        <w:t>、电动自行车、轮椅车、非机动车辆等）。</w:t>
      </w:r>
    </w:p>
    <w:p w14:paraId="3255631C">
      <w:pPr>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9.</w:t>
      </w:r>
      <w:r>
        <w:rPr>
          <w:rFonts w:hint="eastAsia" w:ascii="仿宋_GB2312" w:hAnsi="仿宋" w:eastAsia="仿宋_GB2312"/>
          <w:color w:val="000000" w:themeColor="text1"/>
          <w:sz w:val="30"/>
          <w:szCs w:val="30"/>
        </w:rPr>
        <w:t>文物和陈列品：根据《中华人民共和国国家标准固定资产分类与代码（GBT 14885-2010）》提取资产分类“文物（4010000）和陈列品（4020000）”下面的所有资产。文物和陈列品不计提折旧。本指标反映为满足自身开展业务活动或其他活动需要而控制的文物和陈列品，为满足社会公共需求而控制的文物文化资产在“文物文化资产”中反映。</w:t>
      </w:r>
    </w:p>
    <w:p w14:paraId="02863503">
      <w:pPr>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10.</w:t>
      </w:r>
      <w:r>
        <w:rPr>
          <w:rFonts w:hint="eastAsia" w:ascii="仿宋_GB2312" w:hAnsi="仿宋" w:eastAsia="仿宋_GB2312"/>
          <w:color w:val="000000" w:themeColor="text1"/>
          <w:sz w:val="30"/>
          <w:szCs w:val="30"/>
        </w:rPr>
        <w:t>图书、档案：根据《中华人民共和国国家标准固定资产分类与代码（GBT</w:t>
      </w:r>
      <w:r>
        <w:rPr>
          <w:rFonts w:ascii="仿宋_GB2312" w:hAnsi="仿宋" w:eastAsia="仿宋_GB2312"/>
          <w:color w:val="000000" w:themeColor="text1"/>
          <w:sz w:val="30"/>
          <w:szCs w:val="30"/>
        </w:rPr>
        <w:t xml:space="preserve"> </w:t>
      </w:r>
      <w:r>
        <w:rPr>
          <w:rFonts w:hint="eastAsia" w:ascii="仿宋_GB2312" w:hAnsi="仿宋" w:eastAsia="仿宋_GB2312"/>
          <w:color w:val="000000" w:themeColor="text1"/>
          <w:sz w:val="30"/>
          <w:szCs w:val="30"/>
        </w:rPr>
        <w:t>14885-2010）》提取资产分类“图书、档案（5010000）”下面的所有资产。图书、档案不计提折旧。</w:t>
      </w:r>
    </w:p>
    <w:p w14:paraId="712F702E">
      <w:pPr>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11.</w:t>
      </w:r>
      <w:r>
        <w:rPr>
          <w:rFonts w:hint="eastAsia" w:ascii="仿宋_GB2312" w:hAnsi="仿宋" w:eastAsia="仿宋_GB2312"/>
          <w:color w:val="000000" w:themeColor="text1"/>
          <w:sz w:val="30"/>
          <w:szCs w:val="30"/>
        </w:rPr>
        <w:t>家具、用具、装具及动植物：根据《中华人民共和国国家标准固定资产分类与代码（GBT 14885-2010）》提取资产分类家具用具（6010000）、被服装具（6020000）、“特种用途动物（6030000）和特种用途植物（6040000）”下面所有资产。动植物不计提折旧。</w:t>
      </w:r>
    </w:p>
    <w:p w14:paraId="3A1C2C70">
      <w:pPr>
        <w:tabs>
          <w:tab w:val="left" w:pos="1305"/>
        </w:tabs>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12.</w:t>
      </w:r>
      <w:r>
        <w:rPr>
          <w:rFonts w:hint="eastAsia" w:ascii="仿宋_GB2312" w:hAnsi="仿宋" w:eastAsia="仿宋_GB2312"/>
          <w:color w:val="000000" w:themeColor="text1"/>
          <w:sz w:val="30"/>
          <w:szCs w:val="30"/>
        </w:rPr>
        <w:t>无形资产：填列单位控制的没有实物形态的可辨认非货币性资产，如专利权、商标权、著作权、土地使用权、非专利技术等。使用年限不确定的无形资产不计提摊销。</w:t>
      </w:r>
    </w:p>
    <w:p w14:paraId="5BA262FB">
      <w:pPr>
        <w:tabs>
          <w:tab w:val="left" w:pos="1305"/>
        </w:tabs>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3.</w:t>
      </w:r>
      <w:r>
        <w:rPr>
          <w:rFonts w:hint="eastAsia" w:ascii="仿宋_GB2312" w:hAnsi="仿宋" w:eastAsia="仿宋_GB2312"/>
          <w:color w:val="000000" w:themeColor="text1"/>
          <w:sz w:val="30"/>
          <w:szCs w:val="30"/>
        </w:rPr>
        <w:t>期初账面数</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反映</w:t>
      </w:r>
      <w:r>
        <w:rPr>
          <w:rFonts w:ascii="仿宋_GB2312" w:hAnsi="仿宋" w:eastAsia="仿宋_GB2312"/>
          <w:color w:val="000000" w:themeColor="text1"/>
          <w:sz w:val="30"/>
          <w:szCs w:val="30"/>
        </w:rPr>
        <w:t>本年度各类固定</w:t>
      </w:r>
      <w:r>
        <w:rPr>
          <w:rFonts w:hint="eastAsia" w:ascii="仿宋_GB2312" w:hAnsi="仿宋" w:eastAsia="仿宋_GB2312"/>
          <w:color w:val="000000" w:themeColor="text1"/>
          <w:sz w:val="30"/>
          <w:szCs w:val="30"/>
        </w:rPr>
        <w:t>和无形</w:t>
      </w:r>
      <w:r>
        <w:rPr>
          <w:rFonts w:ascii="仿宋_GB2312" w:hAnsi="仿宋" w:eastAsia="仿宋_GB2312"/>
          <w:color w:val="000000" w:themeColor="text1"/>
          <w:sz w:val="30"/>
          <w:szCs w:val="30"/>
        </w:rPr>
        <w:t>资产</w:t>
      </w:r>
      <w:r>
        <w:rPr>
          <w:rFonts w:hint="eastAsia" w:ascii="仿宋_GB2312" w:hAnsi="仿宋" w:eastAsia="仿宋_GB2312"/>
          <w:color w:val="000000" w:themeColor="text1"/>
          <w:sz w:val="30"/>
          <w:szCs w:val="30"/>
        </w:rPr>
        <w:t>的期初数量</w:t>
      </w:r>
      <w:r>
        <w:rPr>
          <w:rFonts w:ascii="仿宋_GB2312" w:hAnsi="仿宋" w:eastAsia="仿宋_GB2312"/>
          <w:color w:val="000000" w:themeColor="text1"/>
          <w:sz w:val="30"/>
          <w:szCs w:val="30"/>
        </w:rPr>
        <w:t>和</w:t>
      </w:r>
      <w:r>
        <w:rPr>
          <w:rFonts w:hint="eastAsia" w:ascii="仿宋_GB2312" w:hAnsi="仿宋" w:eastAsia="仿宋_GB2312"/>
          <w:color w:val="000000" w:themeColor="text1"/>
          <w:sz w:val="30"/>
          <w:szCs w:val="30"/>
        </w:rPr>
        <w:t>金额。</w:t>
      </w:r>
    </w:p>
    <w:p w14:paraId="16230EBA">
      <w:pPr>
        <w:spacing w:line="360" w:lineRule="auto"/>
        <w:ind w:firstLine="576" w:firstLineChars="192"/>
        <w:rPr>
          <w:rFonts w:ascii="仿宋_GB2312" w:eastAsia="仿宋_GB2312"/>
          <w:color w:val="000000" w:themeColor="text1"/>
          <w:kern w:val="0"/>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4.</w:t>
      </w:r>
      <w:r>
        <w:rPr>
          <w:rFonts w:hint="eastAsia" w:ascii="仿宋_GB2312" w:hAnsi="仿宋" w:eastAsia="仿宋_GB2312"/>
          <w:color w:val="000000" w:themeColor="text1"/>
          <w:sz w:val="30"/>
          <w:szCs w:val="30"/>
        </w:rPr>
        <w:t>期末账面数</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反映</w:t>
      </w:r>
      <w:r>
        <w:rPr>
          <w:rFonts w:ascii="仿宋_GB2312" w:hAnsi="仿宋" w:eastAsia="仿宋_GB2312"/>
          <w:color w:val="000000" w:themeColor="text1"/>
          <w:sz w:val="30"/>
          <w:szCs w:val="30"/>
        </w:rPr>
        <w:t>本年度各类固定</w:t>
      </w:r>
      <w:r>
        <w:rPr>
          <w:rFonts w:hint="eastAsia" w:ascii="仿宋_GB2312" w:hAnsi="仿宋" w:eastAsia="仿宋_GB2312"/>
          <w:color w:val="000000" w:themeColor="text1"/>
          <w:sz w:val="30"/>
          <w:szCs w:val="30"/>
        </w:rPr>
        <w:t>和无形</w:t>
      </w:r>
      <w:r>
        <w:rPr>
          <w:rFonts w:ascii="仿宋_GB2312" w:hAnsi="仿宋" w:eastAsia="仿宋_GB2312"/>
          <w:color w:val="000000" w:themeColor="text1"/>
          <w:sz w:val="30"/>
          <w:szCs w:val="30"/>
        </w:rPr>
        <w:t>资产</w:t>
      </w:r>
      <w:r>
        <w:rPr>
          <w:rFonts w:hint="eastAsia" w:ascii="仿宋_GB2312" w:hAnsi="仿宋" w:eastAsia="仿宋_GB2312"/>
          <w:color w:val="000000" w:themeColor="text1"/>
          <w:sz w:val="30"/>
          <w:szCs w:val="30"/>
        </w:rPr>
        <w:t>的期末数量和金额。</w:t>
      </w:r>
      <w:r>
        <w:rPr>
          <w:rFonts w:hint="eastAsia" w:ascii="仿宋_GB2312" w:eastAsia="仿宋_GB2312"/>
          <w:color w:val="000000" w:themeColor="text1"/>
          <w:kern w:val="0"/>
          <w:sz w:val="30"/>
          <w:szCs w:val="30"/>
        </w:rPr>
        <w:t>根据卡片记录情况，分别按照在用、闲置、出租出借、待处置（待报废、毁损等）等资产状态提取相应数据。</w:t>
      </w:r>
    </w:p>
    <w:p w14:paraId="353532A5">
      <w:pPr>
        <w:spacing w:line="360" w:lineRule="auto"/>
        <w:ind w:firstLine="576" w:firstLineChars="192"/>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（1）在用:是指本单位占有的，且处于本单位使用状态的资产。</w:t>
      </w:r>
    </w:p>
    <w:p w14:paraId="2889B4DF">
      <w:pPr>
        <w:spacing w:line="360" w:lineRule="auto"/>
        <w:ind w:firstLine="576" w:firstLineChars="192"/>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（2）出租出借：是指本单位让渡给其他单位使用，并签署相关租借协议的资产。</w:t>
      </w:r>
    </w:p>
    <w:p w14:paraId="1D6A520A">
      <w:pPr>
        <w:spacing w:line="360" w:lineRule="auto"/>
        <w:ind w:firstLine="576" w:firstLineChars="192"/>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（3）闲置：是指本年满足使用条件但未投入使用的资产。</w:t>
      </w:r>
    </w:p>
    <w:p w14:paraId="35FE3F05">
      <w:pPr>
        <w:spacing w:line="360" w:lineRule="auto"/>
        <w:ind w:firstLine="576" w:firstLineChars="192"/>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（4）待处置（待报废、毁损等）：是指除在用、闲置、出租出借等以外的资产，如损毁、盘亏资产，处置流程中的资产，待报废资产，公车改革中取消待处置的车辆等。其中：</w:t>
      </w:r>
    </w:p>
    <w:p w14:paraId="03AAF771">
      <w:pPr>
        <w:spacing w:line="360" w:lineRule="auto"/>
        <w:ind w:firstLine="576" w:firstLineChars="192"/>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报废是指按照有关规定或者经有关部门、专家鉴定，对因技术原因确需淘汰或者无法维修、无维修价值的国有资产，或者已超过使用年限且无法满足工作需要的国有资产，进行产权核销的国有资产处置行为；损失核销是指由于发生盘亏、毁损、非正常损失等原因，按照有关规定对国有资产损失进行核销的国有资产处置行为。</w:t>
      </w:r>
    </w:p>
    <w:p w14:paraId="340A7323">
      <w:pPr>
        <w:pStyle w:val="2"/>
        <w:ind w:firstLine="600" w:firstLineChars="200"/>
        <w:rPr>
          <w:b/>
          <w:color w:val="000000" w:themeColor="text1"/>
        </w:rPr>
      </w:pPr>
      <w:r>
        <w:rPr>
          <w:rFonts w:hint="eastAsia"/>
          <w:color w:val="000000" w:themeColor="text1"/>
        </w:rPr>
        <w:t>五、土地情况表（财资0</w:t>
      </w:r>
      <w:r>
        <w:rPr>
          <w:color w:val="000000" w:themeColor="text1"/>
        </w:rPr>
        <w:t>4</w:t>
      </w:r>
      <w:r>
        <w:rPr>
          <w:rFonts w:hint="eastAsia"/>
          <w:color w:val="000000" w:themeColor="text1"/>
        </w:rPr>
        <w:t>表）</w:t>
      </w:r>
    </w:p>
    <w:p w14:paraId="3ECF42B2">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本表反映行政事业单位年末占有、</w:t>
      </w:r>
      <w:r>
        <w:rPr>
          <w:rFonts w:ascii="仿宋_GB2312" w:eastAsia="仿宋_GB2312"/>
          <w:color w:val="000000" w:themeColor="text1"/>
          <w:sz w:val="30"/>
          <w:szCs w:val="30"/>
        </w:rPr>
        <w:t>使用</w:t>
      </w:r>
      <w:r>
        <w:rPr>
          <w:rFonts w:hint="eastAsia" w:ascii="仿宋_GB2312" w:eastAsia="仿宋_GB2312"/>
          <w:color w:val="000000" w:themeColor="text1"/>
          <w:sz w:val="30"/>
          <w:szCs w:val="30"/>
        </w:rPr>
        <w:t>的土地（包含境内外土地使用权和土地所有权，不含经营租入）情况，其中账面数是以资产管理信息系统中资产卡片的相关数据为基础进行填报。本表大部分数据原则上由资产管理信息系统自动提取，个别指标数据由单位进行手工填列。</w:t>
      </w:r>
    </w:p>
    <w:p w14:paraId="4BDD8131">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主要指标说明：</w:t>
      </w:r>
    </w:p>
    <w:p w14:paraId="056ECD7A">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1.</w:t>
      </w:r>
      <w:r>
        <w:rPr>
          <w:rFonts w:ascii="仿宋_GB2312" w:eastAsia="仿宋_GB2312"/>
          <w:color w:val="000000" w:themeColor="text1"/>
          <w:sz w:val="30"/>
          <w:szCs w:val="30"/>
        </w:rPr>
        <w:t>资产分类</w:t>
      </w:r>
      <w:r>
        <w:rPr>
          <w:rFonts w:hint="eastAsia" w:ascii="仿宋_GB2312" w:eastAsia="仿宋_GB2312"/>
          <w:color w:val="000000" w:themeColor="text1"/>
          <w:sz w:val="30"/>
          <w:szCs w:val="30"/>
        </w:rPr>
        <w:t>、资产编号、资产名称、取得方式、取得日期、坐落位置由</w:t>
      </w:r>
      <w:r>
        <w:rPr>
          <w:rFonts w:ascii="仿宋_GB2312" w:eastAsia="仿宋_GB2312"/>
          <w:color w:val="000000" w:themeColor="text1"/>
          <w:sz w:val="30"/>
          <w:szCs w:val="30"/>
        </w:rPr>
        <w:t>资产管理信息系统</w:t>
      </w:r>
      <w:r>
        <w:rPr>
          <w:rFonts w:hint="eastAsia" w:ascii="仿宋_GB2312" w:eastAsia="仿宋_GB2312"/>
          <w:color w:val="000000" w:themeColor="text1"/>
          <w:sz w:val="30"/>
          <w:szCs w:val="30"/>
        </w:rPr>
        <w:t>中固定资产、无形资产</w:t>
      </w:r>
      <w:r>
        <w:rPr>
          <w:rFonts w:ascii="仿宋_GB2312" w:eastAsia="仿宋_GB2312"/>
          <w:color w:val="000000" w:themeColor="text1"/>
          <w:sz w:val="30"/>
          <w:szCs w:val="30"/>
        </w:rPr>
        <w:t>卡片</w:t>
      </w:r>
      <w:r>
        <w:rPr>
          <w:rFonts w:hint="eastAsia" w:ascii="仿宋_GB2312" w:eastAsia="仿宋_GB2312"/>
          <w:color w:val="000000" w:themeColor="text1"/>
          <w:sz w:val="30"/>
          <w:szCs w:val="30"/>
        </w:rPr>
        <w:t>相应指标字段提取。</w:t>
      </w:r>
    </w:p>
    <w:p w14:paraId="07A9E26A">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2</w:t>
      </w:r>
      <w:r>
        <w:rPr>
          <w:rFonts w:ascii="仿宋_GB2312" w:eastAsia="仿宋_GB2312"/>
          <w:color w:val="000000" w:themeColor="text1"/>
          <w:sz w:val="30"/>
          <w:szCs w:val="30"/>
        </w:rPr>
        <w:t>.</w:t>
      </w:r>
      <w:r>
        <w:rPr>
          <w:rFonts w:hint="eastAsia" w:ascii="仿宋_GB2312" w:eastAsia="仿宋_GB2312"/>
          <w:color w:val="000000" w:themeColor="text1"/>
          <w:sz w:val="30"/>
          <w:szCs w:val="30"/>
        </w:rPr>
        <w:t>权属情况：</w:t>
      </w:r>
    </w:p>
    <w:p w14:paraId="7E17FA3D">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（1）</w:t>
      </w:r>
      <w:r>
        <w:rPr>
          <w:rFonts w:ascii="仿宋_GB2312" w:eastAsia="仿宋_GB2312"/>
          <w:color w:val="000000" w:themeColor="text1"/>
          <w:sz w:val="30"/>
          <w:szCs w:val="30"/>
        </w:rPr>
        <w:t>土地权属证明：</w:t>
      </w:r>
      <w:r>
        <w:rPr>
          <w:rFonts w:hint="eastAsia" w:ascii="仿宋_GB2312" w:eastAsia="仿宋_GB2312"/>
          <w:color w:val="000000" w:themeColor="text1"/>
          <w:sz w:val="30"/>
          <w:szCs w:val="30"/>
        </w:rPr>
        <w:t>土地权属证明包括土地使用证、土地使用批准文件、相关法律文书及其他能够证明土地权属的材料。该指标在下拉选项中手工选取填列，下拉选项包括：“有土地证”、“有土地权属相关证明文件”、“无”。</w:t>
      </w:r>
    </w:p>
    <w:p w14:paraId="3BA18140">
      <w:pPr>
        <w:spacing w:line="360" w:lineRule="auto"/>
        <w:ind w:firstLine="567" w:firstLineChars="189"/>
        <w:rPr>
          <w:rFonts w:ascii="仿宋_GB2312" w:eastAsia="仿宋_GB2312"/>
          <w:color w:val="000000" w:themeColor="text1"/>
          <w:sz w:val="30"/>
          <w:szCs w:val="30"/>
        </w:rPr>
      </w:pPr>
      <w:r>
        <w:rPr>
          <w:rFonts w:hint="eastAsia" w:ascii="仿宋_GB2312" w:eastAsia="仿宋_GB2312"/>
          <w:color w:val="000000" w:themeColor="text1"/>
          <w:sz w:val="30"/>
          <w:szCs w:val="30"/>
        </w:rPr>
        <w:t>（2）发证日期：该指标取自资产管理信息系统中的资产卡片的“发证日期”数据。</w:t>
      </w:r>
    </w:p>
    <w:p w14:paraId="7039025F">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（3）土地证号：该指标取自资产管理信息系统中的资产卡片的“权属证号”数据。</w:t>
      </w:r>
    </w:p>
    <w:p w14:paraId="593391D6">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（4）权属面积：权属面积是指由相关部门已确认土地所有权、使用权的土地面积。该指标取自资产管理信息系统中的资产卡片的“使用权面积”数据。</w:t>
      </w:r>
    </w:p>
    <w:p w14:paraId="61DD07BB">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（5）权属性质：下拉选项包括“国有”、“集体”。</w:t>
      </w:r>
    </w:p>
    <w:p w14:paraId="24AA686E">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3</w:t>
      </w:r>
      <w:r>
        <w:rPr>
          <w:rFonts w:ascii="仿宋_GB2312" w:eastAsia="仿宋_GB2312"/>
          <w:color w:val="000000" w:themeColor="text1"/>
          <w:sz w:val="30"/>
          <w:szCs w:val="30"/>
        </w:rPr>
        <w:t>.</w:t>
      </w:r>
      <w:r>
        <w:rPr>
          <w:rFonts w:hint="eastAsia" w:ascii="仿宋_GB2312" w:eastAsia="仿宋_GB2312"/>
          <w:color w:val="000000" w:themeColor="text1"/>
          <w:sz w:val="30"/>
          <w:szCs w:val="30"/>
        </w:rPr>
        <w:t>期末账面数：</w:t>
      </w:r>
    </w:p>
    <w:p w14:paraId="0A90812D">
      <w:pPr>
        <w:spacing w:line="360" w:lineRule="auto"/>
        <w:ind w:firstLine="576" w:firstLineChars="192"/>
        <w:rPr>
          <w:rFonts w:ascii="仿宋_GB2312" w:eastAsia="仿宋_GB2312"/>
          <w:color w:val="000000" w:themeColor="text1"/>
          <w:kern w:val="0"/>
          <w:sz w:val="30"/>
          <w:szCs w:val="30"/>
        </w:rPr>
      </w:pPr>
      <w:r>
        <w:rPr>
          <w:rFonts w:hint="eastAsia" w:ascii="仿宋_GB2312" w:eastAsia="仿宋_GB2312"/>
          <w:color w:val="000000" w:themeColor="text1"/>
          <w:sz w:val="30"/>
          <w:szCs w:val="30"/>
        </w:rPr>
        <w:t>（1）使用状况：</w:t>
      </w:r>
      <w:r>
        <w:rPr>
          <w:rFonts w:hint="eastAsia" w:ascii="仿宋_GB2312" w:eastAsia="仿宋_GB2312"/>
          <w:color w:val="000000" w:themeColor="text1"/>
          <w:kern w:val="0"/>
          <w:sz w:val="30"/>
          <w:szCs w:val="30"/>
        </w:rPr>
        <w:t>根据卡片记录情况，分别按照“在用”、“闲置”、“出租出借”、“待处置（待报废、毁损等）”等资产使用状况提取相应数据。</w:t>
      </w:r>
    </w:p>
    <w:p w14:paraId="68595C61">
      <w:pPr>
        <w:spacing w:line="360" w:lineRule="auto"/>
        <w:ind w:firstLine="576" w:firstLineChars="192"/>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在用:是指本单位占有的，且处于使用状态的资产。</w:t>
      </w:r>
    </w:p>
    <w:p w14:paraId="6A4AECF8">
      <w:pPr>
        <w:spacing w:line="360" w:lineRule="auto"/>
        <w:ind w:firstLine="576" w:firstLineChars="192"/>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出租出借：是指本单位让渡给其他单位使用，并签署相关租借协议的资产。</w:t>
      </w:r>
    </w:p>
    <w:p w14:paraId="1E254450">
      <w:pPr>
        <w:spacing w:line="360" w:lineRule="auto"/>
        <w:ind w:firstLine="576" w:firstLineChars="192"/>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闲置：是指满足使用条件但未投入使用的资产。</w:t>
      </w:r>
    </w:p>
    <w:p w14:paraId="281ACF50">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kern w:val="0"/>
          <w:sz w:val="30"/>
          <w:szCs w:val="30"/>
        </w:rPr>
        <w:t>待处置（待报废、毁损等）：是指除在用、闲置、出租出借等以外的使用情形，如损毁、盘亏资产，处置流程中的资产，待报废资产</w:t>
      </w:r>
      <w:r>
        <w:rPr>
          <w:rFonts w:hint="eastAsia" w:ascii="仿宋_GB2312" w:hAnsi="仿宋" w:eastAsia="仿宋_GB2312"/>
          <w:color w:val="000000" w:themeColor="text1"/>
          <w:sz w:val="30"/>
          <w:szCs w:val="30"/>
        </w:rPr>
        <w:t>等。</w:t>
      </w:r>
    </w:p>
    <w:p w14:paraId="3E718AF0">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（2）原值、累计摊销、净值：由</w:t>
      </w:r>
      <w:r>
        <w:rPr>
          <w:rFonts w:ascii="仿宋_GB2312" w:eastAsia="仿宋_GB2312"/>
          <w:color w:val="000000" w:themeColor="text1"/>
          <w:sz w:val="30"/>
          <w:szCs w:val="30"/>
        </w:rPr>
        <w:t>资产管理信息系统</w:t>
      </w:r>
      <w:r>
        <w:rPr>
          <w:rFonts w:hint="eastAsia" w:ascii="仿宋_GB2312" w:eastAsia="仿宋_GB2312"/>
          <w:color w:val="000000" w:themeColor="text1"/>
          <w:sz w:val="30"/>
          <w:szCs w:val="30"/>
        </w:rPr>
        <w:t>中土地资产</w:t>
      </w:r>
      <w:r>
        <w:rPr>
          <w:rFonts w:ascii="仿宋_GB2312" w:eastAsia="仿宋_GB2312"/>
          <w:color w:val="000000" w:themeColor="text1"/>
          <w:sz w:val="30"/>
          <w:szCs w:val="30"/>
        </w:rPr>
        <w:t>卡片</w:t>
      </w:r>
      <w:r>
        <w:rPr>
          <w:rFonts w:hint="eastAsia" w:ascii="仿宋_GB2312" w:eastAsia="仿宋_GB2312"/>
          <w:color w:val="000000" w:themeColor="text1"/>
          <w:sz w:val="30"/>
          <w:szCs w:val="30"/>
        </w:rPr>
        <w:t>相应指标字段提取。</w:t>
      </w:r>
    </w:p>
    <w:p w14:paraId="1F6578ED">
      <w:pPr>
        <w:pStyle w:val="2"/>
        <w:ind w:firstLine="600" w:firstLineChars="200"/>
        <w:rPr>
          <w:b/>
          <w:color w:val="000000" w:themeColor="text1"/>
        </w:rPr>
      </w:pPr>
      <w:r>
        <w:rPr>
          <w:rFonts w:hint="eastAsia"/>
          <w:color w:val="000000" w:themeColor="text1"/>
        </w:rPr>
        <w:t>六、房屋情况表（财资0</w:t>
      </w:r>
      <w:r>
        <w:rPr>
          <w:color w:val="000000" w:themeColor="text1"/>
        </w:rPr>
        <w:t>5</w:t>
      </w:r>
      <w:r>
        <w:rPr>
          <w:rFonts w:hint="eastAsia"/>
          <w:color w:val="000000" w:themeColor="text1"/>
        </w:rPr>
        <w:t>表）</w:t>
      </w:r>
    </w:p>
    <w:p w14:paraId="051159EC">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本表反映行政事业单位办公用房、业务用房、其他用房（不含构筑物和房屋附属设施）期末在用、出租出借、闲置、待处置（待报废、毁损等）的面积和账面价值情况。本表中的房屋分为本单位房屋、使用其他单位房屋和已投入使用在建工程未转固房屋三类，行政事业单位至少存在三类情况之一。其中：本单位房屋以资产管理信息系统数据为基础自动提取；使用其他单位房屋情况和已投入使用的在建工程未转固房屋情况为手工填列。</w:t>
      </w:r>
    </w:p>
    <w:p w14:paraId="543C4C1D">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使用其他单位房屋分为三类：使用机关事务管理机构房屋、使用除机关事务管理机构外的其他行政事业单位房屋和其他。使用机关事务管理机构房屋是指房屋所有权证由机关事务管理机构统一登记，实际分配给单位使用且未在单位账面上反映。使用除机关事务管理机构外的其他行政事业单位房屋是指本单位占有、使用相关行政事业单位的房屋。其他是指行政事业单位租用的房屋等。</w:t>
      </w:r>
    </w:p>
    <w:p w14:paraId="0F070BAC">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主要指标说明：</w:t>
      </w:r>
    </w:p>
    <w:p w14:paraId="1C5861F8">
      <w:pPr>
        <w:spacing w:line="360" w:lineRule="auto"/>
        <w:ind w:firstLine="567" w:firstLineChars="189"/>
        <w:rPr>
          <w:rFonts w:ascii="仿宋_GB2312" w:hAnsi="等线" w:eastAsia="仿宋_GB2312"/>
          <w:color w:val="000000" w:themeColor="text1"/>
          <w:sz w:val="30"/>
          <w:szCs w:val="30"/>
        </w:rPr>
      </w:pPr>
      <w:r>
        <w:rPr>
          <w:rFonts w:ascii="仿宋_GB2312" w:eastAsia="仿宋_GB2312"/>
          <w:color w:val="000000" w:themeColor="text1"/>
          <w:sz w:val="30"/>
          <w:szCs w:val="30"/>
        </w:rPr>
        <w:t>1.</w:t>
      </w:r>
      <w:r>
        <w:rPr>
          <w:rFonts w:hint="eastAsia" w:ascii="仿宋_GB2312" w:hAnsi="等线" w:eastAsia="仿宋_GB2312"/>
          <w:color w:val="000000" w:themeColor="text1"/>
          <w:sz w:val="30"/>
          <w:szCs w:val="30"/>
        </w:rPr>
        <w:t>资产分类、资产名称、坐落位置：</w:t>
      </w:r>
      <w:r>
        <w:rPr>
          <w:rFonts w:hint="eastAsia" w:ascii="仿宋_GB2312" w:eastAsia="仿宋_GB2312"/>
          <w:color w:val="000000" w:themeColor="text1"/>
          <w:sz w:val="30"/>
          <w:szCs w:val="30"/>
        </w:rPr>
        <w:t>本单位房屋</w:t>
      </w:r>
      <w:r>
        <w:rPr>
          <w:rFonts w:hint="eastAsia" w:ascii="仿宋_GB2312" w:hAnsi="等线" w:eastAsia="仿宋_GB2312"/>
          <w:color w:val="000000" w:themeColor="text1"/>
          <w:sz w:val="30"/>
          <w:szCs w:val="30"/>
        </w:rPr>
        <w:t>由</w:t>
      </w:r>
      <w:r>
        <w:rPr>
          <w:rFonts w:ascii="仿宋_GB2312" w:hAnsi="等线" w:eastAsia="仿宋_GB2312"/>
          <w:color w:val="000000" w:themeColor="text1"/>
          <w:sz w:val="30"/>
          <w:szCs w:val="30"/>
        </w:rPr>
        <w:t>资产管理信息系统</w:t>
      </w:r>
      <w:r>
        <w:rPr>
          <w:rFonts w:hint="eastAsia" w:ascii="仿宋_GB2312" w:hAnsi="等线" w:eastAsia="仿宋_GB2312"/>
          <w:color w:val="000000" w:themeColor="text1"/>
          <w:sz w:val="30"/>
          <w:szCs w:val="30"/>
        </w:rPr>
        <w:t>中资产</w:t>
      </w:r>
      <w:r>
        <w:rPr>
          <w:rFonts w:ascii="仿宋_GB2312" w:hAnsi="等线" w:eastAsia="仿宋_GB2312"/>
          <w:color w:val="000000" w:themeColor="text1"/>
          <w:sz w:val="30"/>
          <w:szCs w:val="30"/>
        </w:rPr>
        <w:t>卡片</w:t>
      </w:r>
      <w:r>
        <w:rPr>
          <w:rFonts w:hint="eastAsia" w:ascii="仿宋_GB2312" w:hAnsi="等线" w:eastAsia="仿宋_GB2312"/>
          <w:color w:val="000000" w:themeColor="text1"/>
          <w:sz w:val="30"/>
          <w:szCs w:val="30"/>
        </w:rPr>
        <w:t>相应指标字段提取；使用其他单位房屋和已投入使用在建工程未转固房屋</w:t>
      </w:r>
      <w:r>
        <w:rPr>
          <w:rFonts w:hint="eastAsia" w:ascii="仿宋_GB2312" w:eastAsia="仿宋_GB2312"/>
          <w:color w:val="000000" w:themeColor="text1"/>
          <w:sz w:val="30"/>
          <w:szCs w:val="30"/>
        </w:rPr>
        <w:t>的</w:t>
      </w:r>
      <w:r>
        <w:rPr>
          <w:rFonts w:hint="eastAsia" w:ascii="仿宋_GB2312" w:hAnsi="等线" w:eastAsia="仿宋_GB2312"/>
          <w:color w:val="000000" w:themeColor="text1"/>
          <w:sz w:val="30"/>
          <w:szCs w:val="30"/>
        </w:rPr>
        <w:t>由单位手工填列。</w:t>
      </w:r>
    </w:p>
    <w:p w14:paraId="346455DC">
      <w:pPr>
        <w:spacing w:line="360" w:lineRule="auto"/>
        <w:ind w:firstLine="567" w:firstLineChars="189"/>
        <w:rPr>
          <w:rFonts w:ascii="仿宋_GB2312" w:eastAsia="仿宋_GB2312"/>
          <w:color w:val="000000" w:themeColor="text1"/>
          <w:sz w:val="30"/>
          <w:szCs w:val="30"/>
        </w:rPr>
      </w:pPr>
      <w:r>
        <w:rPr>
          <w:rFonts w:ascii="仿宋_GB2312" w:hAnsi="等线" w:eastAsia="仿宋_GB2312"/>
          <w:color w:val="000000" w:themeColor="text1"/>
          <w:sz w:val="30"/>
          <w:szCs w:val="30"/>
        </w:rPr>
        <w:t>2.</w:t>
      </w:r>
      <w:r>
        <w:rPr>
          <w:rFonts w:hint="eastAsia" w:ascii="仿宋_GB2312" w:hAnsi="等线" w:eastAsia="仿宋_GB2312"/>
          <w:color w:val="000000" w:themeColor="text1"/>
          <w:sz w:val="30"/>
          <w:szCs w:val="30"/>
        </w:rPr>
        <w:t>资产编号、取得方式、取得日期：本单位房屋由</w:t>
      </w:r>
      <w:r>
        <w:rPr>
          <w:rFonts w:ascii="仿宋_GB2312" w:hAnsi="等线" w:eastAsia="仿宋_GB2312"/>
          <w:color w:val="000000" w:themeColor="text1"/>
          <w:sz w:val="30"/>
          <w:szCs w:val="30"/>
        </w:rPr>
        <w:t>资产管理信息系统</w:t>
      </w:r>
      <w:r>
        <w:rPr>
          <w:rFonts w:hint="eastAsia" w:ascii="仿宋_GB2312" w:hAnsi="等线" w:eastAsia="仿宋_GB2312"/>
          <w:color w:val="000000" w:themeColor="text1"/>
          <w:sz w:val="30"/>
          <w:szCs w:val="30"/>
        </w:rPr>
        <w:t>中资产</w:t>
      </w:r>
      <w:r>
        <w:rPr>
          <w:rFonts w:ascii="仿宋_GB2312" w:hAnsi="等线" w:eastAsia="仿宋_GB2312"/>
          <w:color w:val="000000" w:themeColor="text1"/>
          <w:sz w:val="30"/>
          <w:szCs w:val="30"/>
        </w:rPr>
        <w:t>卡片</w:t>
      </w:r>
      <w:r>
        <w:rPr>
          <w:rFonts w:hint="eastAsia" w:ascii="仿宋_GB2312" w:hAnsi="等线" w:eastAsia="仿宋_GB2312"/>
          <w:color w:val="000000" w:themeColor="text1"/>
          <w:sz w:val="30"/>
          <w:szCs w:val="30"/>
        </w:rPr>
        <w:t>相应指标字段提取；使用其他单位房屋和已投入使用在建工程未转固房屋的不需填列。资产卡片中取得方式包括：新购、调拨、接受捐赠、自建、置换、盘盈、其他。</w:t>
      </w:r>
    </w:p>
    <w:p w14:paraId="502891A3">
      <w:pPr>
        <w:spacing w:line="360" w:lineRule="auto"/>
        <w:ind w:firstLine="567" w:firstLineChars="189"/>
        <w:rPr>
          <w:rFonts w:ascii="仿宋_GB2312" w:eastAsia="仿宋_GB2312"/>
          <w:color w:val="000000" w:themeColor="text1"/>
          <w:sz w:val="30"/>
          <w:szCs w:val="30"/>
        </w:rPr>
      </w:pPr>
      <w:r>
        <w:rPr>
          <w:rFonts w:ascii="仿宋_GB2312" w:hAnsi="仿宋" w:eastAsia="仿宋_GB2312"/>
          <w:color w:val="000000" w:themeColor="text1"/>
          <w:sz w:val="30"/>
          <w:szCs w:val="30"/>
        </w:rPr>
        <w:t>3</w:t>
      </w:r>
      <w:r>
        <w:rPr>
          <w:rFonts w:ascii="仿宋_GB2312" w:eastAsia="仿宋_GB2312"/>
          <w:color w:val="000000" w:themeColor="text1"/>
          <w:sz w:val="30"/>
          <w:szCs w:val="30"/>
        </w:rPr>
        <w:t>.房屋权属证明：</w:t>
      </w:r>
      <w:r>
        <w:rPr>
          <w:rFonts w:hint="eastAsia" w:ascii="仿宋_GB2312" w:eastAsia="仿宋_GB2312"/>
          <w:color w:val="000000" w:themeColor="text1"/>
          <w:sz w:val="30"/>
          <w:szCs w:val="30"/>
        </w:rPr>
        <w:t>房屋权属证明包括房屋所有权证、房屋权属批准文件、相关法律文书及其他能够证明房屋权属的材料。该指标包含“有房屋所有权证”、“有房屋权属相关证明文件”、“无”，由单位手工选择填列。</w:t>
      </w:r>
    </w:p>
    <w:p w14:paraId="01780ECD">
      <w:pPr>
        <w:spacing w:line="360" w:lineRule="auto"/>
        <w:ind w:firstLine="576" w:firstLineChars="192"/>
        <w:rPr>
          <w:rFonts w:ascii="仿宋_GB2312" w:eastAsia="仿宋_GB2312"/>
          <w:color w:val="000000" w:themeColor="text1"/>
          <w:sz w:val="30"/>
          <w:szCs w:val="30"/>
        </w:rPr>
      </w:pPr>
      <w:r>
        <w:rPr>
          <w:rFonts w:ascii="仿宋_GB2312" w:eastAsia="仿宋_GB2312"/>
          <w:color w:val="000000" w:themeColor="text1"/>
          <w:sz w:val="30"/>
          <w:szCs w:val="30"/>
        </w:rPr>
        <w:t>4.权属人：该指标包含“本单位”、“机关事务管理机构</w:t>
      </w:r>
      <w:r>
        <w:rPr>
          <w:rFonts w:hint="eastAsia" w:ascii="仿宋_GB2312" w:eastAsia="仿宋_GB2312"/>
          <w:color w:val="000000" w:themeColor="text1"/>
          <w:sz w:val="30"/>
          <w:szCs w:val="30"/>
        </w:rPr>
        <w:t>”、“除机关事务管理机构外的其他行政事业单位”、“其他”，由单位手工选择填列；若选择</w:t>
      </w:r>
      <w:r>
        <w:rPr>
          <w:rFonts w:ascii="仿宋_GB2312" w:eastAsia="仿宋_GB2312"/>
          <w:color w:val="000000" w:themeColor="text1"/>
          <w:sz w:val="30"/>
          <w:szCs w:val="30"/>
        </w:rPr>
        <w:t>“除机关事务管理机构</w:t>
      </w:r>
      <w:r>
        <w:rPr>
          <w:rFonts w:hint="eastAsia" w:ascii="仿宋_GB2312" w:eastAsia="仿宋_GB2312"/>
          <w:color w:val="000000" w:themeColor="text1"/>
          <w:sz w:val="30"/>
          <w:szCs w:val="30"/>
        </w:rPr>
        <w:t>外</w:t>
      </w:r>
      <w:r>
        <w:rPr>
          <w:rFonts w:ascii="仿宋_GB2312" w:eastAsia="仿宋_GB2312"/>
          <w:color w:val="000000" w:themeColor="text1"/>
          <w:sz w:val="30"/>
          <w:szCs w:val="30"/>
        </w:rPr>
        <w:t>的其他</w:t>
      </w:r>
      <w:r>
        <w:rPr>
          <w:rFonts w:hint="eastAsia" w:ascii="仿宋_GB2312" w:eastAsia="仿宋_GB2312"/>
          <w:color w:val="000000" w:themeColor="text1"/>
          <w:sz w:val="30"/>
          <w:szCs w:val="30"/>
        </w:rPr>
        <w:t>行政事业</w:t>
      </w:r>
      <w:r>
        <w:rPr>
          <w:rFonts w:ascii="仿宋_GB2312" w:eastAsia="仿宋_GB2312"/>
          <w:color w:val="000000" w:themeColor="text1"/>
          <w:sz w:val="30"/>
          <w:szCs w:val="30"/>
        </w:rPr>
        <w:t>单位”</w:t>
      </w:r>
      <w:r>
        <w:rPr>
          <w:rFonts w:hint="eastAsia" w:ascii="仿宋_GB2312" w:eastAsia="仿宋_GB2312"/>
          <w:color w:val="000000" w:themeColor="text1"/>
          <w:sz w:val="30"/>
          <w:szCs w:val="30"/>
        </w:rPr>
        <w:t>和“其他”，则需在“备注”栏中填写实际权属人名称。</w:t>
      </w:r>
    </w:p>
    <w:p w14:paraId="0A3001DB">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本表中的机关事务管理机构是指承担机关事务管理职能的相关部门，如机关事务管理局（政府办）等。</w:t>
      </w:r>
    </w:p>
    <w:p w14:paraId="55A6F761">
      <w:pPr>
        <w:spacing w:line="360" w:lineRule="auto"/>
        <w:ind w:firstLine="576" w:firstLineChars="192"/>
        <w:rPr>
          <w:rFonts w:ascii="仿宋_GB2312" w:eastAsia="仿宋_GB2312"/>
          <w:color w:val="000000" w:themeColor="text1"/>
          <w:sz w:val="30"/>
          <w:szCs w:val="30"/>
        </w:rPr>
      </w:pPr>
      <w:r>
        <w:rPr>
          <w:rFonts w:ascii="仿宋_GB2312" w:eastAsia="仿宋_GB2312"/>
          <w:color w:val="000000" w:themeColor="text1"/>
          <w:sz w:val="30"/>
          <w:szCs w:val="30"/>
        </w:rPr>
        <w:t>5.发证日期：</w:t>
      </w:r>
      <w:r>
        <w:rPr>
          <w:rFonts w:hint="eastAsia" w:ascii="仿宋_GB2312" w:eastAsia="仿宋_GB2312"/>
          <w:color w:val="000000" w:themeColor="text1"/>
          <w:sz w:val="30"/>
          <w:szCs w:val="30"/>
        </w:rPr>
        <w:t>仅本单位房屋填列此指标，该指标提取资产管理信息系统中资产卡片的“发证日期”数据。</w:t>
      </w:r>
    </w:p>
    <w:p w14:paraId="183AA737">
      <w:pPr>
        <w:spacing w:line="360" w:lineRule="auto"/>
        <w:ind w:firstLine="576" w:firstLineChars="192"/>
        <w:rPr>
          <w:rFonts w:ascii="仿宋_GB2312" w:eastAsia="仿宋_GB2312"/>
          <w:color w:val="000000" w:themeColor="text1"/>
          <w:sz w:val="30"/>
          <w:szCs w:val="30"/>
        </w:rPr>
      </w:pPr>
      <w:r>
        <w:rPr>
          <w:rFonts w:ascii="仿宋_GB2312" w:eastAsia="仿宋_GB2312"/>
          <w:color w:val="000000" w:themeColor="text1"/>
          <w:sz w:val="30"/>
          <w:szCs w:val="30"/>
        </w:rPr>
        <w:t>6.房屋所有权证号：</w:t>
      </w:r>
      <w:r>
        <w:rPr>
          <w:rFonts w:hint="eastAsia" w:ascii="仿宋_GB2312" w:eastAsia="仿宋_GB2312"/>
          <w:color w:val="000000" w:themeColor="text1"/>
          <w:sz w:val="30"/>
          <w:szCs w:val="30"/>
        </w:rPr>
        <w:t>仅本单位房屋填列此指标，该指标提取资产管理信息系统中资产卡片的“权属证号”数据。</w:t>
      </w:r>
    </w:p>
    <w:p w14:paraId="4599055E">
      <w:pPr>
        <w:spacing w:line="360" w:lineRule="auto"/>
        <w:ind w:firstLine="576" w:firstLineChars="192"/>
        <w:rPr>
          <w:rFonts w:ascii="仿宋_GB2312" w:eastAsia="仿宋_GB2312"/>
          <w:color w:val="000000" w:themeColor="text1"/>
          <w:sz w:val="30"/>
          <w:szCs w:val="30"/>
        </w:rPr>
      </w:pPr>
      <w:r>
        <w:rPr>
          <w:rFonts w:ascii="仿宋_GB2312" w:eastAsia="仿宋_GB2312"/>
          <w:color w:val="000000" w:themeColor="text1"/>
          <w:sz w:val="30"/>
          <w:szCs w:val="30"/>
        </w:rPr>
        <w:t>7.</w:t>
      </w:r>
      <w:r>
        <w:rPr>
          <w:rFonts w:hint="eastAsia" w:ascii="仿宋_GB2312" w:eastAsia="仿宋_GB2312"/>
          <w:color w:val="000000" w:themeColor="text1"/>
          <w:sz w:val="30"/>
          <w:szCs w:val="30"/>
        </w:rPr>
        <w:t>权属面积：仅本单位房屋填列此指标，该指标提取资产管理信息系统中资产卡片的“建筑面积”数据。</w:t>
      </w:r>
    </w:p>
    <w:p w14:paraId="3C1EF75C">
      <w:pPr>
        <w:spacing w:line="360" w:lineRule="auto"/>
        <w:ind w:firstLine="576" w:firstLineChars="192"/>
        <w:rPr>
          <w:rFonts w:ascii="仿宋_GB2312" w:eastAsia="仿宋_GB2312"/>
          <w:color w:val="000000" w:themeColor="text1"/>
          <w:kern w:val="0"/>
          <w:sz w:val="30"/>
          <w:szCs w:val="30"/>
        </w:rPr>
      </w:pPr>
      <w:r>
        <w:rPr>
          <w:rFonts w:ascii="仿宋_GB2312" w:eastAsia="仿宋_GB2312"/>
          <w:color w:val="000000" w:themeColor="text1"/>
          <w:kern w:val="0"/>
          <w:sz w:val="30"/>
          <w:szCs w:val="30"/>
        </w:rPr>
        <w:t>8.办公用房</w:t>
      </w:r>
      <w:r>
        <w:rPr>
          <w:rFonts w:hint="eastAsia" w:ascii="仿宋_GB2312" w:eastAsia="仿宋_GB2312"/>
          <w:color w:val="000000" w:themeColor="text1"/>
          <w:kern w:val="0"/>
          <w:sz w:val="30"/>
          <w:szCs w:val="30"/>
        </w:rPr>
        <w:t>：按照《党政机关办公用房建设标准》（发改投资〔</w:t>
      </w:r>
      <w:r>
        <w:rPr>
          <w:rFonts w:ascii="仿宋_GB2312" w:eastAsia="仿宋_GB2312"/>
          <w:color w:val="000000" w:themeColor="text1"/>
          <w:kern w:val="0"/>
          <w:sz w:val="30"/>
          <w:szCs w:val="30"/>
        </w:rPr>
        <w:t>2014〕2674号）相关规定，</w:t>
      </w:r>
      <w:r>
        <w:rPr>
          <w:rFonts w:hint="eastAsia" w:ascii="仿宋_GB2312" w:eastAsia="仿宋_GB2312"/>
          <w:color w:val="000000" w:themeColor="text1"/>
          <w:kern w:val="0"/>
          <w:sz w:val="30"/>
          <w:szCs w:val="30"/>
        </w:rPr>
        <w:t>包括办公室用房、服务用房、设备用房和附属用房。面积原则上按建筑面积填列。</w:t>
      </w:r>
    </w:p>
    <w:p w14:paraId="4B914394">
      <w:pPr>
        <w:spacing w:line="360" w:lineRule="auto"/>
        <w:ind w:firstLine="576" w:firstLineChars="192"/>
        <w:rPr>
          <w:rFonts w:ascii="仿宋_GB2312" w:eastAsia="仿宋_GB2312"/>
          <w:color w:val="000000" w:themeColor="text1"/>
          <w:kern w:val="0"/>
          <w:sz w:val="30"/>
          <w:szCs w:val="30"/>
        </w:rPr>
      </w:pPr>
      <w:r>
        <w:rPr>
          <w:rFonts w:ascii="仿宋_GB2312" w:eastAsia="仿宋_GB2312"/>
          <w:color w:val="000000" w:themeColor="text1"/>
          <w:kern w:val="0"/>
          <w:sz w:val="30"/>
          <w:szCs w:val="30"/>
        </w:rPr>
        <w:t>9.</w:t>
      </w:r>
      <w:r>
        <w:rPr>
          <w:rFonts w:hint="eastAsia" w:ascii="仿宋_GB2312" w:eastAsia="仿宋_GB2312"/>
          <w:color w:val="000000" w:themeColor="text1"/>
          <w:kern w:val="0"/>
          <w:sz w:val="30"/>
          <w:szCs w:val="30"/>
        </w:rPr>
        <w:t>本单位实际使用办公室用房（使用面积）</w:t>
      </w:r>
      <w:r>
        <w:rPr>
          <w:rFonts w:ascii="仿宋_GB2312" w:eastAsia="仿宋_GB2312"/>
          <w:color w:val="000000" w:themeColor="text1"/>
          <w:kern w:val="0"/>
          <w:sz w:val="30"/>
          <w:szCs w:val="30"/>
        </w:rPr>
        <w:t>：</w:t>
      </w:r>
      <w:r>
        <w:rPr>
          <w:rFonts w:hint="eastAsia" w:ascii="仿宋_GB2312" w:eastAsia="仿宋_GB2312"/>
          <w:color w:val="000000" w:themeColor="text1"/>
          <w:kern w:val="0"/>
          <w:sz w:val="30"/>
          <w:szCs w:val="30"/>
        </w:rPr>
        <w:t>按照《党政机关办公用房建设标准》（发改投资〔</w:t>
      </w:r>
      <w:r>
        <w:rPr>
          <w:rFonts w:ascii="仿宋_GB2312" w:eastAsia="仿宋_GB2312"/>
          <w:color w:val="000000" w:themeColor="text1"/>
          <w:kern w:val="0"/>
          <w:sz w:val="30"/>
          <w:szCs w:val="30"/>
        </w:rPr>
        <w:t>2014〕2674号）相关规定，</w:t>
      </w:r>
      <w:r>
        <w:rPr>
          <w:rFonts w:hint="eastAsia" w:ascii="仿宋_GB2312" w:eastAsia="仿宋_GB2312"/>
          <w:color w:val="000000" w:themeColor="text1"/>
          <w:kern w:val="0"/>
          <w:sz w:val="30"/>
          <w:szCs w:val="30"/>
        </w:rPr>
        <w:t>填写领导人员办公室和一般工作人员办公室的使用面积，反映行政事业单位实际使用的办公室用房面积。</w:t>
      </w:r>
    </w:p>
    <w:p w14:paraId="7BE864B5">
      <w:pPr>
        <w:spacing w:line="360" w:lineRule="auto"/>
        <w:ind w:firstLine="576" w:firstLineChars="192"/>
        <w:rPr>
          <w:rFonts w:ascii="仿宋_GB2312" w:eastAsia="仿宋_GB2312"/>
          <w:color w:val="000000" w:themeColor="text1"/>
          <w:kern w:val="0"/>
          <w:sz w:val="30"/>
          <w:szCs w:val="30"/>
        </w:rPr>
      </w:pPr>
      <w:r>
        <w:rPr>
          <w:rFonts w:ascii="仿宋_GB2312" w:eastAsia="仿宋_GB2312"/>
          <w:color w:val="000000" w:themeColor="text1"/>
          <w:kern w:val="0"/>
          <w:sz w:val="30"/>
          <w:szCs w:val="30"/>
        </w:rPr>
        <w:t>10.业务用房:填列</w:t>
      </w:r>
      <w:r>
        <w:rPr>
          <w:rFonts w:hint="eastAsia" w:ascii="仿宋_GB2312" w:eastAsia="仿宋_GB2312"/>
          <w:color w:val="000000" w:themeColor="text1"/>
          <w:kern w:val="0"/>
          <w:sz w:val="30"/>
          <w:szCs w:val="30"/>
        </w:rPr>
        <w:t>行政事业</w:t>
      </w:r>
      <w:r>
        <w:rPr>
          <w:rFonts w:ascii="仿宋_GB2312" w:eastAsia="仿宋_GB2312"/>
          <w:color w:val="000000" w:themeColor="text1"/>
          <w:kern w:val="0"/>
          <w:sz w:val="30"/>
          <w:szCs w:val="30"/>
        </w:rPr>
        <w:t>单位为开展各类业务设置的特殊技术业务场所。包括行政单位业务用房、公共安全用房、事业单位用房及社会团体用房等行政事业单位业务类用房，</w:t>
      </w:r>
      <w:r>
        <w:rPr>
          <w:rFonts w:hint="eastAsia" w:ascii="仿宋_GB2312" w:eastAsia="仿宋_GB2312"/>
          <w:color w:val="000000" w:themeColor="text1"/>
          <w:kern w:val="0"/>
          <w:sz w:val="30"/>
          <w:szCs w:val="30"/>
        </w:rPr>
        <w:t>面积原则上按建筑面积填列。</w:t>
      </w:r>
    </w:p>
    <w:p w14:paraId="3DFAA0CA">
      <w:pPr>
        <w:spacing w:line="360" w:lineRule="auto"/>
        <w:ind w:firstLine="576" w:firstLineChars="192"/>
        <w:rPr>
          <w:rFonts w:ascii="仿宋_GB2312" w:eastAsia="仿宋_GB2312"/>
          <w:color w:val="000000" w:themeColor="text1"/>
          <w:kern w:val="0"/>
          <w:sz w:val="30"/>
          <w:szCs w:val="30"/>
        </w:rPr>
      </w:pPr>
      <w:r>
        <w:rPr>
          <w:rFonts w:ascii="仿宋_GB2312" w:eastAsia="仿宋_GB2312"/>
          <w:color w:val="000000" w:themeColor="text1"/>
          <w:kern w:val="0"/>
          <w:sz w:val="30"/>
          <w:szCs w:val="30"/>
        </w:rPr>
        <w:t>11.</w:t>
      </w:r>
      <w:r>
        <w:rPr>
          <w:rFonts w:hint="eastAsia" w:ascii="仿宋_GB2312" w:eastAsia="仿宋_GB2312"/>
          <w:color w:val="000000" w:themeColor="text1"/>
          <w:kern w:val="0"/>
          <w:sz w:val="30"/>
          <w:szCs w:val="30"/>
        </w:rPr>
        <w:t>在</w:t>
      </w:r>
      <w:r>
        <w:rPr>
          <w:rFonts w:ascii="仿宋_GB2312" w:eastAsia="仿宋_GB2312"/>
          <w:color w:val="000000" w:themeColor="text1"/>
          <w:kern w:val="0"/>
          <w:sz w:val="30"/>
          <w:szCs w:val="30"/>
        </w:rPr>
        <w:t>用</w:t>
      </w:r>
      <w:r>
        <w:rPr>
          <w:rFonts w:hint="eastAsia" w:ascii="仿宋_GB2312" w:eastAsia="仿宋_GB2312"/>
          <w:color w:val="000000" w:themeColor="text1"/>
          <w:kern w:val="0"/>
          <w:sz w:val="30"/>
          <w:szCs w:val="30"/>
        </w:rPr>
        <w:t>：是指行政事业单位占有的，且处于使用状态的房屋，包括使用本单位房屋、使用其他单位房屋、已投入使用的在建工程未转固的房屋。系统内独立核算单位以及历史原因系统外单位占有使用本单位房屋的也应填列在本单位“在用”中。</w:t>
      </w:r>
    </w:p>
    <w:p w14:paraId="57AE91F6">
      <w:pPr>
        <w:spacing w:line="360" w:lineRule="auto"/>
        <w:ind w:firstLine="576" w:firstLineChars="192"/>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12.待处置（待报废、毁损等）：主要反映行政事业单位除在用、出租出借、闲置以外的房屋情况，该指标信息主要提取房屋资产卡片中的“其他面积”。</w:t>
      </w:r>
    </w:p>
    <w:p w14:paraId="1FFE0179">
      <w:pPr>
        <w:spacing w:line="360" w:lineRule="auto"/>
        <w:ind w:firstLine="576" w:firstLineChars="192"/>
        <w:rPr>
          <w:rFonts w:ascii="仿宋_GB2312" w:eastAsia="仿宋_GB2312"/>
          <w:color w:val="000000" w:themeColor="text1"/>
          <w:sz w:val="30"/>
          <w:szCs w:val="30"/>
        </w:rPr>
      </w:pPr>
      <w:r>
        <w:rPr>
          <w:rFonts w:hint="eastAsia" w:ascii="仿宋_GB2312" w:eastAsia="仿宋_GB2312"/>
          <w:color w:val="000000" w:themeColor="text1"/>
          <w:sz w:val="30"/>
          <w:szCs w:val="30"/>
        </w:rPr>
        <w:t>本单位房屋由</w:t>
      </w:r>
      <w:r>
        <w:rPr>
          <w:rFonts w:ascii="仿宋_GB2312" w:eastAsia="仿宋_GB2312"/>
          <w:color w:val="000000" w:themeColor="text1"/>
          <w:sz w:val="30"/>
          <w:szCs w:val="30"/>
        </w:rPr>
        <w:t>资产管理信息系统</w:t>
      </w:r>
      <w:r>
        <w:rPr>
          <w:rFonts w:hint="eastAsia" w:ascii="仿宋_GB2312" w:eastAsia="仿宋_GB2312"/>
          <w:color w:val="000000" w:themeColor="text1"/>
          <w:sz w:val="30"/>
          <w:szCs w:val="30"/>
        </w:rPr>
        <w:t>中资产</w:t>
      </w:r>
      <w:r>
        <w:rPr>
          <w:rFonts w:ascii="仿宋_GB2312" w:eastAsia="仿宋_GB2312"/>
          <w:color w:val="000000" w:themeColor="text1"/>
          <w:sz w:val="30"/>
          <w:szCs w:val="30"/>
        </w:rPr>
        <w:t>卡片</w:t>
      </w:r>
      <w:r>
        <w:rPr>
          <w:rFonts w:hint="eastAsia" w:ascii="仿宋_GB2312" w:eastAsia="仿宋_GB2312"/>
          <w:color w:val="000000" w:themeColor="text1"/>
          <w:sz w:val="30"/>
          <w:szCs w:val="30"/>
        </w:rPr>
        <w:t>相应指标字段提取；使用其他单位房屋和已投入使用在建工程未转固房屋的，由单位根据实际使用情况手工填列。</w:t>
      </w:r>
    </w:p>
    <w:p w14:paraId="65AFFB24">
      <w:pPr>
        <w:spacing w:line="360" w:lineRule="auto"/>
        <w:ind w:firstLine="576" w:firstLineChars="192"/>
        <w:rPr>
          <w:rFonts w:ascii="仿宋_GB2312" w:eastAsia="仿宋_GB2312"/>
          <w:color w:val="000000" w:themeColor="text1"/>
          <w:sz w:val="30"/>
          <w:szCs w:val="30"/>
        </w:rPr>
      </w:pPr>
      <w:r>
        <w:rPr>
          <w:rFonts w:ascii="仿宋_GB2312" w:eastAsia="仿宋_GB2312"/>
          <w:color w:val="000000" w:themeColor="text1"/>
          <w:sz w:val="30"/>
          <w:szCs w:val="30"/>
        </w:rPr>
        <w:t>13.</w:t>
      </w:r>
      <w:r>
        <w:rPr>
          <w:rFonts w:hint="eastAsia" w:ascii="仿宋_GB2312" w:eastAsia="仿宋_GB2312"/>
          <w:color w:val="000000" w:themeColor="text1"/>
          <w:sz w:val="30"/>
          <w:szCs w:val="30"/>
        </w:rPr>
        <w:t>期末账面数（原值、累计折旧、净值）：本单位房屋由</w:t>
      </w:r>
      <w:r>
        <w:rPr>
          <w:rFonts w:ascii="仿宋_GB2312" w:eastAsia="仿宋_GB2312"/>
          <w:color w:val="000000" w:themeColor="text1"/>
          <w:sz w:val="30"/>
          <w:szCs w:val="30"/>
        </w:rPr>
        <w:t>资产管理信息系统</w:t>
      </w:r>
      <w:r>
        <w:rPr>
          <w:rFonts w:hint="eastAsia" w:ascii="仿宋_GB2312" w:eastAsia="仿宋_GB2312"/>
          <w:color w:val="000000" w:themeColor="text1"/>
          <w:sz w:val="30"/>
          <w:szCs w:val="30"/>
        </w:rPr>
        <w:t>中资产</w:t>
      </w:r>
      <w:r>
        <w:rPr>
          <w:rFonts w:ascii="仿宋_GB2312" w:eastAsia="仿宋_GB2312"/>
          <w:color w:val="000000" w:themeColor="text1"/>
          <w:sz w:val="30"/>
          <w:szCs w:val="30"/>
        </w:rPr>
        <w:t>卡片</w:t>
      </w:r>
      <w:r>
        <w:rPr>
          <w:rFonts w:hint="eastAsia" w:ascii="仿宋_GB2312" w:eastAsia="仿宋_GB2312"/>
          <w:color w:val="000000" w:themeColor="text1"/>
          <w:sz w:val="30"/>
          <w:szCs w:val="30"/>
        </w:rPr>
        <w:t>相应指标字段提取；使用其他单位房屋和已投入使用在建工程未转固房屋的不需填列。</w:t>
      </w:r>
    </w:p>
    <w:p w14:paraId="563E872A">
      <w:pPr>
        <w:pStyle w:val="2"/>
        <w:ind w:firstLine="600" w:firstLineChars="200"/>
        <w:rPr>
          <w:b/>
          <w:color w:val="000000" w:themeColor="text1"/>
        </w:rPr>
      </w:pPr>
      <w:r>
        <w:rPr>
          <w:rFonts w:hint="eastAsia"/>
          <w:color w:val="000000" w:themeColor="text1"/>
        </w:rPr>
        <w:t>七、车辆情况表（财资0</w:t>
      </w:r>
      <w:r>
        <w:rPr>
          <w:color w:val="000000" w:themeColor="text1"/>
        </w:rPr>
        <w:t>6</w:t>
      </w:r>
      <w:r>
        <w:rPr>
          <w:rFonts w:hint="eastAsia"/>
          <w:color w:val="000000" w:themeColor="text1"/>
        </w:rPr>
        <w:t>表）</w:t>
      </w:r>
    </w:p>
    <w:p w14:paraId="39D5D39D">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本表反映行政事业单位年末占有使用的机动车辆（不含</w:t>
      </w:r>
      <w:r>
        <w:rPr>
          <w:rFonts w:ascii="仿宋_GB2312" w:hAnsi="仿宋" w:eastAsia="仿宋_GB2312"/>
          <w:color w:val="000000" w:themeColor="text1"/>
          <w:sz w:val="30"/>
          <w:szCs w:val="30"/>
        </w:rPr>
        <w:t>摩托车</w:t>
      </w:r>
      <w:r>
        <w:rPr>
          <w:rFonts w:hint="eastAsia" w:ascii="仿宋_GB2312" w:hAnsi="仿宋" w:eastAsia="仿宋_GB2312"/>
          <w:color w:val="000000" w:themeColor="text1"/>
          <w:sz w:val="30"/>
          <w:szCs w:val="30"/>
        </w:rPr>
        <w:t>、电动自行车、轮椅车以及其他非机动车辆等）的明细情况，其中账面数取自资产管理信息系统相关车辆数据。</w:t>
      </w:r>
    </w:p>
    <w:p w14:paraId="50B2AB3A">
      <w:pPr>
        <w:spacing w:line="360" w:lineRule="auto"/>
        <w:ind w:firstLine="600" w:firstLineChars="200"/>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主要</w:t>
      </w:r>
      <w:r>
        <w:rPr>
          <w:rFonts w:ascii="仿宋_GB2312" w:hAnsi="仿宋" w:eastAsia="仿宋_GB2312"/>
          <w:bCs/>
          <w:color w:val="000000" w:themeColor="text1"/>
          <w:sz w:val="30"/>
          <w:szCs w:val="30"/>
        </w:rPr>
        <w:t>指标说明：</w:t>
      </w:r>
    </w:p>
    <w:p w14:paraId="5CA2F0EC">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w:t>
      </w:r>
      <w:r>
        <w:rPr>
          <w:rFonts w:hint="eastAsia"/>
          <w:color w:val="000000" w:themeColor="text1"/>
        </w:rPr>
        <w:t xml:space="preserve"> </w:t>
      </w:r>
      <w:r>
        <w:rPr>
          <w:rFonts w:hint="eastAsia" w:ascii="仿宋_GB2312" w:hAnsi="仿宋" w:eastAsia="仿宋_GB2312"/>
          <w:color w:val="000000" w:themeColor="text1"/>
          <w:sz w:val="30"/>
          <w:szCs w:val="30"/>
        </w:rPr>
        <w:t>车辆类别：根据卡片车辆分类自动取值“轿车”、“越野车”、“小型载客汽车”、“大中型载客汽车”、“其他车型”。</w:t>
      </w:r>
    </w:p>
    <w:p w14:paraId="2083B5E4">
      <w:pPr>
        <w:snapToGrid w:val="0"/>
        <w:spacing w:line="360" w:lineRule="auto"/>
        <w:ind w:firstLine="600" w:firstLineChars="200"/>
        <w:rPr>
          <w:color w:val="000000" w:themeColor="text1"/>
        </w:rPr>
      </w:pPr>
      <w:r>
        <w:rPr>
          <w:rFonts w:ascii="仿宋_GB2312" w:hAnsi="仿宋" w:eastAsia="仿宋_GB2312"/>
          <w:color w:val="000000" w:themeColor="text1"/>
          <w:sz w:val="30"/>
          <w:szCs w:val="30"/>
        </w:rPr>
        <w:t>2.</w:t>
      </w:r>
      <w:r>
        <w:rPr>
          <w:rFonts w:hint="eastAsia"/>
          <w:color w:val="000000" w:themeColor="text1"/>
        </w:rPr>
        <w:t xml:space="preserve"> </w:t>
      </w:r>
      <w:r>
        <w:rPr>
          <w:rFonts w:hint="eastAsia" w:ascii="仿宋_GB2312" w:hAnsi="仿宋" w:eastAsia="仿宋_GB2312"/>
          <w:color w:val="000000" w:themeColor="text1"/>
          <w:sz w:val="30"/>
          <w:szCs w:val="30"/>
        </w:rPr>
        <w:t>编制情况：根据车改情况填列“在编”、“不在编”、“未核定车编”。事业单位车改保留车辆选择“在编”，尚未完成公车改革单位选择“未核定车编”。</w:t>
      </w:r>
    </w:p>
    <w:p w14:paraId="32FAB79E">
      <w:pPr>
        <w:snapToGrid w:val="0"/>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3.</w:t>
      </w:r>
      <w:r>
        <w:rPr>
          <w:rFonts w:hint="eastAsia" w:ascii="仿宋_GB2312" w:hAnsi="仿宋" w:eastAsia="仿宋_GB2312"/>
          <w:color w:val="000000" w:themeColor="text1"/>
          <w:sz w:val="30"/>
          <w:szCs w:val="30"/>
        </w:rPr>
        <w:t>排气量：按“1.6（含）升以下”、“1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6-1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8（含）升”、“2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0（含）-2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5升”、“2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5（含）升以上”、</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新能源</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柴油车</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选择</w:t>
      </w:r>
      <w:r>
        <w:rPr>
          <w:rFonts w:ascii="仿宋_GB2312" w:hAnsi="仿宋" w:eastAsia="仿宋_GB2312"/>
          <w:color w:val="000000" w:themeColor="text1"/>
          <w:sz w:val="30"/>
          <w:szCs w:val="30"/>
        </w:rPr>
        <w:t>填列</w:t>
      </w:r>
      <w:r>
        <w:rPr>
          <w:rFonts w:hint="eastAsia" w:ascii="仿宋_GB2312" w:hAnsi="仿宋" w:eastAsia="仿宋_GB2312"/>
          <w:color w:val="000000" w:themeColor="text1"/>
          <w:sz w:val="30"/>
          <w:szCs w:val="30"/>
        </w:rPr>
        <w:t>。</w:t>
      </w:r>
    </w:p>
    <w:p w14:paraId="5156416F">
      <w:pPr>
        <w:spacing w:line="360" w:lineRule="auto"/>
        <w:ind w:firstLine="576" w:firstLineChars="192"/>
        <w:rPr>
          <w:rFonts w:ascii="仿宋_GB2312" w:hAnsi="仿宋" w:eastAsia="仿宋_GB2312"/>
          <w:color w:val="000000" w:themeColor="text1"/>
          <w:sz w:val="30"/>
          <w:szCs w:val="30"/>
        </w:rPr>
      </w:pPr>
      <w:r>
        <w:rPr>
          <w:rFonts w:ascii="仿宋_GB2312" w:hAnsi="仿宋" w:eastAsia="仿宋_GB2312"/>
          <w:color w:val="000000" w:themeColor="text1"/>
          <w:sz w:val="30"/>
          <w:szCs w:val="30"/>
        </w:rPr>
        <w:t>4.</w:t>
      </w:r>
      <w:r>
        <w:rPr>
          <w:rFonts w:hint="eastAsia" w:ascii="仿宋_GB2312" w:hAnsi="仿宋" w:eastAsia="仿宋_GB2312"/>
          <w:color w:val="000000" w:themeColor="text1"/>
          <w:sz w:val="30"/>
          <w:szCs w:val="30"/>
        </w:rPr>
        <w:t>车辆行驶证：根据卡片机动车辆行驶证取得情况填列“有”或“无”，允许手工修改。</w:t>
      </w:r>
    </w:p>
    <w:p w14:paraId="32BA461B">
      <w:pPr>
        <w:spacing w:line="360" w:lineRule="auto"/>
        <w:ind w:firstLine="576" w:firstLineChars="192"/>
        <w:rPr>
          <w:rFonts w:ascii="仿宋_GB2312" w:hAnsi="仿宋" w:eastAsia="仿宋_GB2312"/>
          <w:color w:val="000000" w:themeColor="text1"/>
          <w:sz w:val="30"/>
          <w:szCs w:val="30"/>
        </w:rPr>
      </w:pPr>
      <w:r>
        <w:rPr>
          <w:rFonts w:ascii="仿宋_GB2312" w:hAnsi="仿宋" w:eastAsia="仿宋_GB2312"/>
          <w:color w:val="000000" w:themeColor="text1"/>
          <w:sz w:val="30"/>
          <w:szCs w:val="30"/>
        </w:rPr>
        <w:t>5.</w:t>
      </w:r>
      <w:r>
        <w:rPr>
          <w:rFonts w:hint="eastAsia" w:ascii="仿宋_GB2312" w:hAnsi="仿宋" w:eastAsia="仿宋_GB2312"/>
          <w:color w:val="000000" w:themeColor="text1"/>
          <w:sz w:val="30"/>
          <w:szCs w:val="30"/>
        </w:rPr>
        <w:t>持证人：根据卡片机动车辆行驶证上的所有人自动提取“本单位”或“非本单位”，允许手工修改；若选择“非本单位”则需在“备注”栏中填写实际持证人名称。</w:t>
      </w:r>
    </w:p>
    <w:p w14:paraId="55874AB4">
      <w:pPr>
        <w:spacing w:line="360" w:lineRule="auto"/>
        <w:ind w:firstLine="576" w:firstLineChars="192"/>
        <w:rPr>
          <w:rFonts w:ascii="仿宋_GB2312" w:hAnsi="仿宋" w:eastAsia="仿宋_GB2312"/>
          <w:color w:val="000000" w:themeColor="text1"/>
          <w:sz w:val="30"/>
          <w:szCs w:val="30"/>
        </w:rPr>
      </w:pPr>
      <w:r>
        <w:rPr>
          <w:rFonts w:ascii="仿宋_GB2312" w:hAnsi="仿宋" w:eastAsia="仿宋_GB2312"/>
          <w:color w:val="000000" w:themeColor="text1"/>
          <w:sz w:val="30"/>
          <w:szCs w:val="30"/>
        </w:rPr>
        <w:t>6.</w:t>
      </w:r>
      <w:r>
        <w:rPr>
          <w:rFonts w:hint="eastAsia" w:ascii="仿宋_GB2312" w:hAnsi="仿宋" w:eastAsia="仿宋_GB2312"/>
          <w:color w:val="000000" w:themeColor="text1"/>
          <w:sz w:val="30"/>
          <w:szCs w:val="30"/>
        </w:rPr>
        <w:t>登记日期：按照</w:t>
      </w:r>
      <w:r>
        <w:rPr>
          <w:rFonts w:ascii="仿宋_GB2312" w:hAnsi="仿宋" w:eastAsia="仿宋_GB2312"/>
          <w:color w:val="000000" w:themeColor="text1"/>
          <w:sz w:val="30"/>
          <w:szCs w:val="30"/>
        </w:rPr>
        <w:t>机动车辆</w:t>
      </w:r>
      <w:r>
        <w:rPr>
          <w:rFonts w:hint="eastAsia" w:ascii="仿宋_GB2312" w:hAnsi="仿宋" w:eastAsia="仿宋_GB2312"/>
          <w:color w:val="000000" w:themeColor="text1"/>
          <w:sz w:val="30"/>
          <w:szCs w:val="30"/>
        </w:rPr>
        <w:t>行驶</w:t>
      </w:r>
      <w:r>
        <w:rPr>
          <w:rFonts w:ascii="仿宋_GB2312" w:hAnsi="仿宋" w:eastAsia="仿宋_GB2312"/>
          <w:color w:val="000000" w:themeColor="text1"/>
          <w:sz w:val="30"/>
          <w:szCs w:val="30"/>
        </w:rPr>
        <w:t>证上</w:t>
      </w:r>
      <w:r>
        <w:rPr>
          <w:rFonts w:hint="eastAsia" w:ascii="仿宋_GB2312" w:hAnsi="仿宋" w:eastAsia="仿宋_GB2312"/>
          <w:color w:val="000000" w:themeColor="text1"/>
          <w:sz w:val="30"/>
          <w:szCs w:val="30"/>
        </w:rPr>
        <w:t>的</w:t>
      </w:r>
      <w:r>
        <w:rPr>
          <w:rFonts w:ascii="仿宋_GB2312" w:hAnsi="仿宋" w:eastAsia="仿宋_GB2312"/>
          <w:color w:val="000000" w:themeColor="text1"/>
          <w:sz w:val="30"/>
          <w:szCs w:val="30"/>
        </w:rPr>
        <w:t>登记日期</w:t>
      </w:r>
      <w:r>
        <w:rPr>
          <w:rFonts w:hint="eastAsia" w:ascii="仿宋_GB2312" w:hAnsi="仿宋" w:eastAsia="仿宋_GB2312"/>
          <w:color w:val="000000" w:themeColor="text1"/>
          <w:sz w:val="30"/>
          <w:szCs w:val="30"/>
        </w:rPr>
        <w:t>如实填列。</w:t>
      </w:r>
    </w:p>
    <w:p w14:paraId="4A7B1237">
      <w:pPr>
        <w:snapToGrid w:val="0"/>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7.</w:t>
      </w:r>
      <w:r>
        <w:rPr>
          <w:rFonts w:hint="eastAsia" w:ascii="仿宋_GB2312" w:hAnsi="仿宋" w:eastAsia="仿宋_GB2312"/>
          <w:color w:val="000000" w:themeColor="text1"/>
          <w:sz w:val="30"/>
          <w:szCs w:val="30"/>
        </w:rPr>
        <w:t>车牌号：按照</w:t>
      </w:r>
      <w:r>
        <w:rPr>
          <w:rFonts w:ascii="仿宋_GB2312" w:hAnsi="仿宋" w:eastAsia="仿宋_GB2312"/>
          <w:color w:val="000000" w:themeColor="text1"/>
          <w:sz w:val="30"/>
          <w:szCs w:val="30"/>
        </w:rPr>
        <w:t>机动车辆</w:t>
      </w:r>
      <w:r>
        <w:rPr>
          <w:rFonts w:hint="eastAsia" w:ascii="仿宋_GB2312" w:hAnsi="仿宋" w:eastAsia="仿宋_GB2312"/>
          <w:color w:val="000000" w:themeColor="text1"/>
          <w:sz w:val="30"/>
          <w:szCs w:val="30"/>
        </w:rPr>
        <w:t>行驶</w:t>
      </w:r>
      <w:r>
        <w:rPr>
          <w:rFonts w:ascii="仿宋_GB2312" w:hAnsi="仿宋" w:eastAsia="仿宋_GB2312"/>
          <w:color w:val="000000" w:themeColor="text1"/>
          <w:sz w:val="30"/>
          <w:szCs w:val="30"/>
        </w:rPr>
        <w:t>证上</w:t>
      </w:r>
      <w:r>
        <w:rPr>
          <w:rFonts w:hint="eastAsia" w:ascii="仿宋_GB2312" w:hAnsi="仿宋" w:eastAsia="仿宋_GB2312"/>
          <w:color w:val="000000" w:themeColor="text1"/>
          <w:sz w:val="30"/>
          <w:szCs w:val="30"/>
        </w:rPr>
        <w:t>的车牌号码如实填列。</w:t>
      </w:r>
    </w:p>
    <w:p w14:paraId="7ADDD74A">
      <w:pPr>
        <w:snapToGrid w:val="0"/>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8.</w:t>
      </w:r>
      <w:r>
        <w:rPr>
          <w:rFonts w:hint="eastAsia" w:ascii="仿宋_GB2312" w:hAnsi="仿宋" w:eastAsia="仿宋_GB2312"/>
          <w:color w:val="000000" w:themeColor="text1"/>
          <w:sz w:val="30"/>
          <w:szCs w:val="30"/>
        </w:rPr>
        <w:t>使用状况：选择填列“在用”、“出租出借”、“闲置”或“</w:t>
      </w:r>
      <w:r>
        <w:rPr>
          <w:rFonts w:hint="eastAsia" w:ascii="仿宋_GB2312" w:eastAsia="仿宋_GB2312"/>
          <w:color w:val="000000" w:themeColor="text1"/>
          <w:sz w:val="30"/>
          <w:szCs w:val="30"/>
        </w:rPr>
        <w:t>待处置（待报废、毁损等）</w:t>
      </w:r>
      <w:r>
        <w:rPr>
          <w:rFonts w:hint="eastAsia" w:ascii="仿宋_GB2312" w:hAnsi="仿宋" w:eastAsia="仿宋_GB2312"/>
          <w:color w:val="000000" w:themeColor="text1"/>
          <w:sz w:val="30"/>
          <w:szCs w:val="30"/>
        </w:rPr>
        <w:t>”</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单位</w:t>
      </w:r>
      <w:r>
        <w:rPr>
          <w:rFonts w:ascii="仿宋_GB2312" w:hAnsi="仿宋" w:eastAsia="仿宋_GB2312"/>
          <w:color w:val="000000" w:themeColor="text1"/>
          <w:sz w:val="30"/>
          <w:szCs w:val="30"/>
        </w:rPr>
        <w:t>应</w:t>
      </w:r>
      <w:r>
        <w:rPr>
          <w:rFonts w:hint="eastAsia" w:ascii="仿宋_GB2312" w:hAnsi="仿宋" w:eastAsia="仿宋_GB2312"/>
          <w:color w:val="000000" w:themeColor="text1"/>
          <w:sz w:val="30"/>
          <w:szCs w:val="30"/>
        </w:rPr>
        <w:t>按照年末实际使用状况选择</w:t>
      </w:r>
      <w:r>
        <w:rPr>
          <w:rFonts w:ascii="仿宋_GB2312" w:hAnsi="仿宋" w:eastAsia="仿宋_GB2312"/>
          <w:color w:val="000000" w:themeColor="text1"/>
          <w:sz w:val="30"/>
          <w:szCs w:val="30"/>
        </w:rPr>
        <w:t>填列</w:t>
      </w:r>
      <w:r>
        <w:rPr>
          <w:rFonts w:hint="eastAsia" w:ascii="仿宋_GB2312" w:hAnsi="仿宋" w:eastAsia="仿宋_GB2312"/>
          <w:color w:val="000000" w:themeColor="text1"/>
          <w:sz w:val="30"/>
          <w:szCs w:val="30"/>
        </w:rPr>
        <w:t>。针对公车改革情况为取消待处置的车辆，使用状况选择“</w:t>
      </w:r>
      <w:r>
        <w:rPr>
          <w:rFonts w:hint="eastAsia" w:ascii="仿宋_GB2312" w:eastAsia="仿宋_GB2312"/>
          <w:color w:val="000000" w:themeColor="text1"/>
          <w:sz w:val="30"/>
          <w:szCs w:val="30"/>
        </w:rPr>
        <w:t>待处置（待报废、毁损等）</w:t>
      </w:r>
      <w:r>
        <w:rPr>
          <w:rFonts w:hint="eastAsia" w:ascii="仿宋_GB2312" w:hAnsi="仿宋" w:eastAsia="仿宋_GB2312"/>
          <w:color w:val="000000" w:themeColor="text1"/>
          <w:sz w:val="30"/>
          <w:szCs w:val="30"/>
        </w:rPr>
        <w:t>”。</w:t>
      </w:r>
    </w:p>
    <w:p w14:paraId="3EA6C2A9">
      <w:pPr>
        <w:snapToGrid w:val="0"/>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9.</w:t>
      </w:r>
      <w:r>
        <w:rPr>
          <w:rFonts w:hint="eastAsia" w:ascii="仿宋_GB2312" w:hAnsi="仿宋" w:eastAsia="仿宋_GB2312"/>
          <w:color w:val="000000" w:themeColor="text1"/>
          <w:sz w:val="30"/>
          <w:szCs w:val="30"/>
        </w:rPr>
        <w:t>车辆用途：选择填列“副部（省）级及以上领导用车”、“主要领导干部用车”、“机要通信用车”、“应急保障用车”、“执法执勤用车”、“特种专业技术用车”、“离退休干部用车”以及“其他用车”。车改方案未批复的，按实际车辆用途对照新的车辆用途分类填写，无对应分类的填写到“其他用车”。</w:t>
      </w:r>
    </w:p>
    <w:p w14:paraId="394C9077">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副部（省）级及以上领导用车:是指省部级及</w:t>
      </w:r>
      <w:r>
        <w:rPr>
          <w:rFonts w:ascii="仿宋_GB2312" w:hAnsi="仿宋" w:eastAsia="仿宋_GB2312"/>
          <w:color w:val="000000" w:themeColor="text1"/>
          <w:sz w:val="30"/>
          <w:szCs w:val="30"/>
        </w:rPr>
        <w:t>以上</w:t>
      </w:r>
      <w:r>
        <w:rPr>
          <w:rFonts w:hint="eastAsia" w:ascii="仿宋_GB2312" w:hAnsi="仿宋" w:eastAsia="仿宋_GB2312"/>
          <w:color w:val="000000" w:themeColor="text1"/>
          <w:sz w:val="30"/>
          <w:szCs w:val="30"/>
        </w:rPr>
        <w:t>领导干部配备的专用车辆。</w:t>
      </w:r>
    </w:p>
    <w:p w14:paraId="79F93025">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主要领导干部用车：是指单位主要负责人（省部级以下）保留车辆。</w:t>
      </w:r>
    </w:p>
    <w:p w14:paraId="2DCBB4DB">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机要通信用车：是指用于传递、运送机要文件和涉密载体的机动车辆。</w:t>
      </w:r>
    </w:p>
    <w:p w14:paraId="7FB409E0">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应急保障用车:是指用于处理突发事件、抢险救灾或者其他紧急公务的机动车辆。</w:t>
      </w:r>
    </w:p>
    <w:p w14:paraId="47160181">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执法执勤用车:是指批准的执法执勤部门（系统）用于一线执法执勤公务的机动车辆。</w:t>
      </w:r>
    </w:p>
    <w:p w14:paraId="62899ED9">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特种专业技术用车：是指固定搭载专业技术设备、用于执行特殊工作任务的机动车辆。</w:t>
      </w:r>
    </w:p>
    <w:p w14:paraId="09932B87">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离退休干部用车：是指给离退休干部配备使用的车辆。</w:t>
      </w:r>
    </w:p>
    <w:p w14:paraId="5FD3F7AF">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其他用车：是指除上述分类以外的车辆，以及车改方案未批复的车辆，当车辆用途为其他用车时，需在备注中说明车辆实际用途情况。</w:t>
      </w:r>
    </w:p>
    <w:p w14:paraId="2F4F2173">
      <w:pPr>
        <w:snapToGrid w:val="0"/>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10.</w:t>
      </w:r>
      <w:r>
        <w:rPr>
          <w:rFonts w:hint="eastAsia" w:ascii="仿宋_GB2312" w:hAnsi="仿宋" w:eastAsia="仿宋_GB2312"/>
          <w:color w:val="000000" w:themeColor="text1"/>
          <w:sz w:val="30"/>
          <w:szCs w:val="30"/>
        </w:rPr>
        <w:t>其他指标数据由资产管理信息系统从车辆卡片对应字段中自动提取，根据实际</w:t>
      </w:r>
      <w:r>
        <w:rPr>
          <w:rFonts w:ascii="仿宋_GB2312" w:hAnsi="仿宋" w:eastAsia="仿宋_GB2312"/>
          <w:color w:val="000000" w:themeColor="text1"/>
          <w:sz w:val="30"/>
          <w:szCs w:val="30"/>
        </w:rPr>
        <w:t>情况可以进行手工修改或补充</w:t>
      </w:r>
      <w:r>
        <w:rPr>
          <w:rFonts w:hint="eastAsia" w:ascii="仿宋_GB2312" w:hAnsi="仿宋" w:eastAsia="仿宋_GB2312"/>
          <w:color w:val="000000" w:themeColor="text1"/>
          <w:sz w:val="30"/>
          <w:szCs w:val="30"/>
        </w:rPr>
        <w:t>。</w:t>
      </w:r>
    </w:p>
    <w:p w14:paraId="4C8FEEFD">
      <w:pPr>
        <w:pStyle w:val="2"/>
        <w:ind w:firstLine="600" w:firstLineChars="200"/>
        <w:rPr>
          <w:b/>
          <w:color w:val="000000" w:themeColor="text1"/>
        </w:rPr>
      </w:pPr>
      <w:r>
        <w:rPr>
          <w:rFonts w:hint="eastAsia"/>
          <w:color w:val="000000" w:themeColor="text1"/>
        </w:rPr>
        <w:t>八、在建工程情况表（财资0</w:t>
      </w:r>
      <w:r>
        <w:rPr>
          <w:color w:val="000000" w:themeColor="text1"/>
        </w:rPr>
        <w:t>7</w:t>
      </w:r>
      <w:r>
        <w:rPr>
          <w:rFonts w:hint="eastAsia"/>
          <w:color w:val="000000" w:themeColor="text1"/>
        </w:rPr>
        <w:t>表）</w:t>
      </w:r>
    </w:p>
    <w:p w14:paraId="651FB00E">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本表反映行政事业单位年末在建工程情况，包括基本建设项目以及不属于基本建设项目的各种建筑工程、设备安装工程、信息系统建设等。本表从上年该表提取，并根据在建工程项目本期实际情况逐项手工修改。</w:t>
      </w:r>
    </w:p>
    <w:p w14:paraId="21FC6084">
      <w:pPr>
        <w:pStyle w:val="6"/>
        <w:spacing w:line="360" w:lineRule="auto"/>
        <w:ind w:firstLine="648" w:firstLineChars="0"/>
        <w:rPr>
          <w:rFonts w:hAnsi="仿宋"/>
          <w:color w:val="000000" w:themeColor="text1"/>
          <w:sz w:val="30"/>
          <w:szCs w:val="30"/>
        </w:rPr>
      </w:pPr>
      <w:r>
        <w:rPr>
          <w:rFonts w:hint="eastAsia" w:hAnsi="仿宋"/>
          <w:color w:val="000000" w:themeColor="text1"/>
          <w:sz w:val="30"/>
          <w:szCs w:val="30"/>
        </w:rPr>
        <w:t>主要指标</w:t>
      </w:r>
      <w:r>
        <w:rPr>
          <w:rFonts w:hAnsi="仿宋"/>
          <w:color w:val="000000" w:themeColor="text1"/>
          <w:sz w:val="30"/>
          <w:szCs w:val="30"/>
        </w:rPr>
        <w:t>说明：</w:t>
      </w:r>
    </w:p>
    <w:p w14:paraId="7D3C8688">
      <w:pPr>
        <w:spacing w:line="360" w:lineRule="auto"/>
        <w:ind w:firstLine="600" w:firstLineChars="200"/>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1</w:t>
      </w:r>
      <w:r>
        <w:rPr>
          <w:rFonts w:ascii="仿宋_GB2312" w:hAnsi="仿宋" w:eastAsia="仿宋_GB2312"/>
          <w:bCs/>
          <w:color w:val="000000" w:themeColor="text1"/>
          <w:sz w:val="30"/>
          <w:szCs w:val="30"/>
        </w:rPr>
        <w:t>.</w:t>
      </w:r>
      <w:r>
        <w:rPr>
          <w:rFonts w:hint="eastAsia" w:ascii="仿宋_GB2312" w:hAnsi="仿宋" w:eastAsia="仿宋_GB2312"/>
          <w:bCs/>
          <w:color w:val="000000" w:themeColor="text1"/>
          <w:sz w:val="30"/>
          <w:szCs w:val="30"/>
        </w:rPr>
        <w:t>项目名称：填列在建工程项目名称。</w:t>
      </w:r>
    </w:p>
    <w:p w14:paraId="333C94B1">
      <w:pPr>
        <w:spacing w:line="360" w:lineRule="auto"/>
        <w:ind w:firstLine="600" w:firstLineChars="200"/>
        <w:rPr>
          <w:rFonts w:ascii="仿宋_GB2312" w:hAnsi="仿宋" w:eastAsia="仿宋_GB2312"/>
          <w:b/>
          <w:bCs/>
          <w:color w:val="000000" w:themeColor="text1"/>
          <w:sz w:val="30"/>
          <w:szCs w:val="30"/>
        </w:rPr>
      </w:pPr>
      <w:r>
        <w:rPr>
          <w:rFonts w:hint="eastAsia" w:ascii="仿宋_GB2312" w:hAnsi="仿宋" w:eastAsia="仿宋_GB2312"/>
          <w:bCs/>
          <w:color w:val="000000" w:themeColor="text1"/>
          <w:sz w:val="30"/>
          <w:szCs w:val="30"/>
        </w:rPr>
        <w:t>2</w:t>
      </w:r>
      <w:r>
        <w:rPr>
          <w:rFonts w:ascii="仿宋_GB2312" w:hAnsi="仿宋" w:eastAsia="仿宋_GB2312"/>
          <w:bCs/>
          <w:color w:val="000000" w:themeColor="text1"/>
          <w:sz w:val="30"/>
          <w:szCs w:val="30"/>
        </w:rPr>
        <w:t>.</w:t>
      </w:r>
      <w:r>
        <w:rPr>
          <w:rFonts w:hint="eastAsia" w:ascii="仿宋_GB2312" w:hAnsi="仿宋" w:eastAsia="仿宋_GB2312"/>
          <w:bCs/>
          <w:color w:val="000000" w:themeColor="text1"/>
          <w:sz w:val="30"/>
          <w:szCs w:val="30"/>
        </w:rPr>
        <w:t>开工日期：《建筑工程施工许可证》或已批准的开工报告注明的开工日期，无施工许可证或无相关批复的，填写实际开工日期。</w:t>
      </w:r>
    </w:p>
    <w:p w14:paraId="557D3022">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bCs/>
          <w:color w:val="000000" w:themeColor="text1"/>
          <w:sz w:val="30"/>
          <w:szCs w:val="30"/>
        </w:rPr>
        <w:t>3</w:t>
      </w:r>
      <w:r>
        <w:rPr>
          <w:rFonts w:ascii="仿宋_GB2312" w:hAnsi="仿宋" w:eastAsia="仿宋_GB2312"/>
          <w:bCs/>
          <w:color w:val="000000" w:themeColor="text1"/>
          <w:sz w:val="30"/>
          <w:szCs w:val="30"/>
        </w:rPr>
        <w:t>.</w:t>
      </w:r>
      <w:r>
        <w:rPr>
          <w:rFonts w:hint="eastAsia" w:ascii="仿宋_GB2312" w:hAnsi="仿宋" w:eastAsia="仿宋_GB2312"/>
          <w:bCs/>
          <w:color w:val="000000" w:themeColor="text1"/>
          <w:sz w:val="30"/>
          <w:szCs w:val="30"/>
        </w:rPr>
        <w:t>工程建设情况：</w:t>
      </w:r>
      <w:r>
        <w:rPr>
          <w:rFonts w:hint="eastAsia" w:ascii="仿宋_GB2312" w:hAnsi="仿宋" w:eastAsia="仿宋_GB2312"/>
          <w:color w:val="000000" w:themeColor="text1"/>
          <w:sz w:val="30"/>
          <w:szCs w:val="30"/>
        </w:rPr>
        <w:t>按在建、停建、建成未使用、已投入使用、已转固选择填列。若选填“建成未使用”则需填写“未转固原因”，若选填“已投入使用”，则需同时填写“投入使用日期”和“未转固原因”。</w:t>
      </w:r>
    </w:p>
    <w:p w14:paraId="5204C41E">
      <w:pPr>
        <w:spacing w:line="360" w:lineRule="auto"/>
        <w:ind w:firstLine="600" w:firstLineChars="200"/>
        <w:rPr>
          <w:rFonts w:ascii="仿宋_GB2312" w:hAnsi="仿宋" w:eastAsia="仿宋_GB2312"/>
          <w:bCs/>
          <w:color w:val="000000" w:themeColor="text1"/>
          <w:sz w:val="30"/>
          <w:szCs w:val="30"/>
        </w:rPr>
      </w:pPr>
      <w:r>
        <w:rPr>
          <w:rFonts w:hint="eastAsia" w:ascii="仿宋_GB2312" w:hAnsi="仿宋" w:eastAsia="仿宋_GB2312"/>
          <w:color w:val="000000" w:themeColor="text1"/>
          <w:sz w:val="30"/>
          <w:szCs w:val="30"/>
        </w:rPr>
        <w:t>4</w:t>
      </w:r>
      <w:r>
        <w:rPr>
          <w:rFonts w:ascii="仿宋_GB2312" w:hAnsi="仿宋" w:eastAsia="仿宋_GB2312"/>
          <w:color w:val="000000" w:themeColor="text1"/>
          <w:sz w:val="30"/>
          <w:szCs w:val="30"/>
        </w:rPr>
        <w:t>.</w:t>
      </w:r>
      <w:r>
        <w:rPr>
          <w:rFonts w:hint="eastAsia" w:ascii="仿宋_GB2312" w:hAnsi="仿宋" w:eastAsia="仿宋_GB2312"/>
          <w:bCs/>
          <w:color w:val="000000" w:themeColor="text1"/>
          <w:sz w:val="30"/>
          <w:szCs w:val="30"/>
        </w:rPr>
        <w:t>计划投资总额：根据在建工程项目总概算数额填列，如有调整，按调整后的金额填列。</w:t>
      </w:r>
    </w:p>
    <w:p w14:paraId="54B35006">
      <w:pPr>
        <w:spacing w:line="360" w:lineRule="auto"/>
        <w:ind w:firstLine="600" w:firstLineChars="200"/>
        <w:rPr>
          <w:rFonts w:ascii="仿宋_GB2312" w:hAnsi="仿宋" w:eastAsia="仿宋_GB2312"/>
          <w:b/>
          <w:bCs/>
          <w:color w:val="000000" w:themeColor="text1"/>
          <w:sz w:val="30"/>
          <w:szCs w:val="30"/>
        </w:rPr>
      </w:pPr>
      <w:r>
        <w:rPr>
          <w:rFonts w:hint="eastAsia" w:ascii="仿宋_GB2312" w:hAnsi="仿宋" w:eastAsia="仿宋_GB2312"/>
          <w:bCs/>
          <w:color w:val="000000" w:themeColor="text1"/>
          <w:sz w:val="30"/>
          <w:szCs w:val="30"/>
        </w:rPr>
        <w:t>5</w:t>
      </w:r>
      <w:r>
        <w:rPr>
          <w:rFonts w:ascii="仿宋_GB2312" w:hAnsi="仿宋" w:eastAsia="仿宋_GB2312"/>
          <w:bCs/>
          <w:color w:val="000000" w:themeColor="text1"/>
          <w:sz w:val="30"/>
          <w:szCs w:val="30"/>
        </w:rPr>
        <w:t>.</w:t>
      </w:r>
      <w:r>
        <w:rPr>
          <w:rFonts w:hint="eastAsia" w:ascii="仿宋_GB2312" w:hAnsi="仿宋" w:eastAsia="仿宋_GB2312"/>
          <w:bCs/>
          <w:color w:val="000000" w:themeColor="text1"/>
          <w:sz w:val="30"/>
          <w:szCs w:val="30"/>
        </w:rPr>
        <w:t>累计完成投资：根据在建工程项目历年累计已到位的投资金额填列。</w:t>
      </w:r>
    </w:p>
    <w:p w14:paraId="5714E636">
      <w:pPr>
        <w:spacing w:line="360" w:lineRule="auto"/>
        <w:ind w:firstLine="600" w:firstLineChars="200"/>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6.当年投资额：根据在建工程项目当年已到位的投资金额填列。</w:t>
      </w:r>
    </w:p>
    <w:p w14:paraId="792A830B">
      <w:pPr>
        <w:spacing w:line="360" w:lineRule="auto"/>
        <w:ind w:firstLine="600" w:firstLineChars="200"/>
        <w:rPr>
          <w:rFonts w:ascii="仿宋_GB2312" w:hAnsi="仿宋" w:eastAsia="仿宋_GB2312"/>
          <w:bCs/>
          <w:color w:val="000000" w:themeColor="text1"/>
          <w:sz w:val="30"/>
          <w:szCs w:val="30"/>
        </w:rPr>
      </w:pPr>
      <w:r>
        <w:rPr>
          <w:rFonts w:hint="eastAsia" w:ascii="仿宋_GB2312" w:hAnsi="仿宋" w:eastAsia="仿宋_GB2312"/>
          <w:bCs/>
          <w:color w:val="000000" w:themeColor="text1"/>
          <w:sz w:val="30"/>
          <w:szCs w:val="30"/>
        </w:rPr>
        <w:t>7</w:t>
      </w:r>
      <w:r>
        <w:rPr>
          <w:rFonts w:ascii="仿宋_GB2312" w:hAnsi="仿宋" w:eastAsia="仿宋_GB2312"/>
          <w:bCs/>
          <w:color w:val="000000" w:themeColor="text1"/>
          <w:sz w:val="30"/>
          <w:szCs w:val="30"/>
        </w:rPr>
        <w:t>.</w:t>
      </w:r>
      <w:r>
        <w:rPr>
          <w:rFonts w:hint="eastAsia" w:ascii="仿宋_GB2312" w:hAnsi="仿宋" w:eastAsia="仿宋_GB2312"/>
          <w:bCs/>
          <w:color w:val="000000" w:themeColor="text1"/>
          <w:sz w:val="30"/>
          <w:szCs w:val="30"/>
        </w:rPr>
        <w:t>期初账面数：反映在建工程项目本期期初财务账面数，</w:t>
      </w:r>
      <w:r>
        <w:rPr>
          <w:rFonts w:hint="eastAsia" w:ascii="仿宋_GB2312" w:hAnsi="仿宋" w:eastAsia="仿宋_GB2312"/>
          <w:color w:val="000000" w:themeColor="text1"/>
          <w:sz w:val="30"/>
          <w:szCs w:val="30"/>
        </w:rPr>
        <w:t>取自上年在建工程情况表期末账面数。</w:t>
      </w:r>
    </w:p>
    <w:p w14:paraId="703878C6">
      <w:pPr>
        <w:spacing w:line="360" w:lineRule="auto"/>
        <w:ind w:firstLine="600" w:firstLineChars="200"/>
        <w:rPr>
          <w:rFonts w:ascii="仿宋_GB2312" w:hAnsi="仿宋"/>
          <w:color w:val="000000" w:themeColor="text1"/>
          <w:sz w:val="30"/>
        </w:rPr>
      </w:pPr>
      <w:r>
        <w:rPr>
          <w:rFonts w:ascii="仿宋_GB2312" w:hAnsi="仿宋" w:eastAsia="仿宋_GB2312"/>
          <w:bCs/>
          <w:color w:val="000000" w:themeColor="text1"/>
          <w:sz w:val="30"/>
          <w:szCs w:val="30"/>
        </w:rPr>
        <w:t>8.</w:t>
      </w:r>
      <w:r>
        <w:rPr>
          <w:rFonts w:hint="eastAsia" w:ascii="仿宋_GB2312" w:hAnsi="仿宋" w:eastAsia="仿宋_GB2312"/>
          <w:bCs/>
          <w:color w:val="000000" w:themeColor="text1"/>
          <w:sz w:val="30"/>
          <w:szCs w:val="30"/>
        </w:rPr>
        <w:t>期末账面数：反映在建工程项目期末财务账面数，暂未实行基建并账的单位，参照有关会计制度的并账要求填报。</w:t>
      </w:r>
    </w:p>
    <w:p w14:paraId="75222AF4">
      <w:pPr>
        <w:spacing w:line="360" w:lineRule="auto"/>
        <w:ind w:firstLine="600" w:firstLineChars="200"/>
        <w:rPr>
          <w:color w:val="000000" w:themeColor="text1"/>
        </w:rPr>
      </w:pPr>
      <w:r>
        <w:rPr>
          <w:rFonts w:hint="eastAsia" w:ascii="仿宋_GB2312" w:hAnsi="仿宋" w:eastAsia="仿宋_GB2312"/>
          <w:bCs/>
          <w:color w:val="000000" w:themeColor="text1"/>
          <w:sz w:val="30"/>
          <w:szCs w:val="30"/>
        </w:rPr>
        <w:t>9</w:t>
      </w:r>
      <w:r>
        <w:rPr>
          <w:rFonts w:ascii="仿宋_GB2312" w:hAnsi="仿宋" w:eastAsia="仿宋_GB2312"/>
          <w:bCs/>
          <w:color w:val="000000" w:themeColor="text1"/>
          <w:sz w:val="30"/>
          <w:szCs w:val="30"/>
        </w:rPr>
        <w:t>.</w:t>
      </w:r>
      <w:r>
        <w:rPr>
          <w:rFonts w:hint="eastAsia"/>
          <w:color w:val="000000" w:themeColor="text1"/>
        </w:rPr>
        <w:t xml:space="preserve"> </w:t>
      </w:r>
      <w:r>
        <w:rPr>
          <w:rFonts w:hint="eastAsia" w:ascii="仿宋_GB2312" w:hAnsi="仿宋" w:eastAsia="仿宋_GB2312"/>
          <w:bCs/>
          <w:color w:val="000000" w:themeColor="text1"/>
          <w:sz w:val="30"/>
          <w:szCs w:val="30"/>
        </w:rPr>
        <w:t>已投入使用未转固在建工程建筑面积：反映行政事业单位已投入使用未转固在建工程中房屋类项目建筑面积。</w:t>
      </w:r>
    </w:p>
    <w:p w14:paraId="07973BED">
      <w:pPr>
        <w:spacing w:line="360" w:lineRule="auto"/>
        <w:ind w:firstLine="600" w:firstLineChars="200"/>
        <w:rPr>
          <w:rFonts w:ascii="仿宋_GB2312" w:hAnsi="仿宋" w:eastAsia="仿宋_GB2312"/>
          <w:bCs/>
          <w:color w:val="000000" w:themeColor="text1"/>
          <w:sz w:val="30"/>
          <w:szCs w:val="30"/>
        </w:rPr>
      </w:pPr>
      <w:bookmarkStart w:id="5" w:name="_Hlk22770300"/>
      <w:r>
        <w:rPr>
          <w:rFonts w:ascii="仿宋_GB2312" w:hAnsi="仿宋" w:eastAsia="仿宋_GB2312"/>
          <w:bCs/>
          <w:color w:val="000000" w:themeColor="text1"/>
          <w:sz w:val="30"/>
          <w:szCs w:val="30"/>
        </w:rPr>
        <w:t>10.</w:t>
      </w:r>
      <w:r>
        <w:rPr>
          <w:rFonts w:hint="eastAsia" w:ascii="仿宋_GB2312" w:hAnsi="仿宋" w:eastAsia="仿宋_GB2312"/>
          <w:bCs/>
          <w:color w:val="000000" w:themeColor="text1"/>
          <w:sz w:val="30"/>
          <w:szCs w:val="30"/>
        </w:rPr>
        <w:t>未转固年限（月）：反映已投入使用的在建工程从投入使用时间到20</w:t>
      </w:r>
      <w:r>
        <w:rPr>
          <w:rFonts w:ascii="仿宋_GB2312" w:hAnsi="仿宋" w:eastAsia="仿宋_GB2312"/>
          <w:bCs/>
          <w:color w:val="000000" w:themeColor="text1"/>
          <w:sz w:val="30"/>
          <w:szCs w:val="30"/>
        </w:rPr>
        <w:t>21</w:t>
      </w:r>
      <w:r>
        <w:rPr>
          <w:rFonts w:hint="eastAsia" w:ascii="仿宋_GB2312" w:hAnsi="仿宋" w:eastAsia="仿宋_GB2312"/>
          <w:bCs/>
          <w:color w:val="000000" w:themeColor="text1"/>
          <w:sz w:val="30"/>
          <w:szCs w:val="30"/>
        </w:rPr>
        <w:t>年末的月数，由系统自动计算生成，未转固年限（月）=年末截至月-投入使用月。</w:t>
      </w:r>
    </w:p>
    <w:bookmarkEnd w:id="5"/>
    <w:p w14:paraId="1F876826">
      <w:pPr>
        <w:spacing w:line="360" w:lineRule="auto"/>
        <w:ind w:firstLine="600" w:firstLineChars="200"/>
        <w:rPr>
          <w:rFonts w:ascii="仿宋_GB2312" w:hAnsi="仿宋"/>
          <w:color w:val="000000" w:themeColor="text1"/>
          <w:sz w:val="32"/>
        </w:rPr>
      </w:pPr>
      <w:r>
        <w:rPr>
          <w:rFonts w:ascii="仿宋_GB2312" w:hAnsi="仿宋" w:eastAsia="仿宋_GB2312"/>
          <w:bCs/>
          <w:color w:val="000000" w:themeColor="text1"/>
          <w:sz w:val="30"/>
          <w:szCs w:val="30"/>
        </w:rPr>
        <w:t>11.</w:t>
      </w:r>
      <w:r>
        <w:rPr>
          <w:rFonts w:hint="eastAsia" w:ascii="仿宋_GB2312" w:hAnsi="仿宋" w:eastAsia="仿宋_GB2312"/>
          <w:bCs/>
          <w:color w:val="000000" w:themeColor="text1"/>
          <w:sz w:val="30"/>
          <w:szCs w:val="30"/>
        </w:rPr>
        <w:t>未转固原因：按未完成项目竣工决算（未及时报送竣工财务决算材料、未完成项目竣工财务决算审计、未完成项目竣工财务审批）、未完成工程结算、</w:t>
      </w:r>
      <w:r>
        <w:rPr>
          <w:rFonts w:hint="eastAsia" w:ascii="仿宋_GB2312" w:hAnsi="仿宋" w:eastAsia="仿宋_GB2312"/>
          <w:bCs/>
          <w:color w:val="000000" w:themeColor="text1"/>
          <w:sz w:val="32"/>
          <w:szCs w:val="32"/>
        </w:rPr>
        <w:t>未完成项目验收、未取得相关证件（主要是指因无法确权问题及办理手续等原因造成的未取得证件，如房产证、土地证等）、账务处理问题、</w:t>
      </w:r>
      <w:r>
        <w:rPr>
          <w:rFonts w:hint="eastAsia" w:ascii="仿宋_GB2312" w:eastAsia="仿宋_GB2312"/>
          <w:color w:val="000000" w:themeColor="text1"/>
          <w:sz w:val="32"/>
          <w:szCs w:val="32"/>
        </w:rPr>
        <w:t>无权属资产的改扩建、</w:t>
      </w:r>
      <w:r>
        <w:rPr>
          <w:rFonts w:hint="eastAsia" w:ascii="仿宋_GB2312" w:hAnsi="仿宋" w:eastAsia="仿宋_GB2312"/>
          <w:bCs/>
          <w:color w:val="000000" w:themeColor="text1"/>
          <w:sz w:val="32"/>
          <w:szCs w:val="32"/>
        </w:rPr>
        <w:t>其他填列，若选填“其他”，则需同时填写“备注”。</w:t>
      </w:r>
    </w:p>
    <w:p w14:paraId="702D71FA">
      <w:pPr>
        <w:pStyle w:val="2"/>
        <w:ind w:firstLine="600" w:firstLineChars="200"/>
        <w:rPr>
          <w:b/>
          <w:color w:val="000000" w:themeColor="text1"/>
        </w:rPr>
      </w:pPr>
      <w:r>
        <w:rPr>
          <w:rFonts w:hint="eastAsia"/>
          <w:color w:val="000000" w:themeColor="text1"/>
        </w:rPr>
        <w:t>九、固定和无形资产配置情况表（财资</w:t>
      </w:r>
      <w:r>
        <w:rPr>
          <w:color w:val="000000" w:themeColor="text1"/>
        </w:rPr>
        <w:t>08</w:t>
      </w:r>
      <w:r>
        <w:rPr>
          <w:rFonts w:hint="eastAsia"/>
          <w:color w:val="000000" w:themeColor="text1"/>
        </w:rPr>
        <w:t>表</w:t>
      </w:r>
      <w:r>
        <w:rPr>
          <w:rFonts w:hint="eastAsia"/>
          <w:color w:val="000000" w:themeColor="text1"/>
          <w:spacing w:val="6"/>
        </w:rPr>
        <w:t>）</w:t>
      </w:r>
    </w:p>
    <w:p w14:paraId="0194E8C5">
      <w:pPr>
        <w:spacing w:line="360" w:lineRule="auto"/>
        <w:ind w:firstLine="600" w:firstLineChars="200"/>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本表反映行政事业单位通过不同配置方式</w:t>
      </w:r>
      <w:r>
        <w:rPr>
          <w:rFonts w:ascii="仿宋_GB2312" w:eastAsia="仿宋_GB2312"/>
          <w:color w:val="000000" w:themeColor="text1"/>
          <w:kern w:val="0"/>
          <w:sz w:val="30"/>
          <w:szCs w:val="30"/>
        </w:rPr>
        <w:t>本年</w:t>
      </w:r>
      <w:r>
        <w:rPr>
          <w:rFonts w:hint="eastAsia" w:ascii="仿宋_GB2312" w:eastAsia="仿宋_GB2312"/>
          <w:color w:val="000000" w:themeColor="text1"/>
          <w:kern w:val="0"/>
          <w:sz w:val="30"/>
          <w:szCs w:val="30"/>
        </w:rPr>
        <w:t>增加</w:t>
      </w:r>
      <w:r>
        <w:rPr>
          <w:rFonts w:ascii="仿宋_GB2312" w:eastAsia="仿宋_GB2312"/>
          <w:color w:val="000000" w:themeColor="text1"/>
          <w:kern w:val="0"/>
          <w:sz w:val="30"/>
          <w:szCs w:val="30"/>
        </w:rPr>
        <w:t>固定</w:t>
      </w:r>
      <w:r>
        <w:rPr>
          <w:rFonts w:hint="eastAsia" w:ascii="仿宋_GB2312" w:eastAsia="仿宋_GB2312"/>
          <w:color w:val="000000" w:themeColor="text1"/>
          <w:kern w:val="0"/>
          <w:sz w:val="30"/>
          <w:szCs w:val="30"/>
        </w:rPr>
        <w:t>和无形</w:t>
      </w:r>
      <w:r>
        <w:rPr>
          <w:rFonts w:ascii="仿宋_GB2312" w:eastAsia="仿宋_GB2312"/>
          <w:color w:val="000000" w:themeColor="text1"/>
          <w:kern w:val="0"/>
          <w:sz w:val="30"/>
          <w:szCs w:val="30"/>
        </w:rPr>
        <w:t>资产</w:t>
      </w:r>
      <w:r>
        <w:rPr>
          <w:rFonts w:hint="eastAsia" w:ascii="仿宋_GB2312" w:eastAsia="仿宋_GB2312"/>
          <w:color w:val="000000" w:themeColor="text1"/>
          <w:kern w:val="0"/>
          <w:sz w:val="30"/>
          <w:szCs w:val="30"/>
        </w:rPr>
        <w:t>的账面数情况，由资产管理信息系统中资产卡片相关数据提取填报。</w:t>
      </w:r>
    </w:p>
    <w:p w14:paraId="6388EFAD">
      <w:pPr>
        <w:spacing w:line="360" w:lineRule="auto"/>
        <w:ind w:firstLine="600" w:firstLineChars="200"/>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主要指标说明：</w:t>
      </w:r>
    </w:p>
    <w:p w14:paraId="0DFB8132">
      <w:pPr>
        <w:spacing w:line="360" w:lineRule="auto"/>
        <w:ind w:firstLine="600" w:firstLineChars="200"/>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1</w:t>
      </w:r>
      <w:r>
        <w:rPr>
          <w:rFonts w:ascii="仿宋_GB2312" w:eastAsia="仿宋_GB2312"/>
          <w:color w:val="000000" w:themeColor="text1"/>
          <w:kern w:val="0"/>
          <w:sz w:val="30"/>
          <w:szCs w:val="30"/>
        </w:rPr>
        <w:t>.</w:t>
      </w:r>
      <w:r>
        <w:rPr>
          <w:rFonts w:hint="eastAsia" w:ascii="仿宋_GB2312" w:eastAsia="仿宋_GB2312"/>
          <w:color w:val="000000" w:themeColor="text1"/>
          <w:kern w:val="0"/>
          <w:sz w:val="30"/>
          <w:szCs w:val="30"/>
        </w:rPr>
        <w:t>本年账面增加数：该指标按照配置方式分别提取。</w:t>
      </w:r>
    </w:p>
    <w:p w14:paraId="6E1AE33A">
      <w:pPr>
        <w:spacing w:line="360" w:lineRule="auto"/>
        <w:ind w:firstLine="600" w:firstLineChars="200"/>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配置</w:t>
      </w:r>
      <w:r>
        <w:rPr>
          <w:rFonts w:ascii="仿宋_GB2312" w:eastAsia="仿宋_GB2312"/>
          <w:color w:val="000000" w:themeColor="text1"/>
          <w:kern w:val="0"/>
          <w:sz w:val="30"/>
          <w:szCs w:val="30"/>
        </w:rPr>
        <w:t>方</w:t>
      </w:r>
      <w:r>
        <w:rPr>
          <w:rFonts w:hint="eastAsia" w:ascii="仿宋_GB2312" w:eastAsia="仿宋_GB2312"/>
          <w:color w:val="000000" w:themeColor="text1"/>
          <w:kern w:val="0"/>
          <w:sz w:val="30"/>
          <w:szCs w:val="30"/>
        </w:rPr>
        <w:t>式</w:t>
      </w:r>
      <w:r>
        <w:rPr>
          <w:rFonts w:ascii="仿宋_GB2312" w:eastAsia="仿宋_GB2312"/>
          <w:color w:val="000000" w:themeColor="text1"/>
          <w:kern w:val="0"/>
          <w:sz w:val="30"/>
          <w:szCs w:val="30"/>
        </w:rPr>
        <w:t>分为新购、调拨、接受捐赠、</w:t>
      </w:r>
      <w:r>
        <w:rPr>
          <w:rFonts w:hint="eastAsia" w:ascii="仿宋_GB2312" w:eastAsia="仿宋_GB2312"/>
          <w:color w:val="000000" w:themeColor="text1"/>
          <w:kern w:val="0"/>
          <w:sz w:val="30"/>
          <w:szCs w:val="30"/>
        </w:rPr>
        <w:t>置换</w:t>
      </w:r>
      <w:r>
        <w:rPr>
          <w:rFonts w:ascii="仿宋_GB2312" w:eastAsia="仿宋_GB2312"/>
          <w:color w:val="000000" w:themeColor="text1"/>
          <w:kern w:val="0"/>
          <w:sz w:val="30"/>
          <w:szCs w:val="30"/>
        </w:rPr>
        <w:t>、其他等五种方式</w:t>
      </w:r>
      <w:r>
        <w:rPr>
          <w:rFonts w:hint="eastAsia" w:ascii="仿宋_GB2312" w:eastAsia="仿宋_GB2312"/>
          <w:color w:val="000000" w:themeColor="text1"/>
          <w:kern w:val="0"/>
          <w:sz w:val="30"/>
          <w:szCs w:val="30"/>
        </w:rPr>
        <w:t>。其中：</w:t>
      </w:r>
    </w:p>
    <w:p w14:paraId="645C3D02">
      <w:pPr>
        <w:spacing w:line="360" w:lineRule="auto"/>
        <w:ind w:firstLine="600"/>
        <w:rPr>
          <w:rFonts w:ascii="仿宋_GB2312" w:eastAsia="仿宋_GB2312"/>
          <w:color w:val="000000" w:themeColor="text1"/>
          <w:kern w:val="0"/>
          <w:sz w:val="30"/>
          <w:szCs w:val="30"/>
        </w:rPr>
      </w:pPr>
      <w:r>
        <w:rPr>
          <w:rFonts w:ascii="仿宋_GB2312" w:eastAsia="仿宋_GB2312"/>
          <w:color w:val="000000" w:themeColor="text1"/>
          <w:kern w:val="0"/>
          <w:sz w:val="30"/>
          <w:szCs w:val="30"/>
        </w:rPr>
        <w:t>新购</w:t>
      </w:r>
      <w:r>
        <w:rPr>
          <w:rFonts w:hint="eastAsia" w:ascii="仿宋_GB2312" w:eastAsia="仿宋_GB2312"/>
          <w:color w:val="000000" w:themeColor="text1"/>
          <w:kern w:val="0"/>
          <w:sz w:val="30"/>
          <w:szCs w:val="30"/>
        </w:rPr>
        <w:t>包括以购买的方式配置资产的行为、以自建或自行研制等方式配置资产的行为、以融资租入方式配置</w:t>
      </w:r>
      <w:r>
        <w:rPr>
          <w:rFonts w:ascii="仿宋_GB2312" w:eastAsia="仿宋_GB2312"/>
          <w:color w:val="000000" w:themeColor="text1"/>
          <w:kern w:val="0"/>
          <w:sz w:val="30"/>
          <w:szCs w:val="30"/>
        </w:rPr>
        <w:t>资产的行为</w:t>
      </w:r>
      <w:r>
        <w:rPr>
          <w:rFonts w:hint="eastAsia" w:ascii="仿宋_GB2312" w:eastAsia="仿宋_GB2312"/>
          <w:color w:val="000000" w:themeColor="text1"/>
          <w:kern w:val="0"/>
          <w:sz w:val="30"/>
          <w:szCs w:val="30"/>
        </w:rPr>
        <w:t>等。</w:t>
      </w:r>
    </w:p>
    <w:p w14:paraId="5C258BD8">
      <w:pPr>
        <w:spacing w:line="360" w:lineRule="auto"/>
        <w:ind w:firstLine="600"/>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调拨是</w:t>
      </w:r>
      <w:r>
        <w:rPr>
          <w:rFonts w:ascii="仿宋_GB2312" w:eastAsia="仿宋_GB2312"/>
          <w:color w:val="000000" w:themeColor="text1"/>
          <w:kern w:val="0"/>
          <w:sz w:val="30"/>
          <w:szCs w:val="30"/>
        </w:rPr>
        <w:t>指</w:t>
      </w:r>
      <w:r>
        <w:rPr>
          <w:rFonts w:hint="eastAsia" w:ascii="仿宋_GB2312" w:eastAsia="仿宋_GB2312"/>
          <w:color w:val="000000" w:themeColor="text1"/>
          <w:kern w:val="0"/>
          <w:sz w:val="30"/>
          <w:szCs w:val="30"/>
        </w:rPr>
        <w:t>以无偿调入的方式配置资产的</w:t>
      </w:r>
      <w:r>
        <w:rPr>
          <w:rFonts w:ascii="仿宋_GB2312" w:eastAsia="仿宋_GB2312"/>
          <w:color w:val="000000" w:themeColor="text1"/>
          <w:kern w:val="0"/>
          <w:sz w:val="30"/>
          <w:szCs w:val="30"/>
        </w:rPr>
        <w:t>行为</w:t>
      </w:r>
      <w:r>
        <w:rPr>
          <w:rFonts w:hint="eastAsia" w:ascii="仿宋_GB2312" w:eastAsia="仿宋_GB2312"/>
          <w:color w:val="000000" w:themeColor="text1"/>
          <w:kern w:val="0"/>
          <w:sz w:val="30"/>
          <w:szCs w:val="30"/>
        </w:rPr>
        <w:t>，机构合并涉及的资产划转不作为调拨配置资产。</w:t>
      </w:r>
    </w:p>
    <w:p w14:paraId="7CBD39FA">
      <w:pPr>
        <w:spacing w:line="360" w:lineRule="auto"/>
        <w:ind w:firstLine="600"/>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接</w:t>
      </w:r>
      <w:r>
        <w:rPr>
          <w:rFonts w:ascii="仿宋_GB2312" w:eastAsia="仿宋_GB2312"/>
          <w:color w:val="000000" w:themeColor="text1"/>
          <w:kern w:val="0"/>
          <w:sz w:val="30"/>
          <w:szCs w:val="30"/>
        </w:rPr>
        <w:t>受捐赠是</w:t>
      </w:r>
      <w:r>
        <w:rPr>
          <w:rFonts w:hint="eastAsia" w:ascii="仿宋_GB2312" w:eastAsia="仿宋_GB2312"/>
          <w:color w:val="000000" w:themeColor="text1"/>
          <w:kern w:val="0"/>
          <w:sz w:val="30"/>
          <w:szCs w:val="30"/>
        </w:rPr>
        <w:t>指单位通过接受捐赠的方式配置资产的</w:t>
      </w:r>
      <w:r>
        <w:rPr>
          <w:rFonts w:ascii="仿宋_GB2312" w:eastAsia="仿宋_GB2312"/>
          <w:color w:val="000000" w:themeColor="text1"/>
          <w:kern w:val="0"/>
          <w:sz w:val="30"/>
          <w:szCs w:val="30"/>
        </w:rPr>
        <w:t>行为</w:t>
      </w:r>
      <w:r>
        <w:rPr>
          <w:rFonts w:hint="eastAsia" w:ascii="仿宋_GB2312" w:eastAsia="仿宋_GB2312"/>
          <w:color w:val="000000" w:themeColor="text1"/>
          <w:kern w:val="0"/>
          <w:sz w:val="30"/>
          <w:szCs w:val="30"/>
        </w:rPr>
        <w:t>。</w:t>
      </w:r>
    </w:p>
    <w:p w14:paraId="62C1B63C">
      <w:pPr>
        <w:spacing w:line="360" w:lineRule="auto"/>
        <w:ind w:firstLine="600"/>
        <w:rPr>
          <w:rFonts w:ascii="仿宋_GB2312" w:eastAsia="仿宋_GB2312"/>
          <w:color w:val="000000" w:themeColor="text1"/>
          <w:kern w:val="0"/>
          <w:sz w:val="30"/>
          <w:szCs w:val="30"/>
        </w:rPr>
      </w:pPr>
      <w:bookmarkStart w:id="6" w:name="_Hlk22747900"/>
      <w:r>
        <w:rPr>
          <w:rFonts w:hint="eastAsia" w:ascii="仿宋_GB2312" w:eastAsia="仿宋_GB2312"/>
          <w:color w:val="000000" w:themeColor="text1"/>
          <w:kern w:val="0"/>
          <w:sz w:val="30"/>
          <w:szCs w:val="30"/>
        </w:rPr>
        <w:t>置换是指单位与其他单位以非货币性资产为主进行资产交换的行为，此交换不涉及或只涉及少量的货币性资产（即补价）。</w:t>
      </w:r>
    </w:p>
    <w:bookmarkEnd w:id="6"/>
    <w:p w14:paraId="0F9A6E41">
      <w:pPr>
        <w:spacing w:line="360" w:lineRule="auto"/>
        <w:ind w:firstLine="600"/>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其他是指价值变动和盘盈等情况。</w:t>
      </w:r>
    </w:p>
    <w:p w14:paraId="798A38D4">
      <w:pPr>
        <w:spacing w:line="360" w:lineRule="auto"/>
        <w:ind w:firstLine="600" w:firstLineChars="200"/>
        <w:rPr>
          <w:rFonts w:ascii="仿宋_GB2312" w:eastAsia="仿宋_GB2312"/>
          <w:color w:val="000000" w:themeColor="text1"/>
          <w:kern w:val="0"/>
          <w:sz w:val="30"/>
          <w:szCs w:val="30"/>
        </w:rPr>
      </w:pPr>
      <w:r>
        <w:rPr>
          <w:rFonts w:hint="eastAsia" w:ascii="仿宋_GB2312" w:eastAsia="仿宋_GB2312"/>
          <w:color w:val="000000" w:themeColor="text1"/>
          <w:kern w:val="0"/>
          <w:sz w:val="30"/>
          <w:szCs w:val="30"/>
        </w:rPr>
        <w:t>2</w:t>
      </w:r>
      <w:r>
        <w:rPr>
          <w:rFonts w:ascii="仿宋_GB2312" w:eastAsia="仿宋_GB2312"/>
          <w:color w:val="000000" w:themeColor="text1"/>
          <w:kern w:val="0"/>
          <w:sz w:val="30"/>
          <w:szCs w:val="30"/>
        </w:rPr>
        <w:t>.</w:t>
      </w:r>
      <w:r>
        <w:rPr>
          <w:rFonts w:hint="eastAsia" w:ascii="仿宋_GB2312" w:eastAsia="仿宋_GB2312"/>
          <w:color w:val="000000" w:themeColor="text1"/>
          <w:kern w:val="0"/>
          <w:sz w:val="30"/>
          <w:szCs w:val="30"/>
        </w:rPr>
        <w:t>数量、原值、累计折旧/摊销、净值：由资产管理信息系统中资产卡片相关数据提取。</w:t>
      </w:r>
      <w:r>
        <w:rPr>
          <w:rFonts w:ascii="仿宋_GB2312" w:eastAsia="仿宋_GB2312"/>
          <w:color w:val="000000" w:themeColor="text1"/>
          <w:kern w:val="0"/>
          <w:sz w:val="30"/>
          <w:szCs w:val="30"/>
        </w:rPr>
        <w:t>按照有关规定并报经有关部门批准</w:t>
      </w:r>
      <w:r>
        <w:rPr>
          <w:rFonts w:hint="eastAsia" w:ascii="仿宋_GB2312" w:eastAsia="仿宋_GB2312"/>
          <w:color w:val="000000" w:themeColor="text1"/>
          <w:kern w:val="0"/>
          <w:sz w:val="30"/>
          <w:szCs w:val="30"/>
        </w:rPr>
        <w:t>接受捐赠、</w:t>
      </w:r>
      <w:r>
        <w:rPr>
          <w:rFonts w:ascii="仿宋_GB2312" w:eastAsia="仿宋_GB2312"/>
          <w:color w:val="000000" w:themeColor="text1"/>
          <w:kern w:val="0"/>
          <w:sz w:val="30"/>
          <w:szCs w:val="30"/>
        </w:rPr>
        <w:t>无偿调入或置换进来的资产，</w:t>
      </w:r>
      <w:r>
        <w:rPr>
          <w:rFonts w:hint="eastAsia" w:ascii="仿宋_GB2312" w:eastAsia="仿宋_GB2312"/>
          <w:color w:val="000000" w:themeColor="text1"/>
          <w:kern w:val="0"/>
          <w:sz w:val="30"/>
          <w:szCs w:val="30"/>
        </w:rPr>
        <w:t>应按照政府会计准则制度相关规定确定入账价值。</w:t>
      </w:r>
    </w:p>
    <w:p w14:paraId="182623D3">
      <w:pPr>
        <w:pStyle w:val="2"/>
        <w:ind w:firstLine="600" w:firstLineChars="200"/>
        <w:rPr>
          <w:b/>
          <w:color w:val="000000" w:themeColor="text1"/>
        </w:rPr>
      </w:pPr>
      <w:r>
        <w:rPr>
          <w:rFonts w:hint="eastAsia"/>
          <w:color w:val="000000" w:themeColor="text1"/>
        </w:rPr>
        <w:t>十、资产出租出借情况表（财资</w:t>
      </w:r>
      <w:r>
        <w:rPr>
          <w:color w:val="000000" w:themeColor="text1"/>
        </w:rPr>
        <w:t>09</w:t>
      </w:r>
      <w:r>
        <w:rPr>
          <w:rFonts w:hint="eastAsia"/>
          <w:color w:val="000000" w:themeColor="text1"/>
        </w:rPr>
        <w:t>表）</w:t>
      </w:r>
    </w:p>
    <w:p w14:paraId="6017CF82">
      <w:pPr>
        <w:pStyle w:val="6"/>
        <w:spacing w:line="360" w:lineRule="auto"/>
        <w:ind w:firstLine="612"/>
        <w:rPr>
          <w:rFonts w:hAnsi="仿宋"/>
          <w:color w:val="000000" w:themeColor="text1"/>
          <w:sz w:val="30"/>
          <w:szCs w:val="30"/>
        </w:rPr>
      </w:pPr>
      <w:r>
        <w:rPr>
          <w:rFonts w:hint="eastAsia" w:hAnsi="仿宋"/>
          <w:color w:val="000000" w:themeColor="text1"/>
          <w:sz w:val="30"/>
          <w:szCs w:val="30"/>
        </w:rPr>
        <w:t>本表反映行政事业单位本期账面资产出租出借的相关情况，包括</w:t>
      </w:r>
      <w:r>
        <w:rPr>
          <w:rFonts w:hAnsi="仿宋"/>
          <w:color w:val="000000" w:themeColor="text1"/>
          <w:sz w:val="30"/>
          <w:szCs w:val="30"/>
        </w:rPr>
        <w:t>期末</w:t>
      </w:r>
      <w:r>
        <w:rPr>
          <w:rFonts w:hint="eastAsia" w:hAnsi="仿宋"/>
          <w:color w:val="000000" w:themeColor="text1"/>
          <w:sz w:val="30"/>
          <w:szCs w:val="30"/>
        </w:rPr>
        <w:t>尚在</w:t>
      </w:r>
      <w:r>
        <w:rPr>
          <w:rFonts w:hAnsi="仿宋"/>
          <w:color w:val="000000" w:themeColor="text1"/>
          <w:sz w:val="30"/>
          <w:szCs w:val="30"/>
        </w:rPr>
        <w:t>出租出借</w:t>
      </w:r>
      <w:r>
        <w:rPr>
          <w:rFonts w:hint="eastAsia" w:hAnsi="仿宋"/>
          <w:color w:val="000000" w:themeColor="text1"/>
          <w:sz w:val="30"/>
          <w:szCs w:val="30"/>
        </w:rPr>
        <w:t>资产和本期内结束出租出借资产。单位在资产管理信息系统中执行出租出借申请并得到批复的，</w:t>
      </w:r>
      <w:bookmarkStart w:id="7" w:name="_Hlk51839059"/>
      <w:r>
        <w:rPr>
          <w:rFonts w:hint="eastAsia" w:hAnsi="仿宋"/>
          <w:color w:val="000000" w:themeColor="text1"/>
          <w:sz w:val="30"/>
          <w:szCs w:val="30"/>
        </w:rPr>
        <w:t>本表</w:t>
      </w:r>
      <w:bookmarkStart w:id="8" w:name="_Hlk20425460"/>
      <w:r>
        <w:rPr>
          <w:rFonts w:hint="eastAsia" w:hAnsi="仿宋"/>
          <w:color w:val="000000" w:themeColor="text1"/>
          <w:sz w:val="30"/>
          <w:szCs w:val="30"/>
        </w:rPr>
        <w:t>从</w:t>
      </w:r>
      <w:bookmarkEnd w:id="7"/>
      <w:r>
        <w:rPr>
          <w:rFonts w:hint="eastAsia" w:hAnsi="仿宋"/>
          <w:color w:val="000000" w:themeColor="text1"/>
          <w:sz w:val="30"/>
          <w:szCs w:val="30"/>
        </w:rPr>
        <w:t>出租出借执行单自动提取</w:t>
      </w:r>
      <w:bookmarkEnd w:id="8"/>
      <w:r>
        <w:rPr>
          <w:rFonts w:hint="eastAsia" w:hAnsi="仿宋"/>
          <w:color w:val="000000" w:themeColor="text1"/>
          <w:sz w:val="30"/>
          <w:szCs w:val="30"/>
        </w:rPr>
        <w:t>；单位未在资产管理信息系统中执行出租出借申请的，</w:t>
      </w:r>
      <w:r>
        <w:rPr>
          <w:rFonts w:hAnsi="仿宋"/>
          <w:color w:val="000000" w:themeColor="text1"/>
          <w:sz w:val="30"/>
          <w:szCs w:val="30"/>
        </w:rPr>
        <w:t>应依据出租出借相关合同</w:t>
      </w:r>
      <w:r>
        <w:rPr>
          <w:rFonts w:hint="eastAsia" w:hAnsi="仿宋"/>
          <w:color w:val="000000" w:themeColor="text1"/>
          <w:sz w:val="30"/>
          <w:szCs w:val="30"/>
        </w:rPr>
        <w:t>、</w:t>
      </w:r>
      <w:r>
        <w:rPr>
          <w:rFonts w:hAnsi="仿宋"/>
          <w:color w:val="000000" w:themeColor="text1"/>
          <w:sz w:val="30"/>
          <w:szCs w:val="30"/>
        </w:rPr>
        <w:t>协议等填列</w:t>
      </w:r>
      <w:r>
        <w:rPr>
          <w:rFonts w:hint="eastAsia" w:hAnsi="仿宋"/>
          <w:color w:val="000000" w:themeColor="text1"/>
          <w:sz w:val="30"/>
          <w:szCs w:val="30"/>
        </w:rPr>
        <w:t>。</w:t>
      </w:r>
    </w:p>
    <w:p w14:paraId="120709FF">
      <w:pPr>
        <w:pStyle w:val="6"/>
        <w:spacing w:line="360" w:lineRule="auto"/>
        <w:ind w:firstLine="612"/>
        <w:rPr>
          <w:rFonts w:hAnsi="仿宋"/>
          <w:color w:val="000000" w:themeColor="text1"/>
          <w:sz w:val="30"/>
          <w:szCs w:val="30"/>
        </w:rPr>
      </w:pPr>
      <w:r>
        <w:rPr>
          <w:rFonts w:hint="eastAsia" w:hAnsi="仿宋"/>
          <w:color w:val="000000" w:themeColor="text1"/>
          <w:sz w:val="30"/>
          <w:szCs w:val="30"/>
        </w:rPr>
        <w:t>为避免重复统计出租出借资产价值，同一资产（房屋、土地等资产以拆分后出租出借部分为准）本期多次出租出借的，应合并作为一条记录填写，其中“承租(借)方”、“出租(借)期限”、“审批情况”按照最新合同信息填写，“本期实收出租（借）收益”按照合并后的当年总收益进行填列。</w:t>
      </w:r>
    </w:p>
    <w:p w14:paraId="5C0D5CA9">
      <w:pPr>
        <w:pStyle w:val="6"/>
        <w:spacing w:line="360" w:lineRule="auto"/>
        <w:ind w:firstLine="648" w:firstLineChars="0"/>
        <w:rPr>
          <w:rFonts w:hAnsi="仿宋"/>
          <w:color w:val="000000" w:themeColor="text1"/>
          <w:sz w:val="30"/>
          <w:szCs w:val="30"/>
        </w:rPr>
      </w:pPr>
      <w:r>
        <w:rPr>
          <w:rFonts w:hint="eastAsia" w:hAnsi="仿宋"/>
          <w:color w:val="000000" w:themeColor="text1"/>
          <w:sz w:val="30"/>
          <w:szCs w:val="30"/>
        </w:rPr>
        <w:t>主要指标</w:t>
      </w:r>
      <w:r>
        <w:rPr>
          <w:rFonts w:hAnsi="仿宋"/>
          <w:color w:val="000000" w:themeColor="text1"/>
          <w:sz w:val="30"/>
          <w:szCs w:val="30"/>
        </w:rPr>
        <w:t>说明：</w:t>
      </w:r>
    </w:p>
    <w:p w14:paraId="7F7955C9">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1.资产编号、资产名称：从出租出借执行单自动提取或手工填列。</w:t>
      </w:r>
    </w:p>
    <w:p w14:paraId="161E61F0">
      <w:pPr>
        <w:pStyle w:val="6"/>
        <w:spacing w:line="360" w:lineRule="auto"/>
        <w:ind w:firstLine="612"/>
        <w:rPr>
          <w:rFonts w:hAnsi="仿宋"/>
          <w:color w:val="000000" w:themeColor="text1"/>
          <w:sz w:val="30"/>
          <w:szCs w:val="30"/>
        </w:rPr>
      </w:pPr>
      <w:r>
        <w:rPr>
          <w:rFonts w:hint="eastAsia" w:hAnsi="仿宋"/>
          <w:color w:val="000000" w:themeColor="text1"/>
          <w:sz w:val="30"/>
          <w:szCs w:val="30"/>
        </w:rPr>
        <w:t>2.资产分类：根据出租资产类别，分别选择固定资产、无形资产、流动资产、在建工程和其他资产填列，其中固定资产依据《固定资产分类与代码》（GB/T14885-2010）标准编码的选项，按固定资产分类代码进行填列；无形资产依据《无形资产分类与代码》（GB</w:t>
      </w:r>
      <w:r>
        <w:rPr>
          <w:rFonts w:hAnsi="仿宋"/>
          <w:color w:val="000000" w:themeColor="text1"/>
          <w:sz w:val="30"/>
          <w:szCs w:val="30"/>
        </w:rPr>
        <w:t>/</w:t>
      </w:r>
      <w:r>
        <w:rPr>
          <w:rFonts w:hint="eastAsia" w:hAnsi="仿宋"/>
          <w:color w:val="000000" w:themeColor="text1"/>
          <w:sz w:val="30"/>
          <w:szCs w:val="30"/>
        </w:rPr>
        <w:t>T35416-2017）标准编码的选项，按无形资产分类代码进行填列；流动资产按货币资金、其他流动资产选择填列；在建工程按实际情况填列；不属于上述资产范围的出租出借事项按其他资产填列，如户外附属设施等。</w:t>
      </w:r>
    </w:p>
    <w:p w14:paraId="0377AB44">
      <w:pPr>
        <w:pStyle w:val="6"/>
        <w:spacing w:line="360" w:lineRule="auto"/>
        <w:ind w:firstLine="612"/>
        <w:rPr>
          <w:rFonts w:hAnsi="仿宋"/>
          <w:color w:val="000000" w:themeColor="text1"/>
          <w:sz w:val="30"/>
          <w:szCs w:val="30"/>
        </w:rPr>
      </w:pPr>
      <w:r>
        <w:rPr>
          <w:rFonts w:hAnsi="仿宋"/>
          <w:color w:val="000000" w:themeColor="text1"/>
          <w:sz w:val="30"/>
          <w:szCs w:val="30"/>
        </w:rPr>
        <w:t>3.</w:t>
      </w:r>
      <w:r>
        <w:rPr>
          <w:rFonts w:hint="eastAsia" w:hAnsi="仿宋"/>
          <w:color w:val="000000" w:themeColor="text1"/>
          <w:sz w:val="30"/>
          <w:szCs w:val="30"/>
        </w:rPr>
        <w:t>取得日期：反映固定（无形）资产的取得日期，从卡片自动提取。</w:t>
      </w:r>
    </w:p>
    <w:p w14:paraId="51FF1005">
      <w:pPr>
        <w:pStyle w:val="6"/>
        <w:spacing w:line="360" w:lineRule="auto"/>
        <w:ind w:firstLine="612"/>
        <w:rPr>
          <w:rFonts w:hAnsi="仿宋"/>
          <w:color w:val="000000" w:themeColor="text1"/>
          <w:sz w:val="30"/>
          <w:szCs w:val="30"/>
        </w:rPr>
      </w:pPr>
      <w:r>
        <w:rPr>
          <w:rFonts w:hAnsi="仿宋"/>
          <w:color w:val="000000" w:themeColor="text1"/>
          <w:sz w:val="30"/>
          <w:szCs w:val="30"/>
        </w:rPr>
        <w:t>4.</w:t>
      </w:r>
      <w:r>
        <w:rPr>
          <w:rFonts w:hint="eastAsia" w:hAnsi="仿宋"/>
          <w:color w:val="000000" w:themeColor="text1"/>
          <w:sz w:val="30"/>
          <w:szCs w:val="30"/>
        </w:rPr>
        <w:t>账面数量/面积：指用于出租出借资产实际取得时的数量</w:t>
      </w:r>
      <w:r>
        <w:rPr>
          <w:rFonts w:hAnsi="仿宋"/>
          <w:color w:val="000000" w:themeColor="text1"/>
          <w:sz w:val="30"/>
          <w:szCs w:val="30"/>
        </w:rPr>
        <w:t>/面积。</w:t>
      </w:r>
    </w:p>
    <w:p w14:paraId="1B78EFE9">
      <w:pPr>
        <w:pStyle w:val="6"/>
        <w:spacing w:line="360" w:lineRule="auto"/>
        <w:ind w:firstLine="612"/>
        <w:rPr>
          <w:rFonts w:hAnsi="仿宋"/>
          <w:color w:val="000000" w:themeColor="text1"/>
          <w:sz w:val="30"/>
          <w:szCs w:val="30"/>
        </w:rPr>
      </w:pPr>
      <w:r>
        <w:rPr>
          <w:rFonts w:hAnsi="仿宋"/>
          <w:color w:val="000000" w:themeColor="text1"/>
          <w:sz w:val="30"/>
          <w:szCs w:val="30"/>
        </w:rPr>
        <w:t>5.账面原值：指用于出租出借资产实际取得时原值。</w:t>
      </w:r>
    </w:p>
    <w:p w14:paraId="72622BBD">
      <w:pPr>
        <w:pStyle w:val="6"/>
        <w:spacing w:line="360" w:lineRule="auto"/>
        <w:ind w:firstLine="612"/>
        <w:rPr>
          <w:rFonts w:hAnsi="仿宋"/>
          <w:color w:val="000000" w:themeColor="text1"/>
          <w:sz w:val="30"/>
          <w:szCs w:val="30"/>
        </w:rPr>
      </w:pPr>
      <w:r>
        <w:rPr>
          <w:rFonts w:hAnsi="仿宋"/>
          <w:color w:val="000000" w:themeColor="text1"/>
          <w:sz w:val="30"/>
          <w:szCs w:val="30"/>
        </w:rPr>
        <w:t>6.出租出借数量/</w:t>
      </w:r>
      <w:r>
        <w:rPr>
          <w:rFonts w:hint="eastAsia" w:hAnsi="仿宋"/>
          <w:color w:val="000000" w:themeColor="text1"/>
          <w:sz w:val="30"/>
          <w:szCs w:val="30"/>
        </w:rPr>
        <w:t>面积：出租出借设备和车辆等按实际出租出借的数量填列。出租出借土地和房屋按实际出租出借的面积填列。</w:t>
      </w:r>
    </w:p>
    <w:p w14:paraId="6CBA27A2">
      <w:pPr>
        <w:pStyle w:val="6"/>
        <w:spacing w:line="360" w:lineRule="auto"/>
        <w:ind w:firstLine="612"/>
        <w:rPr>
          <w:rFonts w:hAnsi="仿宋"/>
          <w:color w:val="000000" w:themeColor="text1"/>
          <w:sz w:val="30"/>
          <w:szCs w:val="30"/>
        </w:rPr>
      </w:pPr>
      <w:r>
        <w:rPr>
          <w:rFonts w:hAnsi="仿宋"/>
          <w:color w:val="000000" w:themeColor="text1"/>
          <w:sz w:val="30"/>
          <w:szCs w:val="30"/>
        </w:rPr>
        <w:t>7.出租出借资产价值：</w:t>
      </w:r>
      <w:r>
        <w:rPr>
          <w:rFonts w:hint="eastAsia" w:hAnsi="仿宋"/>
          <w:color w:val="000000" w:themeColor="text1"/>
          <w:sz w:val="30"/>
          <w:szCs w:val="30"/>
        </w:rPr>
        <w:t>如出租出借土地、房屋及构筑物，</w:t>
      </w:r>
      <w:r>
        <w:rPr>
          <w:rFonts w:hAnsi="仿宋"/>
          <w:color w:val="000000" w:themeColor="text1"/>
          <w:sz w:val="30"/>
          <w:szCs w:val="30"/>
        </w:rPr>
        <w:t>由软件自动计算</w:t>
      </w:r>
      <w:r>
        <w:rPr>
          <w:rFonts w:hint="eastAsia" w:hAnsi="仿宋"/>
          <w:color w:val="000000" w:themeColor="text1"/>
          <w:sz w:val="30"/>
          <w:szCs w:val="30"/>
        </w:rPr>
        <w:t>得出</w:t>
      </w:r>
      <w:r>
        <w:rPr>
          <w:rFonts w:hAnsi="仿宋"/>
          <w:color w:val="000000" w:themeColor="text1"/>
          <w:sz w:val="30"/>
          <w:szCs w:val="30"/>
        </w:rPr>
        <w:t>，</w:t>
      </w:r>
      <w:r>
        <w:rPr>
          <w:rFonts w:hint="eastAsia" w:hAnsi="仿宋"/>
          <w:color w:val="000000" w:themeColor="text1"/>
          <w:sz w:val="30"/>
          <w:szCs w:val="30"/>
        </w:rPr>
        <w:t>出租出借资产</w:t>
      </w:r>
      <w:r>
        <w:rPr>
          <w:rFonts w:hAnsi="仿宋"/>
          <w:color w:val="000000" w:themeColor="text1"/>
          <w:sz w:val="30"/>
          <w:szCs w:val="30"/>
        </w:rPr>
        <w:t>价值=</w:t>
      </w:r>
      <w:r>
        <w:rPr>
          <w:rFonts w:hint="eastAsia" w:hAnsi="仿宋"/>
          <w:color w:val="000000" w:themeColor="text1"/>
          <w:sz w:val="30"/>
          <w:szCs w:val="30"/>
        </w:rPr>
        <w:t>“</w:t>
      </w:r>
      <w:r>
        <w:rPr>
          <w:rFonts w:hAnsi="仿宋"/>
          <w:color w:val="000000" w:themeColor="text1"/>
          <w:sz w:val="30"/>
          <w:szCs w:val="30"/>
        </w:rPr>
        <w:t>出租出借数量/面积”/“</w:t>
      </w:r>
      <w:r>
        <w:rPr>
          <w:rFonts w:hint="eastAsia" w:hAnsi="仿宋"/>
          <w:color w:val="000000" w:themeColor="text1"/>
          <w:sz w:val="30"/>
          <w:szCs w:val="30"/>
        </w:rPr>
        <w:t>出租出借</w:t>
      </w:r>
      <w:r>
        <w:rPr>
          <w:rFonts w:hAnsi="仿宋"/>
          <w:color w:val="000000" w:themeColor="text1"/>
          <w:sz w:val="30"/>
          <w:szCs w:val="30"/>
        </w:rPr>
        <w:t>资产</w:t>
      </w:r>
      <w:r>
        <w:rPr>
          <w:rFonts w:hint="eastAsia" w:hAnsi="仿宋"/>
          <w:color w:val="000000" w:themeColor="text1"/>
          <w:sz w:val="30"/>
          <w:szCs w:val="30"/>
        </w:rPr>
        <w:t>的</w:t>
      </w:r>
      <w:r>
        <w:rPr>
          <w:rFonts w:hAnsi="仿宋"/>
          <w:color w:val="000000" w:themeColor="text1"/>
          <w:sz w:val="30"/>
          <w:szCs w:val="30"/>
        </w:rPr>
        <w:t>总</w:t>
      </w:r>
      <w:r>
        <w:rPr>
          <w:rFonts w:hint="eastAsia" w:hAnsi="仿宋"/>
          <w:color w:val="000000" w:themeColor="text1"/>
          <w:sz w:val="30"/>
          <w:szCs w:val="30"/>
        </w:rPr>
        <w:t>数量</w:t>
      </w:r>
      <w:r>
        <w:rPr>
          <w:rFonts w:hAnsi="仿宋"/>
          <w:color w:val="000000" w:themeColor="text1"/>
          <w:sz w:val="30"/>
          <w:szCs w:val="30"/>
        </w:rPr>
        <w:t>/</w:t>
      </w:r>
      <w:r>
        <w:rPr>
          <w:rFonts w:hint="eastAsia" w:hAnsi="仿宋"/>
          <w:color w:val="000000" w:themeColor="text1"/>
          <w:sz w:val="30"/>
          <w:szCs w:val="30"/>
        </w:rPr>
        <w:t>面积</w:t>
      </w:r>
      <w:r>
        <w:rPr>
          <w:rFonts w:hAnsi="仿宋"/>
          <w:color w:val="000000" w:themeColor="text1"/>
          <w:sz w:val="30"/>
          <w:szCs w:val="30"/>
        </w:rPr>
        <w:t>”</w:t>
      </w:r>
      <w:r>
        <w:rPr>
          <w:rFonts w:hint="eastAsia" w:hAnsi="仿宋"/>
          <w:color w:val="000000" w:themeColor="text1"/>
          <w:sz w:val="30"/>
          <w:szCs w:val="30"/>
        </w:rPr>
        <w:t>×</w:t>
      </w:r>
      <w:r>
        <w:rPr>
          <w:rFonts w:hAnsi="仿宋"/>
          <w:color w:val="000000" w:themeColor="text1"/>
          <w:sz w:val="30"/>
          <w:szCs w:val="30"/>
        </w:rPr>
        <w:t>账面原值。</w:t>
      </w:r>
      <w:r>
        <w:rPr>
          <w:rFonts w:hint="eastAsia" w:hAnsi="仿宋"/>
          <w:color w:val="000000" w:themeColor="text1"/>
          <w:sz w:val="30"/>
          <w:szCs w:val="30"/>
        </w:rPr>
        <w:t>如出租出借除土地和房屋及构筑物以外的其他资产，出租出借资产价值</w:t>
      </w:r>
      <w:r>
        <w:rPr>
          <w:rFonts w:hAnsi="仿宋"/>
          <w:color w:val="000000" w:themeColor="text1"/>
          <w:sz w:val="30"/>
          <w:szCs w:val="30"/>
        </w:rPr>
        <w:t>=账面原值。</w:t>
      </w:r>
    </w:p>
    <w:p w14:paraId="2BBE8754">
      <w:pPr>
        <w:pStyle w:val="6"/>
        <w:spacing w:line="360" w:lineRule="auto"/>
        <w:ind w:firstLine="612"/>
        <w:rPr>
          <w:rFonts w:hAnsi="仿宋"/>
          <w:color w:val="000000" w:themeColor="text1"/>
          <w:sz w:val="30"/>
          <w:szCs w:val="30"/>
        </w:rPr>
      </w:pPr>
      <w:r>
        <w:rPr>
          <w:rFonts w:hAnsi="仿宋"/>
          <w:color w:val="000000" w:themeColor="text1"/>
          <w:sz w:val="30"/>
          <w:szCs w:val="30"/>
        </w:rPr>
        <w:t>8.承租（借）方：</w:t>
      </w:r>
      <w:r>
        <w:rPr>
          <w:rFonts w:hint="eastAsia" w:hAnsi="仿宋"/>
          <w:color w:val="000000" w:themeColor="text1"/>
          <w:sz w:val="30"/>
          <w:szCs w:val="30"/>
        </w:rPr>
        <w:t>按实际承租（借）方填列。</w:t>
      </w:r>
    </w:p>
    <w:p w14:paraId="00A6F797">
      <w:pPr>
        <w:pStyle w:val="6"/>
        <w:spacing w:line="360" w:lineRule="auto"/>
        <w:ind w:firstLine="612"/>
        <w:rPr>
          <w:rFonts w:hAnsi="仿宋"/>
          <w:color w:val="000000" w:themeColor="text1"/>
          <w:sz w:val="30"/>
          <w:szCs w:val="30"/>
        </w:rPr>
      </w:pPr>
      <w:r>
        <w:rPr>
          <w:rFonts w:hAnsi="仿宋"/>
          <w:color w:val="000000" w:themeColor="text1"/>
          <w:sz w:val="30"/>
          <w:szCs w:val="30"/>
        </w:rPr>
        <w:t>9.出租（借）期限：</w:t>
      </w:r>
      <w:r>
        <w:rPr>
          <w:rFonts w:hint="eastAsia" w:hAnsi="仿宋"/>
          <w:color w:val="000000" w:themeColor="text1"/>
          <w:sz w:val="30"/>
          <w:szCs w:val="30"/>
        </w:rPr>
        <w:t>开始日期和结束日期按照</w:t>
      </w:r>
      <w:r>
        <w:rPr>
          <w:rFonts w:hAnsi="仿宋"/>
          <w:color w:val="000000" w:themeColor="text1"/>
          <w:sz w:val="30"/>
          <w:szCs w:val="30"/>
        </w:rPr>
        <w:t>出租出借合同起止日期分别填列。</w:t>
      </w:r>
    </w:p>
    <w:p w14:paraId="70FE6CD0">
      <w:pPr>
        <w:pStyle w:val="6"/>
        <w:spacing w:line="360" w:lineRule="auto"/>
        <w:ind w:firstLine="612"/>
        <w:rPr>
          <w:rFonts w:hAnsi="仿宋"/>
          <w:color w:val="000000" w:themeColor="text1"/>
          <w:sz w:val="30"/>
          <w:szCs w:val="30"/>
        </w:rPr>
      </w:pPr>
      <w:r>
        <w:rPr>
          <w:rFonts w:hAnsi="仿宋"/>
          <w:color w:val="000000" w:themeColor="text1"/>
          <w:sz w:val="30"/>
          <w:szCs w:val="30"/>
        </w:rPr>
        <w:t>10.</w:t>
      </w:r>
      <w:r>
        <w:rPr>
          <w:rFonts w:hint="eastAsia" w:hAnsi="仿宋"/>
          <w:color w:val="000000" w:themeColor="text1"/>
          <w:sz w:val="30"/>
          <w:szCs w:val="30"/>
        </w:rPr>
        <w:t>本期实收出租（借）收益：反映本年收到的出租出借收益（税后）。</w:t>
      </w:r>
    </w:p>
    <w:p w14:paraId="61851AC1">
      <w:pPr>
        <w:pStyle w:val="6"/>
        <w:spacing w:line="360" w:lineRule="auto"/>
        <w:ind w:firstLine="612"/>
        <w:rPr>
          <w:rFonts w:hAnsi="仿宋"/>
          <w:color w:val="000000" w:themeColor="text1"/>
          <w:sz w:val="30"/>
          <w:szCs w:val="30"/>
        </w:rPr>
      </w:pPr>
      <w:r>
        <w:rPr>
          <w:rFonts w:hint="eastAsia" w:hAnsi="仿宋"/>
          <w:color w:val="000000" w:themeColor="text1"/>
          <w:sz w:val="30"/>
          <w:szCs w:val="30"/>
        </w:rPr>
        <w:t>1</w:t>
      </w:r>
      <w:r>
        <w:rPr>
          <w:rFonts w:hAnsi="仿宋"/>
          <w:color w:val="000000" w:themeColor="text1"/>
          <w:sz w:val="30"/>
          <w:szCs w:val="30"/>
        </w:rPr>
        <w:t>1.</w:t>
      </w:r>
      <w:r>
        <w:rPr>
          <w:rFonts w:hint="eastAsia" w:hAnsi="仿宋"/>
          <w:color w:val="000000" w:themeColor="text1"/>
          <w:sz w:val="30"/>
          <w:szCs w:val="30"/>
        </w:rPr>
        <w:t>是否本年新增出租出借：反映出租出借合同起始日期介于20</w:t>
      </w:r>
      <w:r>
        <w:rPr>
          <w:rFonts w:hAnsi="仿宋"/>
          <w:color w:val="000000" w:themeColor="text1"/>
          <w:sz w:val="30"/>
          <w:szCs w:val="30"/>
        </w:rPr>
        <w:t>21</w:t>
      </w:r>
      <w:r>
        <w:rPr>
          <w:rFonts w:hint="eastAsia" w:hAnsi="仿宋"/>
          <w:color w:val="000000" w:themeColor="text1"/>
          <w:sz w:val="30"/>
          <w:szCs w:val="30"/>
        </w:rPr>
        <w:t>年1月1日和20</w:t>
      </w:r>
      <w:r>
        <w:rPr>
          <w:rFonts w:hAnsi="仿宋"/>
          <w:color w:val="000000" w:themeColor="text1"/>
          <w:sz w:val="30"/>
          <w:szCs w:val="30"/>
        </w:rPr>
        <w:t>21</w:t>
      </w:r>
      <w:r>
        <w:rPr>
          <w:rFonts w:hint="eastAsia" w:hAnsi="仿宋"/>
          <w:color w:val="000000" w:themeColor="text1"/>
          <w:sz w:val="30"/>
          <w:szCs w:val="30"/>
        </w:rPr>
        <w:t>年12月31日之间的出租出借事项，由系统自动运算填列。</w:t>
      </w:r>
    </w:p>
    <w:p w14:paraId="0BB23D33">
      <w:pPr>
        <w:pStyle w:val="6"/>
        <w:spacing w:line="360" w:lineRule="auto"/>
        <w:ind w:firstLine="612"/>
        <w:rPr>
          <w:rFonts w:hAnsi="仿宋"/>
          <w:color w:val="000000" w:themeColor="text1"/>
          <w:sz w:val="30"/>
          <w:szCs w:val="30"/>
        </w:rPr>
      </w:pPr>
      <w:r>
        <w:rPr>
          <w:rFonts w:hint="eastAsia" w:hAnsi="仿宋"/>
          <w:color w:val="000000" w:themeColor="text1"/>
          <w:sz w:val="30"/>
          <w:szCs w:val="30"/>
        </w:rPr>
        <w:t>1</w:t>
      </w:r>
      <w:r>
        <w:rPr>
          <w:rFonts w:hAnsi="仿宋"/>
          <w:color w:val="000000" w:themeColor="text1"/>
          <w:sz w:val="30"/>
          <w:szCs w:val="30"/>
        </w:rPr>
        <w:t>2.</w:t>
      </w:r>
      <w:r>
        <w:rPr>
          <w:rFonts w:hint="eastAsia" w:hAnsi="仿宋"/>
          <w:color w:val="000000" w:themeColor="text1"/>
          <w:sz w:val="30"/>
          <w:szCs w:val="30"/>
        </w:rPr>
        <w:t>审批情况：按财政部门审批、主管部门审批、单位内部审批、未审批选择填列。其中，财政部门审批是指按规定权限由财政部门履行审批程序，并获得批复的事项；主管部门审批是指按规定权限由主管部门或机关事务管理部门办理，并获得批复的事项；单位审批是指按规定权限由单位审批，并获得批复的事项；未审批是指未按规定权限办理审批的事项。</w:t>
      </w:r>
    </w:p>
    <w:p w14:paraId="35600A0C">
      <w:pPr>
        <w:pStyle w:val="6"/>
        <w:spacing w:line="360" w:lineRule="auto"/>
        <w:ind w:firstLine="612"/>
        <w:rPr>
          <w:rFonts w:hAnsi="仿宋"/>
          <w:color w:val="000000" w:themeColor="text1"/>
          <w:sz w:val="30"/>
          <w:szCs w:val="30"/>
        </w:rPr>
      </w:pPr>
      <w:r>
        <w:rPr>
          <w:rFonts w:hint="eastAsia" w:hAnsi="仿宋"/>
          <w:color w:val="000000" w:themeColor="text1"/>
          <w:sz w:val="30"/>
          <w:szCs w:val="30"/>
        </w:rPr>
        <w:t>1</w:t>
      </w:r>
      <w:r>
        <w:rPr>
          <w:rFonts w:hAnsi="仿宋"/>
          <w:color w:val="000000" w:themeColor="text1"/>
          <w:sz w:val="30"/>
          <w:szCs w:val="30"/>
        </w:rPr>
        <w:t>3.</w:t>
      </w:r>
      <w:r>
        <w:rPr>
          <w:rFonts w:hint="eastAsia" w:hAnsi="仿宋"/>
          <w:color w:val="000000" w:themeColor="text1"/>
          <w:sz w:val="30"/>
          <w:szCs w:val="30"/>
        </w:rPr>
        <w:t>往期出租出借事项收益情况：反映本期收到的20</w:t>
      </w:r>
      <w:r>
        <w:rPr>
          <w:rFonts w:hAnsi="仿宋"/>
          <w:color w:val="000000" w:themeColor="text1"/>
          <w:sz w:val="30"/>
          <w:szCs w:val="30"/>
        </w:rPr>
        <w:t>21</w:t>
      </w:r>
      <w:r>
        <w:rPr>
          <w:rFonts w:hint="eastAsia" w:hAnsi="仿宋"/>
          <w:color w:val="000000" w:themeColor="text1"/>
          <w:sz w:val="30"/>
          <w:szCs w:val="30"/>
        </w:rPr>
        <w:t>年</w:t>
      </w:r>
      <w:r>
        <w:rPr>
          <w:rFonts w:hAnsi="仿宋"/>
          <w:color w:val="000000" w:themeColor="text1"/>
          <w:sz w:val="30"/>
          <w:szCs w:val="30"/>
        </w:rPr>
        <w:t>1</w:t>
      </w:r>
      <w:r>
        <w:rPr>
          <w:rFonts w:hint="eastAsia" w:hAnsi="仿宋"/>
          <w:color w:val="000000" w:themeColor="text1"/>
          <w:sz w:val="30"/>
          <w:szCs w:val="30"/>
        </w:rPr>
        <w:t>月</w:t>
      </w:r>
      <w:r>
        <w:rPr>
          <w:rFonts w:hAnsi="仿宋"/>
          <w:color w:val="000000" w:themeColor="text1"/>
          <w:sz w:val="30"/>
          <w:szCs w:val="30"/>
        </w:rPr>
        <w:t>1</w:t>
      </w:r>
      <w:r>
        <w:rPr>
          <w:rFonts w:hint="eastAsia" w:hAnsi="仿宋"/>
          <w:color w:val="000000" w:themeColor="text1"/>
          <w:sz w:val="30"/>
          <w:szCs w:val="30"/>
        </w:rPr>
        <w:t xml:space="preserve">日前结束的出租出借事项收益（税后），仅填写15栏“本期实收出租（借）收益”。 </w:t>
      </w:r>
    </w:p>
    <w:p w14:paraId="7D8B4495">
      <w:pPr>
        <w:pStyle w:val="2"/>
        <w:ind w:firstLine="600" w:firstLineChars="200"/>
        <w:rPr>
          <w:b/>
          <w:color w:val="000000" w:themeColor="text1"/>
        </w:rPr>
      </w:pPr>
      <w:r>
        <w:rPr>
          <w:rFonts w:hint="eastAsia"/>
          <w:color w:val="000000" w:themeColor="text1"/>
        </w:rPr>
        <w:t>十一</w:t>
      </w:r>
      <w:r>
        <w:rPr>
          <w:color w:val="000000" w:themeColor="text1"/>
        </w:rPr>
        <w:t>、</w:t>
      </w:r>
      <w:r>
        <w:rPr>
          <w:rFonts w:hint="eastAsia"/>
          <w:color w:val="000000" w:themeColor="text1"/>
        </w:rPr>
        <w:t>资产处置情况表（财资</w:t>
      </w:r>
      <w:r>
        <w:rPr>
          <w:color w:val="000000" w:themeColor="text1"/>
        </w:rPr>
        <w:t>10</w:t>
      </w:r>
      <w:r>
        <w:rPr>
          <w:rFonts w:hint="eastAsia"/>
          <w:color w:val="000000" w:themeColor="text1"/>
        </w:rPr>
        <w:t>表）</w:t>
      </w:r>
    </w:p>
    <w:p w14:paraId="0BDDCFD6">
      <w:pPr>
        <w:pStyle w:val="6"/>
        <w:spacing w:line="360" w:lineRule="auto"/>
        <w:ind w:firstLine="612"/>
        <w:rPr>
          <w:rFonts w:hAnsi="仿宋"/>
          <w:color w:val="000000" w:themeColor="text1"/>
          <w:sz w:val="30"/>
          <w:szCs w:val="30"/>
        </w:rPr>
      </w:pPr>
      <w:r>
        <w:rPr>
          <w:rFonts w:hint="eastAsia" w:hAnsi="仿宋"/>
          <w:color w:val="000000" w:themeColor="text1"/>
          <w:sz w:val="30"/>
          <w:szCs w:val="30"/>
        </w:rPr>
        <w:t>本表反映行政事业单位当年账面资产处置</w:t>
      </w:r>
      <w:r>
        <w:rPr>
          <w:rFonts w:hAnsi="仿宋"/>
          <w:color w:val="000000" w:themeColor="text1"/>
          <w:sz w:val="30"/>
          <w:szCs w:val="30"/>
        </w:rPr>
        <w:t>情况</w:t>
      </w:r>
      <w:r>
        <w:rPr>
          <w:rFonts w:hint="eastAsia" w:hAnsi="仿宋"/>
          <w:color w:val="000000" w:themeColor="text1"/>
          <w:sz w:val="30"/>
          <w:szCs w:val="30"/>
        </w:rPr>
        <w:t>。单位在资产管理信息系统中执行处置申请并得到批复的，本表从处置执行单取数；单位未在资产管理信息系统中执行处置申请的，固定资产、无形资产处置应按处置事项批次补充资产处置申请单、执行单；流动资产、对外投资、在建工程及其他资产</w:t>
      </w:r>
      <w:r>
        <w:rPr>
          <w:rFonts w:hAnsi="仿宋"/>
          <w:color w:val="000000" w:themeColor="text1"/>
          <w:sz w:val="30"/>
          <w:szCs w:val="30"/>
        </w:rPr>
        <w:t>按</w:t>
      </w:r>
      <w:r>
        <w:rPr>
          <w:rFonts w:hint="eastAsia" w:hAnsi="仿宋"/>
          <w:color w:val="000000" w:themeColor="text1"/>
          <w:sz w:val="30"/>
          <w:szCs w:val="30"/>
        </w:rPr>
        <w:t>资产</w:t>
      </w:r>
      <w:r>
        <w:rPr>
          <w:rFonts w:hAnsi="仿宋"/>
          <w:color w:val="000000" w:themeColor="text1"/>
          <w:sz w:val="30"/>
          <w:szCs w:val="30"/>
        </w:rPr>
        <w:t>处置实际情况手工</w:t>
      </w:r>
      <w:r>
        <w:rPr>
          <w:rFonts w:hint="eastAsia" w:hAnsi="仿宋"/>
          <w:color w:val="000000" w:themeColor="text1"/>
          <w:sz w:val="30"/>
          <w:szCs w:val="30"/>
        </w:rPr>
        <w:t>填列。</w:t>
      </w:r>
    </w:p>
    <w:p w14:paraId="3FE8A507">
      <w:pPr>
        <w:pStyle w:val="6"/>
        <w:spacing w:line="360" w:lineRule="auto"/>
        <w:ind w:firstLine="648" w:firstLineChars="0"/>
        <w:rPr>
          <w:rFonts w:hAnsi="仿宋"/>
          <w:color w:val="000000" w:themeColor="text1"/>
          <w:sz w:val="30"/>
          <w:szCs w:val="30"/>
        </w:rPr>
      </w:pPr>
      <w:r>
        <w:rPr>
          <w:rFonts w:hint="eastAsia" w:hAnsi="仿宋"/>
          <w:color w:val="000000" w:themeColor="text1"/>
          <w:sz w:val="30"/>
          <w:szCs w:val="30"/>
        </w:rPr>
        <w:t>主要指标</w:t>
      </w:r>
      <w:r>
        <w:rPr>
          <w:rFonts w:hAnsi="仿宋"/>
          <w:color w:val="000000" w:themeColor="text1"/>
          <w:sz w:val="30"/>
          <w:szCs w:val="30"/>
        </w:rPr>
        <w:t>说明：</w:t>
      </w:r>
    </w:p>
    <w:p w14:paraId="3EE7E907">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处置</w:t>
      </w:r>
      <w:r>
        <w:rPr>
          <w:rFonts w:ascii="仿宋_GB2312" w:hAnsi="仿宋" w:eastAsia="仿宋_GB2312"/>
          <w:color w:val="000000" w:themeColor="text1"/>
          <w:sz w:val="30"/>
          <w:szCs w:val="30"/>
        </w:rPr>
        <w:t>事项名称</w:t>
      </w:r>
      <w:r>
        <w:rPr>
          <w:rFonts w:hint="eastAsia" w:ascii="仿宋_GB2312" w:hAnsi="仿宋" w:eastAsia="仿宋_GB2312"/>
          <w:color w:val="000000" w:themeColor="text1"/>
          <w:sz w:val="30"/>
          <w:szCs w:val="30"/>
        </w:rPr>
        <w:t>：反映该批次</w:t>
      </w:r>
      <w:r>
        <w:rPr>
          <w:rFonts w:ascii="仿宋_GB2312" w:hAnsi="仿宋" w:eastAsia="仿宋_GB2312"/>
          <w:color w:val="000000" w:themeColor="text1"/>
          <w:sz w:val="30"/>
          <w:szCs w:val="30"/>
        </w:rPr>
        <w:t>资产处置</w:t>
      </w:r>
      <w:r>
        <w:rPr>
          <w:rFonts w:hint="eastAsia" w:ascii="仿宋_GB2312" w:hAnsi="仿宋" w:eastAsia="仿宋_GB2312"/>
          <w:color w:val="000000" w:themeColor="text1"/>
          <w:sz w:val="30"/>
          <w:szCs w:val="30"/>
        </w:rPr>
        <w:t>事项</w:t>
      </w:r>
      <w:r>
        <w:rPr>
          <w:rFonts w:ascii="仿宋_GB2312" w:hAnsi="仿宋" w:eastAsia="仿宋_GB2312"/>
          <w:color w:val="000000" w:themeColor="text1"/>
          <w:sz w:val="30"/>
          <w:szCs w:val="30"/>
        </w:rPr>
        <w:t>的总体情况</w:t>
      </w:r>
      <w:r>
        <w:rPr>
          <w:rFonts w:hint="eastAsia" w:ascii="仿宋_GB2312" w:hAnsi="仿宋" w:eastAsia="仿宋_GB2312"/>
          <w:color w:val="000000" w:themeColor="text1"/>
          <w:sz w:val="30"/>
          <w:szCs w:val="30"/>
        </w:rPr>
        <w:t>。</w:t>
      </w:r>
    </w:p>
    <w:p w14:paraId="27E8A98F">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w:t>
      </w:r>
      <w:r>
        <w:rPr>
          <w:rFonts w:ascii="仿宋_GB2312" w:hAnsi="仿宋" w:eastAsia="仿宋_GB2312"/>
          <w:color w:val="000000" w:themeColor="text1"/>
          <w:sz w:val="30"/>
          <w:szCs w:val="30"/>
        </w:rPr>
        <w:t>.原值：填列</w:t>
      </w:r>
      <w:r>
        <w:rPr>
          <w:rFonts w:hint="eastAsia" w:ascii="仿宋_GB2312" w:hAnsi="仿宋" w:eastAsia="仿宋_GB2312"/>
          <w:color w:val="000000" w:themeColor="text1"/>
          <w:sz w:val="30"/>
          <w:szCs w:val="30"/>
        </w:rPr>
        <w:t>该批次处置各类</w:t>
      </w:r>
      <w:r>
        <w:rPr>
          <w:rFonts w:ascii="仿宋_GB2312" w:hAnsi="仿宋" w:eastAsia="仿宋_GB2312"/>
          <w:color w:val="000000" w:themeColor="text1"/>
          <w:sz w:val="30"/>
          <w:szCs w:val="30"/>
        </w:rPr>
        <w:t>资产的账面原值总额。</w:t>
      </w:r>
    </w:p>
    <w:p w14:paraId="1DB65469">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净值：</w:t>
      </w:r>
      <w:r>
        <w:rPr>
          <w:rFonts w:ascii="仿宋_GB2312" w:hAnsi="仿宋" w:eastAsia="仿宋_GB2312"/>
          <w:color w:val="000000" w:themeColor="text1"/>
          <w:sz w:val="30"/>
          <w:szCs w:val="30"/>
        </w:rPr>
        <w:t>填列</w:t>
      </w:r>
      <w:r>
        <w:rPr>
          <w:rFonts w:hint="eastAsia" w:ascii="仿宋_GB2312" w:hAnsi="仿宋" w:eastAsia="仿宋_GB2312"/>
          <w:color w:val="000000" w:themeColor="text1"/>
          <w:sz w:val="30"/>
          <w:szCs w:val="30"/>
        </w:rPr>
        <w:t>该批次处置各类</w:t>
      </w:r>
      <w:r>
        <w:rPr>
          <w:rFonts w:ascii="仿宋_GB2312" w:hAnsi="仿宋" w:eastAsia="仿宋_GB2312"/>
          <w:color w:val="000000" w:themeColor="text1"/>
          <w:sz w:val="30"/>
          <w:szCs w:val="30"/>
        </w:rPr>
        <w:t>资产的账面</w:t>
      </w:r>
      <w:r>
        <w:rPr>
          <w:rFonts w:hint="eastAsia" w:ascii="仿宋_GB2312" w:hAnsi="仿宋" w:eastAsia="仿宋_GB2312"/>
          <w:color w:val="000000" w:themeColor="text1"/>
          <w:sz w:val="30"/>
          <w:szCs w:val="30"/>
        </w:rPr>
        <w:t>净</w:t>
      </w:r>
      <w:r>
        <w:rPr>
          <w:rFonts w:ascii="仿宋_GB2312" w:hAnsi="仿宋" w:eastAsia="仿宋_GB2312"/>
          <w:color w:val="000000" w:themeColor="text1"/>
          <w:sz w:val="30"/>
          <w:szCs w:val="30"/>
        </w:rPr>
        <w:t>值总额</w:t>
      </w:r>
      <w:r>
        <w:rPr>
          <w:rFonts w:hint="eastAsia" w:ascii="仿宋_GB2312" w:hAnsi="仿宋" w:eastAsia="仿宋_GB2312"/>
          <w:color w:val="000000" w:themeColor="text1"/>
          <w:sz w:val="30"/>
          <w:szCs w:val="30"/>
        </w:rPr>
        <w:t>。</w:t>
      </w:r>
    </w:p>
    <w:p w14:paraId="6B47343B">
      <w:pPr>
        <w:spacing w:line="360" w:lineRule="auto"/>
        <w:ind w:firstLine="600" w:firstLineChars="200"/>
        <w:rPr>
          <w:rFonts w:ascii="仿宋_GB2312" w:hAnsi="仿宋" w:eastAsia="仿宋_GB2312"/>
          <w:color w:val="000000" w:themeColor="text1"/>
          <w:spacing w:val="6"/>
          <w:sz w:val="30"/>
          <w:szCs w:val="30"/>
        </w:rPr>
      </w:pPr>
      <w:r>
        <w:rPr>
          <w:rFonts w:hint="eastAsia" w:ascii="仿宋_GB2312" w:hAnsi="仿宋" w:eastAsia="仿宋_GB2312"/>
          <w:color w:val="000000" w:themeColor="text1"/>
          <w:sz w:val="30"/>
          <w:szCs w:val="30"/>
        </w:rPr>
        <w:t>4</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数量：</w:t>
      </w:r>
      <w:r>
        <w:rPr>
          <w:rFonts w:hint="eastAsia" w:ascii="仿宋_GB2312" w:hAnsi="仿宋" w:eastAsia="仿宋_GB2312"/>
          <w:color w:val="000000" w:themeColor="text1"/>
          <w:spacing w:val="6"/>
          <w:sz w:val="30"/>
          <w:szCs w:val="30"/>
        </w:rPr>
        <w:t>处置房屋及土地使用权按实际处置的面积填列。处置通用设备、专用设备、文物和陈列品、图书档案、家具用具装具及动植物、专利、非专利技术、计算机软件及其他无形资产按实际处置的数量填列。</w:t>
      </w:r>
    </w:p>
    <w:p w14:paraId="0F7D163F">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5</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处置形式</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按照出售出让转让、无偿调拨（划转）、对外捐赠、置换、报废报损、货币性资产损失核销、其他选择</w:t>
      </w:r>
      <w:r>
        <w:rPr>
          <w:rFonts w:ascii="仿宋_GB2312" w:hAnsi="仿宋" w:eastAsia="仿宋_GB2312"/>
          <w:color w:val="000000" w:themeColor="text1"/>
          <w:sz w:val="30"/>
          <w:szCs w:val="30"/>
        </w:rPr>
        <w:t>填列。</w:t>
      </w:r>
    </w:p>
    <w:p w14:paraId="00C207A8">
      <w:pPr>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6.</w:t>
      </w:r>
      <w:r>
        <w:rPr>
          <w:rFonts w:hint="eastAsia" w:ascii="仿宋_GB2312" w:hAnsi="仿宋" w:eastAsia="仿宋_GB2312"/>
          <w:color w:val="000000" w:themeColor="text1"/>
          <w:sz w:val="30"/>
          <w:szCs w:val="30"/>
        </w:rPr>
        <w:t>审批情况：按财政部门审批、主管部门审批、单位内部审批、未审批选择填列。</w:t>
      </w:r>
    </w:p>
    <w:p w14:paraId="1CFDAD8A">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7</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本期实收资产处置收益</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填列本期实际收到的</w:t>
      </w:r>
      <w:r>
        <w:rPr>
          <w:rFonts w:ascii="仿宋_GB2312" w:hAnsi="仿宋" w:eastAsia="仿宋_GB2312"/>
          <w:color w:val="000000" w:themeColor="text1"/>
          <w:sz w:val="30"/>
          <w:szCs w:val="30"/>
        </w:rPr>
        <w:t>扣除</w:t>
      </w:r>
      <w:r>
        <w:rPr>
          <w:rFonts w:hint="eastAsia" w:ascii="仿宋_GB2312" w:hAnsi="仿宋" w:eastAsia="仿宋_GB2312"/>
          <w:color w:val="000000" w:themeColor="text1"/>
          <w:sz w:val="30"/>
          <w:szCs w:val="30"/>
        </w:rPr>
        <w:t>相关</w:t>
      </w:r>
      <w:r>
        <w:rPr>
          <w:rFonts w:ascii="仿宋_GB2312" w:hAnsi="仿宋" w:eastAsia="仿宋_GB2312"/>
          <w:color w:val="000000" w:themeColor="text1"/>
          <w:sz w:val="30"/>
          <w:szCs w:val="30"/>
        </w:rPr>
        <w:t>税费、</w:t>
      </w:r>
      <w:r>
        <w:rPr>
          <w:rFonts w:hint="eastAsia" w:ascii="仿宋_GB2312" w:hAnsi="仿宋" w:eastAsia="仿宋_GB2312"/>
          <w:color w:val="000000" w:themeColor="text1"/>
          <w:sz w:val="30"/>
          <w:szCs w:val="30"/>
        </w:rPr>
        <w:t>手续费</w:t>
      </w:r>
      <w:r>
        <w:rPr>
          <w:rFonts w:ascii="仿宋_GB2312" w:hAnsi="仿宋" w:eastAsia="仿宋_GB2312"/>
          <w:color w:val="000000" w:themeColor="text1"/>
          <w:sz w:val="30"/>
          <w:szCs w:val="30"/>
        </w:rPr>
        <w:t>等的处置</w:t>
      </w:r>
      <w:r>
        <w:rPr>
          <w:rFonts w:hint="eastAsia" w:ascii="仿宋_GB2312" w:hAnsi="仿宋" w:eastAsia="仿宋_GB2312"/>
          <w:color w:val="000000" w:themeColor="text1"/>
          <w:sz w:val="30"/>
          <w:szCs w:val="30"/>
        </w:rPr>
        <w:t>净收益</w:t>
      </w:r>
      <w:r>
        <w:rPr>
          <w:rFonts w:ascii="仿宋_GB2312" w:hAnsi="仿宋" w:eastAsia="仿宋_GB2312"/>
          <w:color w:val="000000" w:themeColor="text1"/>
          <w:sz w:val="30"/>
          <w:szCs w:val="30"/>
        </w:rPr>
        <w:t>。</w:t>
      </w:r>
    </w:p>
    <w:p w14:paraId="7215D41C">
      <w:pPr>
        <w:pStyle w:val="6"/>
        <w:spacing w:line="360" w:lineRule="auto"/>
        <w:ind w:firstLine="612"/>
        <w:rPr>
          <w:rFonts w:hAnsi="仿宋"/>
          <w:color w:val="000000" w:themeColor="text1"/>
          <w:sz w:val="30"/>
          <w:szCs w:val="30"/>
        </w:rPr>
      </w:pPr>
      <w:r>
        <w:rPr>
          <w:rFonts w:hint="eastAsia" w:hAnsi="仿宋"/>
          <w:color w:val="000000" w:themeColor="text1"/>
          <w:sz w:val="30"/>
          <w:szCs w:val="30"/>
        </w:rPr>
        <w:t>8</w:t>
      </w:r>
      <w:r>
        <w:rPr>
          <w:rFonts w:hAnsi="仿宋"/>
          <w:color w:val="000000" w:themeColor="text1"/>
          <w:sz w:val="30"/>
          <w:szCs w:val="30"/>
        </w:rPr>
        <w:t>.</w:t>
      </w:r>
      <w:r>
        <w:rPr>
          <w:rFonts w:hint="eastAsia" w:hAnsi="仿宋"/>
          <w:color w:val="000000" w:themeColor="text1"/>
          <w:sz w:val="30"/>
          <w:szCs w:val="30"/>
        </w:rPr>
        <w:t>往期处置事项收益情况：反映报表年度收到往年处置收益，仅填写</w:t>
      </w:r>
      <w:r>
        <w:rPr>
          <w:rFonts w:hAnsi="仿宋"/>
          <w:color w:val="000000" w:themeColor="text1"/>
          <w:sz w:val="30"/>
          <w:szCs w:val="30"/>
        </w:rPr>
        <w:t>53</w:t>
      </w:r>
      <w:r>
        <w:rPr>
          <w:rFonts w:hint="eastAsia" w:hAnsi="仿宋"/>
          <w:color w:val="000000" w:themeColor="text1"/>
          <w:sz w:val="30"/>
          <w:szCs w:val="30"/>
        </w:rPr>
        <w:t>栏本期实收处置收益。</w:t>
      </w:r>
    </w:p>
    <w:p w14:paraId="2D8EC4A5">
      <w:pPr>
        <w:pStyle w:val="6"/>
        <w:spacing w:line="360" w:lineRule="auto"/>
        <w:ind w:firstLine="612"/>
        <w:rPr>
          <w:rFonts w:hAnsi="仿宋"/>
          <w:color w:val="000000" w:themeColor="text1"/>
          <w:sz w:val="30"/>
          <w:szCs w:val="30"/>
        </w:rPr>
      </w:pPr>
      <w:r>
        <w:rPr>
          <w:rFonts w:hint="eastAsia" w:hAnsi="仿宋"/>
          <w:color w:val="000000" w:themeColor="text1"/>
          <w:sz w:val="30"/>
          <w:szCs w:val="30"/>
        </w:rPr>
        <w:t>9.其他资产：反映除固定资产、无形资产、流动资产、对外投资、在建工程之外的资产处置情况。</w:t>
      </w:r>
    </w:p>
    <w:p w14:paraId="5A73EE87">
      <w:pPr>
        <w:pStyle w:val="2"/>
        <w:ind w:firstLine="600" w:firstLineChars="200"/>
        <w:rPr>
          <w:b/>
          <w:color w:val="000000" w:themeColor="text1"/>
        </w:rPr>
      </w:pPr>
      <w:r>
        <w:rPr>
          <w:rFonts w:hint="eastAsia"/>
          <w:color w:val="000000" w:themeColor="text1"/>
        </w:rPr>
        <w:t>十二、对外投资情况表（财资1</w:t>
      </w:r>
      <w:r>
        <w:rPr>
          <w:color w:val="000000" w:themeColor="text1"/>
        </w:rPr>
        <w:t>1</w:t>
      </w:r>
      <w:r>
        <w:rPr>
          <w:rFonts w:hint="eastAsia"/>
          <w:color w:val="000000" w:themeColor="text1"/>
        </w:rPr>
        <w:t>表）</w:t>
      </w:r>
    </w:p>
    <w:p w14:paraId="7E30A0C6">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本表反映行政事业单位对外投资情况，要求单位将对外投资事项逐项逐笔填列。除法律另有规定外，行政单位不得以任何形式将国有资产用于对外投资。如果行政单位存在法律允许的对外投资情况，也需要填列此表。事业单位以各种形式持有时间超过1年（不含1年）的股权性质的投资须纳入长期股权投资核算，不得将对外投资长期在往来款科目核算，长期股权投资在持有期间，通常应当采用权益法进行核算。在持有投资期间，应当以被投资企业财务报表中的净利润和其他所有者权益变动为基础（被投资企业编制合并财务报表的，应当以其合并报表中归属于母公司的净利润和其他所有者权益变动为基础），计算确定应当调整长期股权投资账面余额的金额，并进行相关会计处理。所投资形成的股权无权决定被投资企业的财务和经营政策或无权参与被投资企业的财务和经营决策的，应当采用成本法进行核算。</w:t>
      </w:r>
    </w:p>
    <w:p w14:paraId="25D49FAA">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主要指标说明：</w:t>
      </w:r>
    </w:p>
    <w:p w14:paraId="1F7C5010">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被投资单位（项目）名称：反映被投资单位（项目）全称。</w:t>
      </w:r>
    </w:p>
    <w:p w14:paraId="11EB4951">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被投资单位统一社会信用代码:项目投资可不填列该栏。企业一律填列统一社会信用代码（18位）。无法提供统一社会信用代码的企业（单位），按照IDC单位代码生成工具使用说明编写18位代码。</w:t>
      </w:r>
    </w:p>
    <w:p w14:paraId="7D029D8C">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出资资产账面原值：按实际出资资产类型填列资产原值，不包含采用权益法核算的长期股权投资期末余额变动数。</w:t>
      </w:r>
    </w:p>
    <w:p w14:paraId="5ED1977D">
      <w:pPr>
        <w:snapToGrid w:val="0"/>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4.</w:t>
      </w:r>
      <w:r>
        <w:rPr>
          <w:rFonts w:hint="eastAsia" w:ascii="仿宋_GB2312" w:hAnsi="仿宋" w:eastAsia="仿宋_GB2312"/>
          <w:color w:val="000000" w:themeColor="text1"/>
          <w:sz w:val="30"/>
          <w:szCs w:val="30"/>
        </w:rPr>
        <w:t>审批情况：按财政部门审批、主管部门审批、单位内部审批、未审批选择填列。</w:t>
      </w:r>
    </w:p>
    <w:p w14:paraId="603FA67B">
      <w:pPr>
        <w:snapToGrid w:val="0"/>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5.</w:t>
      </w:r>
      <w:r>
        <w:rPr>
          <w:rFonts w:hint="eastAsia" w:ascii="仿宋_GB2312" w:hAnsi="仿宋" w:eastAsia="仿宋_GB2312"/>
          <w:color w:val="000000" w:themeColor="text1"/>
          <w:sz w:val="30"/>
          <w:szCs w:val="30"/>
        </w:rPr>
        <w:t>投资开始日期：按投资事项的财务入账日期填列。</w:t>
      </w:r>
    </w:p>
    <w:p w14:paraId="1F7180FF">
      <w:pPr>
        <w:pStyle w:val="4"/>
        <w:adjustRightInd w:val="0"/>
        <w:snapToGrid w:val="0"/>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6.</w:t>
      </w:r>
      <w:r>
        <w:rPr>
          <w:rFonts w:hint="eastAsia" w:ascii="仿宋_GB2312" w:hAnsi="仿宋" w:eastAsia="仿宋_GB2312"/>
          <w:color w:val="000000" w:themeColor="text1"/>
          <w:sz w:val="30"/>
          <w:szCs w:val="30"/>
        </w:rPr>
        <w:t>对外投资期末账面数：反映投资单位各项对外投资的期末账面金额，包含采用权益法核算的长期股权投资期末余额变动数。</w:t>
      </w:r>
    </w:p>
    <w:p w14:paraId="165C083D">
      <w:pPr>
        <w:pStyle w:val="4"/>
        <w:adjustRightInd w:val="0"/>
        <w:snapToGrid w:val="0"/>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7.</w:t>
      </w:r>
      <w:r>
        <w:rPr>
          <w:rFonts w:hint="eastAsia" w:ascii="仿宋_GB2312" w:hAnsi="仿宋" w:eastAsia="仿宋_GB2312"/>
          <w:color w:val="000000" w:themeColor="text1"/>
          <w:sz w:val="30"/>
          <w:szCs w:val="30"/>
        </w:rPr>
        <w:t xml:space="preserve">投资性质：按长期债券投资、长期股权投资、短期投资选择填列。 </w:t>
      </w:r>
    </w:p>
    <w:p w14:paraId="7F75EFF5">
      <w:pPr>
        <w:pStyle w:val="4"/>
        <w:adjustRightInd w:val="0"/>
        <w:snapToGrid w:val="0"/>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8.</w:t>
      </w:r>
      <w:r>
        <w:rPr>
          <w:rFonts w:hint="eastAsia" w:ascii="仿宋_GB2312" w:hAnsi="仿宋" w:eastAsia="仿宋_GB2312"/>
          <w:color w:val="000000" w:themeColor="text1"/>
          <w:sz w:val="30"/>
          <w:szCs w:val="30"/>
        </w:rPr>
        <w:t>债券投资：反映单位购买各种债券形成的投资，包括国债、企业债券等债券投资。</w:t>
      </w:r>
    </w:p>
    <w:p w14:paraId="591296A6">
      <w:pPr>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9</w:t>
      </w:r>
      <w:r>
        <w:rPr>
          <w:rFonts w:hint="eastAsia" w:ascii="仿宋_GB2312" w:hAnsi="仿宋" w:eastAsia="仿宋_GB2312"/>
          <w:color w:val="000000" w:themeColor="text1"/>
          <w:sz w:val="30"/>
          <w:szCs w:val="30"/>
        </w:rPr>
        <w:t>.债券投资_期末投资金额：填列单位期末持有的长期债券投资和短期债券投资的账面余额。</w:t>
      </w:r>
    </w:p>
    <w:p w14:paraId="5D1FC545">
      <w:pPr>
        <w:spacing w:line="360" w:lineRule="auto"/>
        <w:ind w:firstLine="600" w:firstLineChars="200"/>
        <w:rPr>
          <w:rFonts w:ascii="仿宋_GB2312" w:hAnsi="仿宋" w:eastAsia="仿宋_GB2312"/>
          <w:color w:val="000000" w:themeColor="text1"/>
          <w:sz w:val="30"/>
          <w:szCs w:val="30"/>
        </w:rPr>
      </w:pPr>
      <w:r>
        <w:rPr>
          <w:rFonts w:ascii="仿宋_GB2312" w:hAnsi="仿宋" w:eastAsia="仿宋_GB2312"/>
          <w:color w:val="000000" w:themeColor="text1"/>
          <w:sz w:val="30"/>
          <w:szCs w:val="30"/>
        </w:rPr>
        <w:t>10</w:t>
      </w:r>
      <w:r>
        <w:rPr>
          <w:rFonts w:hint="eastAsia" w:ascii="仿宋_GB2312" w:hAnsi="仿宋" w:eastAsia="仿宋_GB2312"/>
          <w:color w:val="000000" w:themeColor="text1"/>
          <w:sz w:val="30"/>
          <w:szCs w:val="30"/>
        </w:rPr>
        <w:t>.债券投资_本期投资金额：填列单位本期购买长期债券投资和短期债券投资金额。</w:t>
      </w:r>
    </w:p>
    <w:p w14:paraId="0E847A0C">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1.</w:t>
      </w:r>
      <w:r>
        <w:rPr>
          <w:rFonts w:hint="eastAsia" w:ascii="仿宋_GB2312" w:hAnsi="仿宋" w:eastAsia="仿宋_GB2312"/>
          <w:color w:val="000000" w:themeColor="text1"/>
          <w:sz w:val="30"/>
          <w:szCs w:val="30"/>
        </w:rPr>
        <w:t>债券投资_票面金额：填列债券票面所载金额。</w:t>
      </w:r>
    </w:p>
    <w:p w14:paraId="0D10C31E">
      <w:pPr>
        <w:spacing w:line="360" w:lineRule="auto"/>
        <w:ind w:firstLine="600" w:firstLineChars="200"/>
        <w:rPr>
          <w:rFonts w:ascii="仿宋_GB2312" w:hAnsi="仿宋_GB2312" w:eastAsia="仿宋_GB2312" w:cs="仿宋_GB2312"/>
          <w:color w:val="000000" w:themeColor="text1"/>
          <w:sz w:val="30"/>
          <w:szCs w:val="30"/>
          <w:shd w:val="clear" w:color="auto" w:fill="FFFFFF"/>
        </w:rPr>
      </w:pPr>
      <w:r>
        <w:rPr>
          <w:rFonts w:hint="eastAsia" w:ascii="仿宋_GB2312" w:hAnsi="仿宋_GB2312" w:eastAsia="仿宋_GB2312" w:cs="仿宋_GB2312"/>
          <w:color w:val="000000" w:themeColor="text1"/>
          <w:sz w:val="30"/>
          <w:szCs w:val="30"/>
        </w:rPr>
        <w:t>1</w:t>
      </w:r>
      <w:r>
        <w:rPr>
          <w:rFonts w:ascii="仿宋_GB2312" w:hAnsi="仿宋_GB2312" w:eastAsia="仿宋_GB2312" w:cs="仿宋_GB2312"/>
          <w:color w:val="000000" w:themeColor="text1"/>
          <w:sz w:val="30"/>
          <w:szCs w:val="30"/>
        </w:rPr>
        <w:t>2.</w:t>
      </w:r>
      <w:r>
        <w:rPr>
          <w:rFonts w:hint="eastAsia" w:ascii="仿宋_GB2312" w:hAnsi="仿宋_GB2312" w:eastAsia="仿宋_GB2312" w:cs="仿宋_GB2312"/>
          <w:color w:val="000000" w:themeColor="text1"/>
          <w:sz w:val="30"/>
          <w:szCs w:val="30"/>
        </w:rPr>
        <w:t>股权投资：指单位</w:t>
      </w:r>
      <w:r>
        <w:rPr>
          <w:rFonts w:hint="eastAsia" w:ascii="仿宋_GB2312" w:hAnsi="仿宋_GB2312" w:eastAsia="仿宋_GB2312" w:cs="仿宋_GB2312"/>
          <w:color w:val="000000" w:themeColor="text1"/>
          <w:sz w:val="30"/>
          <w:szCs w:val="30"/>
          <w:shd w:val="clear" w:color="auto" w:fill="FFFFFF"/>
        </w:rPr>
        <w:t>以流动资产、固定资产、无形资产和其他资产投资于其他企业形成的投资。</w:t>
      </w:r>
    </w:p>
    <w:p w14:paraId="0B7B2BA8">
      <w:pPr>
        <w:spacing w:line="360" w:lineRule="auto"/>
        <w:ind w:firstLine="600" w:firstLineChars="200"/>
        <w:rPr>
          <w:rFonts w:ascii="仿宋_GB2312" w:hAnsi="仿宋_GB2312" w:eastAsia="仿宋_GB2312" w:cs="仿宋_GB2312"/>
          <w:color w:val="000000" w:themeColor="text1"/>
          <w:sz w:val="30"/>
          <w:szCs w:val="30"/>
          <w:shd w:val="clear" w:color="auto" w:fill="FFFFFF"/>
        </w:rPr>
      </w:pPr>
      <w:r>
        <w:rPr>
          <w:rFonts w:hint="eastAsia" w:ascii="仿宋_GB2312" w:hAnsi="仿宋_GB2312" w:eastAsia="仿宋_GB2312" w:cs="仿宋_GB2312"/>
          <w:color w:val="000000" w:themeColor="text1"/>
          <w:sz w:val="30"/>
          <w:szCs w:val="30"/>
          <w:shd w:val="clear" w:color="auto" w:fill="FFFFFF"/>
        </w:rPr>
        <w:t>1</w:t>
      </w:r>
      <w:r>
        <w:rPr>
          <w:rFonts w:ascii="仿宋_GB2312" w:hAnsi="仿宋_GB2312" w:eastAsia="仿宋_GB2312" w:cs="仿宋_GB2312"/>
          <w:color w:val="000000" w:themeColor="text1"/>
          <w:sz w:val="30"/>
          <w:szCs w:val="30"/>
          <w:shd w:val="clear" w:color="auto" w:fill="FFFFFF"/>
        </w:rPr>
        <w:t>3.</w:t>
      </w:r>
      <w:r>
        <w:rPr>
          <w:rFonts w:hint="eastAsia" w:ascii="仿宋_GB2312" w:hAnsi="仿宋_GB2312" w:eastAsia="仿宋_GB2312" w:cs="仿宋_GB2312"/>
          <w:color w:val="000000" w:themeColor="text1"/>
          <w:sz w:val="30"/>
          <w:szCs w:val="30"/>
          <w:shd w:val="clear" w:color="auto" w:fill="FFFFFF"/>
        </w:rPr>
        <w:t>核算方法：按成本法、权益法填列。</w:t>
      </w:r>
    </w:p>
    <w:p w14:paraId="31878D93">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4.</w:t>
      </w:r>
      <w:r>
        <w:rPr>
          <w:rFonts w:hint="eastAsia" w:ascii="仿宋_GB2312" w:hAnsi="仿宋_GB2312" w:eastAsia="仿宋_GB2312" w:cs="仿宋_GB2312"/>
          <w:color w:val="000000" w:themeColor="text1"/>
          <w:sz w:val="30"/>
          <w:szCs w:val="30"/>
          <w:shd w:val="clear" w:color="auto" w:fill="FFFFFF"/>
        </w:rPr>
        <w:t>股权投资_期末投资金额：填列</w:t>
      </w:r>
      <w:r>
        <w:rPr>
          <w:rFonts w:hint="eastAsia" w:ascii="仿宋_GB2312" w:hAnsi="仿宋" w:eastAsia="仿宋_GB2312"/>
          <w:color w:val="000000" w:themeColor="text1"/>
          <w:sz w:val="30"/>
          <w:szCs w:val="30"/>
        </w:rPr>
        <w:t>单位期末持有股权投资的期末价值。</w:t>
      </w:r>
    </w:p>
    <w:p w14:paraId="2C6281BF">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5.</w:t>
      </w:r>
      <w:r>
        <w:rPr>
          <w:rFonts w:hint="eastAsia" w:ascii="仿宋_GB2312" w:hAnsi="仿宋_GB2312" w:eastAsia="仿宋_GB2312" w:cs="仿宋_GB2312"/>
          <w:color w:val="000000" w:themeColor="text1"/>
          <w:sz w:val="30"/>
          <w:szCs w:val="30"/>
          <w:shd w:val="clear" w:color="auto" w:fill="FFFFFF"/>
        </w:rPr>
        <w:t>股权投资_</w:t>
      </w:r>
      <w:r>
        <w:rPr>
          <w:rFonts w:hint="eastAsia" w:ascii="仿宋_GB2312" w:hAnsi="仿宋" w:eastAsia="仿宋_GB2312"/>
          <w:color w:val="000000" w:themeColor="text1"/>
          <w:sz w:val="30"/>
          <w:szCs w:val="30"/>
        </w:rPr>
        <w:t>本期投资金额：填列单位本期投资金额以及通过接受捐赠和调入方式取得的长期股权投资金额。</w:t>
      </w:r>
    </w:p>
    <w:p w14:paraId="763E940C">
      <w:pPr>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6.</w:t>
      </w:r>
      <w:r>
        <w:rPr>
          <w:rFonts w:hint="eastAsia" w:ascii="仿宋_GB2312" w:hAnsi="仿宋" w:eastAsia="仿宋_GB2312"/>
          <w:color w:val="000000" w:themeColor="text1"/>
          <w:sz w:val="30"/>
          <w:szCs w:val="30"/>
        </w:rPr>
        <w:t>期末持股比例：填列单位期末对被投资单位的实际持股比例。</w:t>
      </w:r>
    </w:p>
    <w:p w14:paraId="00399A58">
      <w:pPr>
        <w:pStyle w:val="4"/>
        <w:adjustRightInd w:val="0"/>
        <w:snapToGrid w:val="0"/>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17.是否实际控制：根据对被投资单位是否具有实际控制权利</w:t>
      </w:r>
      <w:r>
        <w:rPr>
          <w:rFonts w:hint="eastAsia" w:ascii="仿宋_GB2312" w:hAnsi="仿宋" w:eastAsia="仿宋_GB2312"/>
          <w:color w:val="000000" w:themeColor="text1"/>
          <w:sz w:val="30"/>
          <w:szCs w:val="30"/>
        </w:rPr>
        <w:t>（根据《企业国有资产交易监督管理办法》（国务院国资委 财政部令第32号）第四条有关规定确定）</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实际控制选择填列“是”，并细化选择“国有独资、国有控股、国有实际控制”，非实际控制选择填列“否”。</w:t>
      </w:r>
    </w:p>
    <w:p w14:paraId="2DD7A28B">
      <w:pPr>
        <w:pStyle w:val="4"/>
        <w:adjustRightInd w:val="0"/>
        <w:snapToGrid w:val="0"/>
        <w:spacing w:line="360" w:lineRule="auto"/>
        <w:ind w:firstLine="600"/>
        <w:rPr>
          <w:rFonts w:ascii="仿宋_GB2312" w:hAnsi="仿宋" w:eastAsia="仿宋_GB2312"/>
          <w:color w:val="000000" w:themeColor="text1"/>
          <w:sz w:val="30"/>
          <w:szCs w:val="30"/>
        </w:rPr>
      </w:pPr>
      <w:r>
        <w:rPr>
          <w:rFonts w:ascii="仿宋_GB2312" w:hAnsi="仿宋" w:eastAsia="仿宋_GB2312"/>
          <w:color w:val="000000" w:themeColor="text1"/>
          <w:sz w:val="30"/>
          <w:szCs w:val="30"/>
        </w:rPr>
        <w:t>18.组织形式：按照被投资企业的不同组织形式，按照“组</w:t>
      </w:r>
      <w:r>
        <w:rPr>
          <w:rFonts w:hint="eastAsia" w:ascii="仿宋_GB2312" w:hAnsi="仿宋" w:eastAsia="仿宋_GB2312"/>
          <w:color w:val="000000" w:themeColor="text1"/>
          <w:sz w:val="30"/>
          <w:szCs w:val="30"/>
        </w:rPr>
        <w:t>织形式标识码表”选择填列，详见下表。</w:t>
      </w:r>
    </w:p>
    <w:tbl>
      <w:tblPr>
        <w:tblStyle w:val="12"/>
        <w:tblW w:w="8528" w:type="dxa"/>
        <w:jc w:val="center"/>
        <w:tblLayout w:type="fixed"/>
        <w:tblCellMar>
          <w:top w:w="0" w:type="dxa"/>
          <w:left w:w="108" w:type="dxa"/>
          <w:bottom w:w="0" w:type="dxa"/>
          <w:right w:w="108" w:type="dxa"/>
        </w:tblCellMar>
      </w:tblPr>
      <w:tblGrid>
        <w:gridCol w:w="2060"/>
        <w:gridCol w:w="6468"/>
      </w:tblGrid>
      <w:tr w14:paraId="2FBB08D0">
        <w:tblPrEx>
          <w:tblCellMar>
            <w:top w:w="0" w:type="dxa"/>
            <w:left w:w="108" w:type="dxa"/>
            <w:bottom w:w="0" w:type="dxa"/>
            <w:right w:w="108" w:type="dxa"/>
          </w:tblCellMar>
        </w:tblPrEx>
        <w:trPr>
          <w:trHeight w:val="270" w:hRule="atLeast"/>
          <w:tblHeader/>
          <w:jc w:val="center"/>
        </w:trPr>
        <w:tc>
          <w:tcPr>
            <w:tcW w:w="2060" w:type="dxa"/>
            <w:tcBorders>
              <w:top w:val="single" w:color="808080" w:sz="4" w:space="0"/>
              <w:left w:val="single" w:color="808080" w:sz="4" w:space="0"/>
              <w:bottom w:val="single" w:color="808080" w:sz="4" w:space="0"/>
              <w:right w:val="single" w:color="808080" w:sz="4" w:space="0"/>
            </w:tcBorders>
            <w:shd w:val="clear" w:color="000000" w:fill="FFFFFF"/>
            <w:vAlign w:val="center"/>
          </w:tcPr>
          <w:p w14:paraId="52173E0A">
            <w:pPr>
              <w:widowControl/>
              <w:jc w:val="center"/>
              <w:rPr>
                <w:rFonts w:ascii="仿宋_GB2312" w:hAnsi="仿宋" w:eastAsia="仿宋_GB2312" w:cs="宋体"/>
                <w:b/>
                <w:color w:val="000000" w:themeColor="text1"/>
                <w:kern w:val="0"/>
                <w:sz w:val="30"/>
                <w:szCs w:val="30"/>
              </w:rPr>
            </w:pPr>
            <w:r>
              <w:rPr>
                <w:rFonts w:hint="eastAsia" w:ascii="仿宋_GB2312" w:hAnsi="仿宋" w:eastAsia="仿宋_GB2312" w:cs="宋体"/>
                <w:b/>
                <w:color w:val="000000" w:themeColor="text1"/>
                <w:kern w:val="0"/>
                <w:sz w:val="30"/>
                <w:szCs w:val="30"/>
              </w:rPr>
              <w:t>代码</w:t>
            </w:r>
          </w:p>
        </w:tc>
        <w:tc>
          <w:tcPr>
            <w:tcW w:w="6468" w:type="dxa"/>
            <w:tcBorders>
              <w:top w:val="single" w:color="808080" w:sz="4" w:space="0"/>
              <w:left w:val="nil"/>
              <w:bottom w:val="single" w:color="808080" w:sz="4" w:space="0"/>
              <w:right w:val="single" w:color="808080" w:sz="4" w:space="0"/>
            </w:tcBorders>
            <w:shd w:val="clear" w:color="000000" w:fill="FFFFFF"/>
            <w:vAlign w:val="center"/>
          </w:tcPr>
          <w:p w14:paraId="22F8252C">
            <w:pPr>
              <w:widowControl/>
              <w:jc w:val="center"/>
              <w:rPr>
                <w:rFonts w:ascii="仿宋_GB2312" w:hAnsi="仿宋" w:eastAsia="仿宋_GB2312" w:cs="宋体"/>
                <w:b/>
                <w:color w:val="000000" w:themeColor="text1"/>
                <w:kern w:val="0"/>
                <w:sz w:val="30"/>
                <w:szCs w:val="30"/>
              </w:rPr>
            </w:pPr>
            <w:r>
              <w:rPr>
                <w:rFonts w:hint="eastAsia" w:ascii="仿宋_GB2312" w:hAnsi="仿宋" w:eastAsia="仿宋_GB2312" w:cs="宋体"/>
                <w:b/>
                <w:color w:val="000000" w:themeColor="text1"/>
                <w:kern w:val="0"/>
                <w:sz w:val="30"/>
                <w:szCs w:val="30"/>
              </w:rPr>
              <w:t>名称</w:t>
            </w:r>
          </w:p>
        </w:tc>
      </w:tr>
      <w:tr w14:paraId="20807F72">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735EB15F">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w:t>
            </w:r>
          </w:p>
        </w:tc>
        <w:tc>
          <w:tcPr>
            <w:tcW w:w="6468" w:type="dxa"/>
            <w:tcBorders>
              <w:top w:val="nil"/>
              <w:left w:val="nil"/>
              <w:bottom w:val="single" w:color="808080" w:sz="4" w:space="0"/>
              <w:right w:val="single" w:color="808080" w:sz="4" w:space="0"/>
            </w:tcBorders>
            <w:shd w:val="clear" w:color="000000" w:fill="FFFFFF"/>
            <w:vAlign w:val="center"/>
          </w:tcPr>
          <w:p w14:paraId="6634B4B3">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非金融类企业</w:t>
            </w:r>
          </w:p>
        </w:tc>
      </w:tr>
      <w:tr w14:paraId="3B6890C0">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460DA621">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11</w:t>
            </w:r>
          </w:p>
        </w:tc>
        <w:tc>
          <w:tcPr>
            <w:tcW w:w="6468" w:type="dxa"/>
            <w:tcBorders>
              <w:top w:val="nil"/>
              <w:left w:val="nil"/>
              <w:bottom w:val="single" w:color="808080" w:sz="4" w:space="0"/>
              <w:right w:val="single" w:color="808080" w:sz="4" w:space="0"/>
            </w:tcBorders>
            <w:shd w:val="clear" w:color="000000" w:fill="FFFFFF"/>
            <w:vAlign w:val="center"/>
          </w:tcPr>
          <w:p w14:paraId="6B67ABAB">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非公司制企业</w:t>
            </w:r>
          </w:p>
        </w:tc>
      </w:tr>
      <w:tr w14:paraId="5A9A10ED">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2FF2AF35">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111</w:t>
            </w:r>
          </w:p>
        </w:tc>
        <w:tc>
          <w:tcPr>
            <w:tcW w:w="6468" w:type="dxa"/>
            <w:tcBorders>
              <w:top w:val="nil"/>
              <w:left w:val="nil"/>
              <w:bottom w:val="single" w:color="808080" w:sz="4" w:space="0"/>
              <w:right w:val="single" w:color="808080" w:sz="4" w:space="0"/>
            </w:tcBorders>
            <w:shd w:val="clear" w:color="000000" w:fill="FFFFFF"/>
            <w:vAlign w:val="center"/>
          </w:tcPr>
          <w:p w14:paraId="5D104B10">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国有企业</w:t>
            </w:r>
          </w:p>
        </w:tc>
      </w:tr>
      <w:tr w14:paraId="563CC767">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09CCDDC2">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112</w:t>
            </w:r>
          </w:p>
        </w:tc>
        <w:tc>
          <w:tcPr>
            <w:tcW w:w="6468" w:type="dxa"/>
            <w:tcBorders>
              <w:top w:val="nil"/>
              <w:left w:val="nil"/>
              <w:bottom w:val="single" w:color="808080" w:sz="4" w:space="0"/>
              <w:right w:val="single" w:color="808080" w:sz="4" w:space="0"/>
            </w:tcBorders>
            <w:shd w:val="clear" w:color="000000" w:fill="FFFFFF"/>
            <w:vAlign w:val="center"/>
          </w:tcPr>
          <w:p w14:paraId="27F9DD1C">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集体企业</w:t>
            </w:r>
          </w:p>
        </w:tc>
      </w:tr>
      <w:tr w14:paraId="3121AACD">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54E2A8E5">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113</w:t>
            </w:r>
          </w:p>
        </w:tc>
        <w:tc>
          <w:tcPr>
            <w:tcW w:w="6468" w:type="dxa"/>
            <w:tcBorders>
              <w:top w:val="nil"/>
              <w:left w:val="nil"/>
              <w:bottom w:val="single" w:color="808080" w:sz="4" w:space="0"/>
              <w:right w:val="single" w:color="808080" w:sz="4" w:space="0"/>
            </w:tcBorders>
            <w:shd w:val="clear" w:color="000000" w:fill="FFFFFF"/>
            <w:vAlign w:val="center"/>
          </w:tcPr>
          <w:p w14:paraId="19967EAB">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联营企业</w:t>
            </w:r>
          </w:p>
        </w:tc>
      </w:tr>
      <w:tr w14:paraId="2FBE4254">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614400BA">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114</w:t>
            </w:r>
          </w:p>
        </w:tc>
        <w:tc>
          <w:tcPr>
            <w:tcW w:w="6468" w:type="dxa"/>
            <w:tcBorders>
              <w:top w:val="nil"/>
              <w:left w:val="nil"/>
              <w:bottom w:val="single" w:color="808080" w:sz="4" w:space="0"/>
              <w:right w:val="single" w:color="808080" w:sz="4" w:space="0"/>
            </w:tcBorders>
            <w:shd w:val="clear" w:color="000000" w:fill="FFFFFF"/>
            <w:vAlign w:val="center"/>
          </w:tcPr>
          <w:p w14:paraId="6EB8211A">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股份合作企业</w:t>
            </w:r>
          </w:p>
        </w:tc>
      </w:tr>
      <w:tr w14:paraId="36B57E2B">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22D77542">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12</w:t>
            </w:r>
          </w:p>
        </w:tc>
        <w:tc>
          <w:tcPr>
            <w:tcW w:w="6468" w:type="dxa"/>
            <w:tcBorders>
              <w:top w:val="nil"/>
              <w:left w:val="nil"/>
              <w:bottom w:val="single" w:color="808080" w:sz="4" w:space="0"/>
              <w:right w:val="single" w:color="808080" w:sz="4" w:space="0"/>
            </w:tcBorders>
            <w:shd w:val="clear" w:color="000000" w:fill="FFFFFF"/>
            <w:vAlign w:val="center"/>
          </w:tcPr>
          <w:p w14:paraId="7CE3B87D">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公司制企业</w:t>
            </w:r>
          </w:p>
        </w:tc>
      </w:tr>
      <w:tr w14:paraId="5B13EEAB">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0D8120D3">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121</w:t>
            </w:r>
          </w:p>
        </w:tc>
        <w:tc>
          <w:tcPr>
            <w:tcW w:w="6468" w:type="dxa"/>
            <w:tcBorders>
              <w:top w:val="nil"/>
              <w:left w:val="nil"/>
              <w:bottom w:val="single" w:color="808080" w:sz="4" w:space="0"/>
              <w:right w:val="single" w:color="808080" w:sz="4" w:space="0"/>
            </w:tcBorders>
            <w:shd w:val="clear" w:color="000000" w:fill="FFFFFF"/>
            <w:vAlign w:val="center"/>
          </w:tcPr>
          <w:p w14:paraId="577B5801">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有限责任公司</w:t>
            </w:r>
          </w:p>
        </w:tc>
      </w:tr>
      <w:tr w14:paraId="5E4C086F">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467E50B5">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122</w:t>
            </w:r>
          </w:p>
        </w:tc>
        <w:tc>
          <w:tcPr>
            <w:tcW w:w="6468" w:type="dxa"/>
            <w:tcBorders>
              <w:top w:val="nil"/>
              <w:left w:val="nil"/>
              <w:bottom w:val="single" w:color="808080" w:sz="4" w:space="0"/>
              <w:right w:val="single" w:color="808080" w:sz="4" w:space="0"/>
            </w:tcBorders>
            <w:shd w:val="clear" w:color="000000" w:fill="FFFFFF"/>
            <w:vAlign w:val="center"/>
          </w:tcPr>
          <w:p w14:paraId="1CB132C2">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股份有限公司</w:t>
            </w:r>
          </w:p>
        </w:tc>
      </w:tr>
      <w:tr w14:paraId="2D2067D3">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28D937AA">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123</w:t>
            </w:r>
          </w:p>
        </w:tc>
        <w:tc>
          <w:tcPr>
            <w:tcW w:w="6468" w:type="dxa"/>
            <w:tcBorders>
              <w:top w:val="nil"/>
              <w:left w:val="nil"/>
              <w:bottom w:val="single" w:color="808080" w:sz="4" w:space="0"/>
              <w:right w:val="single" w:color="808080" w:sz="4" w:space="0"/>
            </w:tcBorders>
            <w:shd w:val="clear" w:color="000000" w:fill="FFFFFF"/>
            <w:vAlign w:val="center"/>
          </w:tcPr>
          <w:p w14:paraId="2847A5AA">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中外合资企业</w:t>
            </w:r>
          </w:p>
        </w:tc>
      </w:tr>
      <w:tr w14:paraId="1C81F52D">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2D0F3B2A">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124</w:t>
            </w:r>
          </w:p>
        </w:tc>
        <w:tc>
          <w:tcPr>
            <w:tcW w:w="6468" w:type="dxa"/>
            <w:tcBorders>
              <w:top w:val="nil"/>
              <w:left w:val="nil"/>
              <w:bottom w:val="single" w:color="808080" w:sz="4" w:space="0"/>
              <w:right w:val="single" w:color="808080" w:sz="4" w:space="0"/>
            </w:tcBorders>
            <w:shd w:val="clear" w:color="000000" w:fill="FFFFFF"/>
            <w:vAlign w:val="center"/>
          </w:tcPr>
          <w:p w14:paraId="7A253F7A">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中外合作企业</w:t>
            </w:r>
          </w:p>
        </w:tc>
      </w:tr>
      <w:tr w14:paraId="60662892">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70CC2248">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w:t>
            </w:r>
          </w:p>
        </w:tc>
        <w:tc>
          <w:tcPr>
            <w:tcW w:w="6468" w:type="dxa"/>
            <w:tcBorders>
              <w:top w:val="nil"/>
              <w:left w:val="nil"/>
              <w:bottom w:val="single" w:color="808080" w:sz="4" w:space="0"/>
              <w:right w:val="single" w:color="808080" w:sz="4" w:space="0"/>
            </w:tcBorders>
            <w:shd w:val="clear" w:color="000000" w:fill="FFFFFF"/>
            <w:vAlign w:val="center"/>
          </w:tcPr>
          <w:p w14:paraId="7A139F27">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金融类企业</w:t>
            </w:r>
          </w:p>
        </w:tc>
      </w:tr>
      <w:tr w14:paraId="5B5A2F38">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56EBF952">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21</w:t>
            </w:r>
          </w:p>
        </w:tc>
        <w:tc>
          <w:tcPr>
            <w:tcW w:w="6468" w:type="dxa"/>
            <w:tcBorders>
              <w:top w:val="nil"/>
              <w:left w:val="nil"/>
              <w:bottom w:val="single" w:color="808080" w:sz="4" w:space="0"/>
              <w:right w:val="single" w:color="808080" w:sz="4" w:space="0"/>
            </w:tcBorders>
            <w:shd w:val="clear" w:color="000000" w:fill="FFFFFF"/>
            <w:vAlign w:val="center"/>
          </w:tcPr>
          <w:p w14:paraId="34511D96">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银行</w:t>
            </w:r>
          </w:p>
        </w:tc>
      </w:tr>
      <w:tr w14:paraId="1F2BB67E">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58A5EACF">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211</w:t>
            </w:r>
          </w:p>
        </w:tc>
        <w:tc>
          <w:tcPr>
            <w:tcW w:w="6468" w:type="dxa"/>
            <w:tcBorders>
              <w:top w:val="nil"/>
              <w:left w:val="nil"/>
              <w:bottom w:val="single" w:color="808080" w:sz="4" w:space="0"/>
              <w:right w:val="single" w:color="808080" w:sz="4" w:space="0"/>
            </w:tcBorders>
            <w:shd w:val="clear" w:color="000000" w:fill="FFFFFF"/>
            <w:vAlign w:val="center"/>
          </w:tcPr>
          <w:p w14:paraId="492CFA64">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政策性银行</w:t>
            </w:r>
          </w:p>
        </w:tc>
      </w:tr>
      <w:tr w14:paraId="6193E572">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1222DB96">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212</w:t>
            </w:r>
          </w:p>
        </w:tc>
        <w:tc>
          <w:tcPr>
            <w:tcW w:w="6468" w:type="dxa"/>
            <w:tcBorders>
              <w:top w:val="nil"/>
              <w:left w:val="nil"/>
              <w:bottom w:val="single" w:color="808080" w:sz="4" w:space="0"/>
              <w:right w:val="single" w:color="808080" w:sz="4" w:space="0"/>
            </w:tcBorders>
            <w:shd w:val="clear" w:color="000000" w:fill="FFFFFF"/>
            <w:vAlign w:val="center"/>
          </w:tcPr>
          <w:p w14:paraId="7C5ACF61">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商业性银行</w:t>
            </w:r>
          </w:p>
        </w:tc>
      </w:tr>
      <w:tr w14:paraId="7981CA39">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725334BD">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22</w:t>
            </w:r>
          </w:p>
        </w:tc>
        <w:tc>
          <w:tcPr>
            <w:tcW w:w="6468" w:type="dxa"/>
            <w:tcBorders>
              <w:top w:val="nil"/>
              <w:left w:val="nil"/>
              <w:bottom w:val="single" w:color="808080" w:sz="4" w:space="0"/>
              <w:right w:val="single" w:color="808080" w:sz="4" w:space="0"/>
            </w:tcBorders>
            <w:shd w:val="clear" w:color="000000" w:fill="FFFFFF"/>
            <w:vAlign w:val="center"/>
          </w:tcPr>
          <w:p w14:paraId="2C518BF3">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非银行金融机构</w:t>
            </w:r>
          </w:p>
        </w:tc>
      </w:tr>
      <w:tr w14:paraId="124A5D85">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2EEB317A">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221</w:t>
            </w:r>
          </w:p>
        </w:tc>
        <w:tc>
          <w:tcPr>
            <w:tcW w:w="6468" w:type="dxa"/>
            <w:tcBorders>
              <w:top w:val="nil"/>
              <w:left w:val="nil"/>
              <w:bottom w:val="single" w:color="808080" w:sz="4" w:space="0"/>
              <w:right w:val="single" w:color="808080" w:sz="4" w:space="0"/>
            </w:tcBorders>
            <w:shd w:val="clear" w:color="000000" w:fill="FFFFFF"/>
            <w:vAlign w:val="center"/>
          </w:tcPr>
          <w:p w14:paraId="1BC82842">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保险公司</w:t>
            </w:r>
          </w:p>
        </w:tc>
      </w:tr>
      <w:tr w14:paraId="1D5E72EB">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26C6C8AA">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222</w:t>
            </w:r>
          </w:p>
        </w:tc>
        <w:tc>
          <w:tcPr>
            <w:tcW w:w="6468" w:type="dxa"/>
            <w:tcBorders>
              <w:top w:val="nil"/>
              <w:left w:val="nil"/>
              <w:bottom w:val="single" w:color="808080" w:sz="4" w:space="0"/>
              <w:right w:val="single" w:color="808080" w:sz="4" w:space="0"/>
            </w:tcBorders>
            <w:shd w:val="clear" w:color="000000" w:fill="FFFFFF"/>
            <w:vAlign w:val="center"/>
          </w:tcPr>
          <w:p w14:paraId="70AEDA80">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证券公司</w:t>
            </w:r>
          </w:p>
        </w:tc>
      </w:tr>
      <w:tr w14:paraId="6407856C">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2C8A3DC4">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223</w:t>
            </w:r>
          </w:p>
        </w:tc>
        <w:tc>
          <w:tcPr>
            <w:tcW w:w="6468" w:type="dxa"/>
            <w:tcBorders>
              <w:top w:val="nil"/>
              <w:left w:val="nil"/>
              <w:bottom w:val="single" w:color="808080" w:sz="4" w:space="0"/>
              <w:right w:val="single" w:color="808080" w:sz="4" w:space="0"/>
            </w:tcBorders>
            <w:shd w:val="clear" w:color="000000" w:fill="FFFFFF"/>
            <w:vAlign w:val="center"/>
          </w:tcPr>
          <w:p w14:paraId="08592441">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信托投资公司</w:t>
            </w:r>
          </w:p>
        </w:tc>
      </w:tr>
      <w:tr w14:paraId="42BDCDA9">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4EACD8CD">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224</w:t>
            </w:r>
          </w:p>
        </w:tc>
        <w:tc>
          <w:tcPr>
            <w:tcW w:w="6468" w:type="dxa"/>
            <w:tcBorders>
              <w:top w:val="nil"/>
              <w:left w:val="nil"/>
              <w:bottom w:val="single" w:color="808080" w:sz="4" w:space="0"/>
              <w:right w:val="single" w:color="808080" w:sz="4" w:space="0"/>
            </w:tcBorders>
            <w:shd w:val="clear" w:color="000000" w:fill="FFFFFF"/>
            <w:vAlign w:val="center"/>
          </w:tcPr>
          <w:p w14:paraId="3F542719">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融资租赁公司</w:t>
            </w:r>
          </w:p>
        </w:tc>
      </w:tr>
      <w:tr w14:paraId="139EEB8D">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5C9C6920">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225</w:t>
            </w:r>
          </w:p>
        </w:tc>
        <w:tc>
          <w:tcPr>
            <w:tcW w:w="6468" w:type="dxa"/>
            <w:tcBorders>
              <w:top w:val="nil"/>
              <w:left w:val="nil"/>
              <w:bottom w:val="single" w:color="808080" w:sz="4" w:space="0"/>
              <w:right w:val="single" w:color="808080" w:sz="4" w:space="0"/>
            </w:tcBorders>
            <w:shd w:val="clear" w:color="000000" w:fill="FFFFFF"/>
            <w:vAlign w:val="center"/>
          </w:tcPr>
          <w:p w14:paraId="07087B86">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资产管理公司</w:t>
            </w:r>
          </w:p>
        </w:tc>
      </w:tr>
      <w:tr w14:paraId="631DE5D0">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0E234D34">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226</w:t>
            </w:r>
          </w:p>
        </w:tc>
        <w:tc>
          <w:tcPr>
            <w:tcW w:w="6468" w:type="dxa"/>
            <w:tcBorders>
              <w:top w:val="nil"/>
              <w:left w:val="nil"/>
              <w:bottom w:val="single" w:color="808080" w:sz="4" w:space="0"/>
              <w:right w:val="single" w:color="808080" w:sz="4" w:space="0"/>
            </w:tcBorders>
            <w:shd w:val="clear" w:color="000000" w:fill="FFFFFF"/>
            <w:vAlign w:val="center"/>
          </w:tcPr>
          <w:p w14:paraId="6A285575">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 xml:space="preserve">    其他</w:t>
            </w:r>
          </w:p>
        </w:tc>
      </w:tr>
      <w:tr w14:paraId="404F3D86">
        <w:tblPrEx>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14:paraId="6EEEB27E">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4</w:t>
            </w:r>
          </w:p>
        </w:tc>
        <w:tc>
          <w:tcPr>
            <w:tcW w:w="6468" w:type="dxa"/>
            <w:tcBorders>
              <w:top w:val="nil"/>
              <w:left w:val="nil"/>
              <w:bottom w:val="single" w:color="808080" w:sz="4" w:space="0"/>
              <w:right w:val="single" w:color="808080" w:sz="4" w:space="0"/>
            </w:tcBorders>
            <w:shd w:val="clear" w:color="000000" w:fill="FFFFFF"/>
            <w:vAlign w:val="center"/>
          </w:tcPr>
          <w:p w14:paraId="147F248F">
            <w:pPr>
              <w:widowControl/>
              <w:jc w:val="left"/>
              <w:rPr>
                <w:rFonts w:ascii="仿宋_GB2312" w:hAnsi="仿宋" w:eastAsia="仿宋_GB2312" w:cs="宋体"/>
                <w:color w:val="000000" w:themeColor="text1"/>
                <w:kern w:val="0"/>
                <w:sz w:val="30"/>
                <w:szCs w:val="30"/>
              </w:rPr>
            </w:pPr>
            <w:r>
              <w:rPr>
                <w:rFonts w:hint="eastAsia" w:ascii="仿宋_GB2312" w:hAnsi="仿宋" w:eastAsia="仿宋_GB2312" w:cs="宋体"/>
                <w:color w:val="000000" w:themeColor="text1"/>
                <w:kern w:val="0"/>
                <w:sz w:val="30"/>
                <w:szCs w:val="30"/>
              </w:rPr>
              <w:t>其他</w:t>
            </w:r>
          </w:p>
        </w:tc>
      </w:tr>
    </w:tbl>
    <w:p w14:paraId="2C7FE7A2">
      <w:pPr>
        <w:pStyle w:val="4"/>
        <w:adjustRightInd w:val="0"/>
        <w:snapToGrid w:val="0"/>
        <w:spacing w:line="360" w:lineRule="auto"/>
        <w:ind w:firstLine="639" w:firstLineChars="213"/>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9.</w:t>
      </w:r>
      <w:r>
        <w:rPr>
          <w:rFonts w:hint="eastAsia" w:ascii="仿宋_GB2312" w:hAnsi="仿宋" w:eastAsia="仿宋_GB2312"/>
          <w:color w:val="000000" w:themeColor="text1"/>
          <w:sz w:val="30"/>
          <w:szCs w:val="30"/>
        </w:rPr>
        <w:t>是否上市：按照被投资单位是否为上市公司选填（“新三板”公开挂牌公司暂按非上市公司）。</w:t>
      </w:r>
    </w:p>
    <w:p w14:paraId="66D77A2F">
      <w:pPr>
        <w:pStyle w:val="4"/>
        <w:adjustRightInd w:val="0"/>
        <w:snapToGrid w:val="0"/>
        <w:spacing w:line="360" w:lineRule="auto"/>
        <w:ind w:firstLine="639" w:firstLineChars="213"/>
        <w:rPr>
          <w:rFonts w:ascii="仿宋_GB2312" w:hAnsi="仿宋" w:eastAsia="仿宋_GB2312"/>
          <w:color w:val="000000" w:themeColor="text1"/>
          <w:sz w:val="30"/>
          <w:szCs w:val="30"/>
        </w:rPr>
      </w:pPr>
      <w:r>
        <w:rPr>
          <w:rFonts w:ascii="仿宋_GB2312" w:hAnsi="仿宋" w:eastAsia="仿宋_GB2312"/>
          <w:color w:val="000000" w:themeColor="text1"/>
          <w:sz w:val="30"/>
          <w:szCs w:val="30"/>
        </w:rPr>
        <w:t>20.</w:t>
      </w:r>
      <w:r>
        <w:rPr>
          <w:rFonts w:hint="eastAsia" w:ascii="仿宋_GB2312" w:hAnsi="仿宋" w:eastAsia="仿宋_GB2312"/>
          <w:color w:val="000000" w:themeColor="text1"/>
          <w:sz w:val="30"/>
          <w:szCs w:val="30"/>
        </w:rPr>
        <w:t>经营状况</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反映被投资单位经营状况，按照正常经营、停业歇业、待注销、已注销待清理、其他选择填列。</w:t>
      </w:r>
    </w:p>
    <w:p w14:paraId="0EE5F49F">
      <w:pPr>
        <w:pStyle w:val="4"/>
        <w:adjustRightInd w:val="0"/>
        <w:snapToGrid w:val="0"/>
        <w:spacing w:line="360" w:lineRule="auto"/>
        <w:ind w:firstLine="639" w:firstLineChars="213"/>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所有者权益总额：指企业资产扣除负债后，由所有者享有的剩余权益。依照《国有企业财务会计决算报表》中资产负债表有关数据填列。</w:t>
      </w:r>
    </w:p>
    <w:p w14:paraId="11810781">
      <w:pPr>
        <w:pStyle w:val="4"/>
        <w:adjustRightInd w:val="0"/>
        <w:snapToGrid w:val="0"/>
        <w:spacing w:line="360" w:lineRule="auto"/>
        <w:ind w:firstLine="639" w:firstLineChars="213"/>
        <w:rPr>
          <w:rFonts w:ascii="仿宋_GB2312" w:hAnsi="仿宋" w:eastAsia="仿宋_GB2312"/>
          <w:color w:val="000000" w:themeColor="text1"/>
          <w:sz w:val="30"/>
          <w:szCs w:val="30"/>
          <w:lang w:val="en"/>
        </w:rPr>
      </w:pPr>
      <w:r>
        <w:rPr>
          <w:rFonts w:hint="eastAsia" w:ascii="仿宋_GB2312" w:hAnsi="仿宋" w:eastAsia="仿宋_GB2312"/>
          <w:color w:val="000000" w:themeColor="text1"/>
          <w:sz w:val="30"/>
          <w:szCs w:val="30"/>
        </w:rPr>
        <w:t>22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归属于母公司所有者权益总额：指企业资产扣除负债后，由所有者享有的剩余权益归属母公司的部分。依照《国有企业财务会计决算报表》中资产负债表有关数据填列，若不编制合并报表的，按所有者权益数填列。</w:t>
      </w:r>
    </w:p>
    <w:p w14:paraId="235B183D">
      <w:pPr>
        <w:pStyle w:val="4"/>
        <w:adjustRightInd w:val="0"/>
        <w:snapToGrid w:val="0"/>
        <w:spacing w:line="360" w:lineRule="auto"/>
        <w:ind w:firstLine="639" w:firstLineChars="213"/>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w:t>
      </w:r>
      <w:r>
        <w:rPr>
          <w:rFonts w:ascii="仿宋_GB2312" w:hAnsi="仿宋" w:eastAsia="仿宋_GB2312"/>
          <w:color w:val="000000" w:themeColor="text1"/>
          <w:sz w:val="30"/>
          <w:szCs w:val="30"/>
        </w:rPr>
        <w:t>3</w:t>
      </w:r>
      <w:r>
        <w:rPr>
          <w:rFonts w:hint="eastAsia" w:ascii="仿宋_GB2312" w:hAnsi="仿宋" w:eastAsia="仿宋_GB2312"/>
          <w:color w:val="000000" w:themeColor="text1"/>
          <w:sz w:val="30"/>
          <w:szCs w:val="30"/>
        </w:rPr>
        <w:t>.是否编报国有企业财务会计决算：依据被投资单位编报国有企业财务会计决算的实际情况选择是、否填列。</w:t>
      </w:r>
    </w:p>
    <w:p w14:paraId="729777C5">
      <w:pPr>
        <w:pStyle w:val="4"/>
        <w:adjustRightInd w:val="0"/>
        <w:snapToGrid w:val="0"/>
        <w:spacing w:line="360" w:lineRule="auto"/>
        <w:ind w:firstLine="639" w:firstLineChars="213"/>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w:t>
      </w:r>
      <w:r>
        <w:rPr>
          <w:rFonts w:ascii="仿宋_GB2312" w:hAnsi="仿宋" w:eastAsia="仿宋_GB2312"/>
          <w:color w:val="000000" w:themeColor="text1"/>
          <w:sz w:val="30"/>
          <w:szCs w:val="30"/>
        </w:rPr>
        <w:t>4.</w:t>
      </w:r>
      <w:r>
        <w:rPr>
          <w:rFonts w:hint="eastAsia" w:ascii="仿宋_GB2312" w:hAnsi="仿宋" w:eastAsia="仿宋_GB2312"/>
          <w:color w:val="000000" w:themeColor="text1"/>
          <w:sz w:val="30"/>
          <w:szCs w:val="30"/>
        </w:rPr>
        <w:t>本期实收投资收益：指单位本年度实际收到的全部投资收益，不含企业上缴的企业国有资本收益。</w:t>
      </w:r>
    </w:p>
    <w:p w14:paraId="6F709099">
      <w:pPr>
        <w:pStyle w:val="2"/>
        <w:ind w:firstLine="600" w:firstLineChars="200"/>
        <w:rPr>
          <w:b/>
          <w:color w:val="000000" w:themeColor="text1"/>
        </w:rPr>
      </w:pPr>
      <w:r>
        <w:rPr>
          <w:rFonts w:hint="eastAsia"/>
          <w:color w:val="000000" w:themeColor="text1"/>
        </w:rPr>
        <w:t>十三、公共基础设施-交通基础设施情况表（财资1</w:t>
      </w:r>
      <w:r>
        <w:rPr>
          <w:color w:val="000000" w:themeColor="text1"/>
        </w:rPr>
        <w:t>2</w:t>
      </w:r>
      <w:r>
        <w:rPr>
          <w:rFonts w:hint="eastAsia"/>
          <w:color w:val="000000" w:themeColor="text1"/>
        </w:rPr>
        <w:t>-</w:t>
      </w:r>
      <w:r>
        <w:rPr>
          <w:color w:val="000000" w:themeColor="text1"/>
        </w:rPr>
        <w:t>1</w:t>
      </w:r>
      <w:r>
        <w:rPr>
          <w:rFonts w:hint="eastAsia"/>
          <w:color w:val="000000" w:themeColor="text1"/>
        </w:rPr>
        <w:t>表）</w:t>
      </w:r>
    </w:p>
    <w:p w14:paraId="5A9C58B1">
      <w:pPr>
        <w:adjustRightInd w:val="0"/>
        <w:snapToGrid w:val="0"/>
        <w:spacing w:line="360" w:lineRule="auto"/>
        <w:ind w:firstLine="708" w:firstLineChars="236"/>
        <w:rPr>
          <w:rFonts w:ascii="仿宋_GB2312" w:hAnsi="宋体" w:eastAsia="仿宋_GB2312"/>
          <w:color w:val="000000" w:themeColor="text1"/>
          <w:sz w:val="30"/>
          <w:szCs w:val="30"/>
        </w:rPr>
      </w:pPr>
      <w:r>
        <w:rPr>
          <w:rFonts w:hint="eastAsia" w:ascii="仿宋_GB2312" w:hAnsi="宋体" w:eastAsia="仿宋_GB2312"/>
          <w:color w:val="000000" w:themeColor="text1"/>
          <w:sz w:val="30"/>
          <w:szCs w:val="30"/>
        </w:rPr>
        <w:t>本表反映行政事业单位已入账的交通公共基础设施资产等期初、期末账面数，包括公路、铁路、汽车客运站、机场、航道、沿海航海保障设施、港口、轮渡。由涉及到交通基础设施的相关部门依据财务账手工填报。“负有管理维护职责数量”指标应按照《政府会计准则5号——公共基础设施》、《关于进一步加强公路水路公共基础设施政府会计核算的通知》（财会〔2020〕23号）相关规定，填写填报单位应当予以确认的资产数量。</w:t>
      </w:r>
    </w:p>
    <w:p w14:paraId="5466DB9A">
      <w:pPr>
        <w:adjustRightInd w:val="0"/>
        <w:snapToGrid w:val="0"/>
        <w:spacing w:line="360" w:lineRule="auto"/>
        <w:ind w:firstLine="708" w:firstLineChars="236"/>
        <w:rPr>
          <w:rFonts w:ascii="仿宋_GB2312" w:hAnsi="宋体" w:eastAsia="仿宋_GB2312"/>
          <w:color w:val="000000" w:themeColor="text1"/>
          <w:sz w:val="30"/>
          <w:szCs w:val="30"/>
        </w:rPr>
      </w:pPr>
      <w:r>
        <w:rPr>
          <w:rFonts w:hint="eastAsia" w:ascii="仿宋_GB2312" w:hAnsi="宋体" w:eastAsia="仿宋_GB2312"/>
          <w:color w:val="000000" w:themeColor="text1"/>
          <w:sz w:val="30"/>
          <w:szCs w:val="30"/>
        </w:rPr>
        <w:t>等级公路、等外公路由各级交通运输管理部门填报。</w:t>
      </w:r>
    </w:p>
    <w:p w14:paraId="6AC985F1">
      <w:pPr>
        <w:adjustRightInd w:val="0"/>
        <w:snapToGrid w:val="0"/>
        <w:spacing w:line="360" w:lineRule="auto"/>
        <w:ind w:firstLine="711" w:firstLineChars="236"/>
        <w:rPr>
          <w:rFonts w:ascii="仿宋_GB2312" w:hAnsi="宋体" w:eastAsia="仿宋_GB2312"/>
          <w:b/>
          <w:bCs/>
          <w:color w:val="000000" w:themeColor="text1"/>
          <w:sz w:val="30"/>
          <w:szCs w:val="30"/>
        </w:rPr>
      </w:pPr>
      <w:r>
        <w:rPr>
          <w:rFonts w:hint="eastAsia" w:ascii="仿宋_GB2312" w:hAnsi="宋体" w:eastAsia="仿宋_GB2312"/>
          <w:b/>
          <w:bCs/>
          <w:color w:val="000000" w:themeColor="text1"/>
          <w:sz w:val="30"/>
          <w:szCs w:val="30"/>
        </w:rPr>
        <w:t>主要指标说明</w:t>
      </w:r>
    </w:p>
    <w:p w14:paraId="488A18E1">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1.公路。</w:t>
      </w:r>
      <w:r>
        <w:rPr>
          <w:rFonts w:hint="eastAsia" w:ascii="仿宋_GB2312" w:hAnsi="宋体" w:eastAsia="仿宋_GB2312"/>
          <w:bCs/>
          <w:color w:val="000000" w:themeColor="text1"/>
          <w:sz w:val="30"/>
          <w:szCs w:val="32"/>
        </w:rPr>
        <w:t>公路分为等级公路和等外公路。公路基础设施资产由构筑物设施、公路沿线设施组成。</w:t>
      </w:r>
    </w:p>
    <w:p w14:paraId="730A7CFB">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公路构筑物设施：即构成公路主体的各部分，包括路基与路面、桥梁、隧道、涵洞、跨道路建筑物等。</w:t>
      </w:r>
    </w:p>
    <w:p w14:paraId="626F3DE7">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公路沿线设施：包括安全设施、收费设施、监控设施、环保设施等。安全设施是指发挥交通安全指示作用的相关公路设施，包括护栏、交通指示线、交通指示牌等；收费设施是指为保证收费有序实现而设置的中心设备、收费站设备、车道设备等；监控设施是指监控交通运行情况的系统、线路和检测器具等；环保设施包括道路绿化、噪声屏障、隔声窗等。</w:t>
      </w:r>
    </w:p>
    <w:p w14:paraId="15B1D77D">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（1）等级公路。</w:t>
      </w:r>
      <w:r>
        <w:rPr>
          <w:rFonts w:hint="eastAsia" w:ascii="仿宋_GB2312" w:hAnsi="宋体" w:eastAsia="仿宋_GB2312"/>
          <w:bCs/>
          <w:color w:val="000000" w:themeColor="text1"/>
          <w:sz w:val="30"/>
          <w:szCs w:val="32"/>
        </w:rPr>
        <w:t>等级公路是指联接城市之间、城乡之间、乡村与乡村之间、工矿基地之间按照国家技术标准修建的，由公路主管部门验收认可的道路，包括高速公路、一级公路、二级公路、三级公路、四级公路。</w:t>
      </w:r>
    </w:p>
    <w:p w14:paraId="49FCA33A">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高速公路：专供汽车分方向、分车道行驶，全部控制出入的多车道公路。高速公路的年平均日设计交通量宜在15000辆小客车以上。</w:t>
      </w:r>
    </w:p>
    <w:p w14:paraId="4F828FDC">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一级公路：供汽车分方向、分车道行驶，可根据需要控制出入的多车道公路。一级公路的年平均日设计交通量宜在15000辆小客车以上。</w:t>
      </w:r>
    </w:p>
    <w:p w14:paraId="1643B3E0">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二级公路：供汽车行驶的双车道公路。二级公路的年平均日设计交通量宜为5000-15000辆小客车。</w:t>
      </w:r>
    </w:p>
    <w:p w14:paraId="28EA6526">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三级公路：供汽车、非汽车交通混合行驶的双车道公路。三级公路的年平均日设计交通量宜为2000-6000辆小客车。</w:t>
      </w:r>
    </w:p>
    <w:p w14:paraId="4FF7C1B6">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四级公路：供汽车、非汽车交通混合行驶的双车道或单车道公路。双车道四级公路年平均日设计交通量宜在2000辆小客车以下；单车道四级公路年平均日设计交通量宜在400辆小客车以下。</w:t>
      </w:r>
    </w:p>
    <w:p w14:paraId="5CCCE4CF">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（2）等外公路。</w:t>
      </w:r>
      <w:r>
        <w:rPr>
          <w:rFonts w:hint="eastAsia" w:ascii="仿宋_GB2312" w:hAnsi="宋体" w:eastAsia="仿宋_GB2312"/>
          <w:bCs/>
          <w:color w:val="000000" w:themeColor="text1"/>
          <w:sz w:val="30"/>
          <w:szCs w:val="32"/>
        </w:rPr>
        <w:t>等外公路是指不符合公路工程技术标准的公路。例如国家物资储备系统专用公路根据立项批复的公路等级填列，没有批复公路等级的在“等外公路”栏填列。</w:t>
      </w:r>
    </w:p>
    <w:p w14:paraId="743A42C2">
      <w:pPr>
        <w:adjustRightInd w:val="0"/>
        <w:snapToGrid w:val="0"/>
        <w:spacing w:line="360" w:lineRule="auto"/>
        <w:ind w:firstLine="602" w:firstLineChars="200"/>
        <w:rPr>
          <w:rFonts w:ascii="仿宋_GB2312" w:hAnsi="宋体" w:eastAsia="仿宋_GB2312"/>
          <w:b/>
          <w:color w:val="000000" w:themeColor="text1"/>
          <w:sz w:val="30"/>
          <w:szCs w:val="32"/>
        </w:rPr>
      </w:pPr>
      <w:r>
        <w:rPr>
          <w:rFonts w:hint="eastAsia" w:ascii="仿宋_GB2312" w:hAnsi="宋体" w:eastAsia="仿宋_GB2312"/>
          <w:b/>
          <w:color w:val="000000" w:themeColor="text1"/>
          <w:sz w:val="30"/>
          <w:szCs w:val="32"/>
        </w:rPr>
        <w:t>2.铁路。</w:t>
      </w:r>
    </w:p>
    <w:p w14:paraId="284027AC">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国家级铁路：由中央政府投资修建，担负公共旅客、货物运输任务的铁路。</w:t>
      </w:r>
    </w:p>
    <w:p w14:paraId="254417FB">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高铁：高铁即高速铁路，指新建设计开行250公里/小时（含预留）及以上动车组列车，初期运营速度不小于200公里/小时的客运专线铁路。</w:t>
      </w:r>
    </w:p>
    <w:p w14:paraId="24122AD1">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其他国家级铁路：除高速铁路以外的其他国家级铁路。</w:t>
      </w:r>
    </w:p>
    <w:p w14:paraId="0E9F28F9">
      <w:pPr>
        <w:adjustRightInd w:val="0"/>
        <w:snapToGrid w:val="0"/>
        <w:spacing w:line="360" w:lineRule="auto"/>
        <w:ind w:firstLine="600" w:firstLineChars="200"/>
        <w:rPr>
          <w:rFonts w:ascii="仿宋_GB2312" w:hAnsi="宋体" w:eastAsia="仿宋_GB2312"/>
          <w:bCs/>
          <w:color w:val="000000" w:themeColor="text1"/>
          <w:sz w:val="30"/>
          <w:szCs w:val="32"/>
        </w:rPr>
      </w:pPr>
      <w:r>
        <w:rPr>
          <w:rFonts w:hint="eastAsia" w:ascii="仿宋_GB2312" w:hAnsi="宋体" w:eastAsia="仿宋_GB2312"/>
          <w:bCs/>
          <w:color w:val="000000" w:themeColor="text1"/>
          <w:sz w:val="30"/>
          <w:szCs w:val="32"/>
        </w:rPr>
        <w:t>地方性铁路：由地方政府投资修建或者与其他铁路联合投资修建，担负地方公共旅客、货物短途运输任务的铁路。</w:t>
      </w:r>
    </w:p>
    <w:p w14:paraId="757B5D13">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3.铁路车站。</w:t>
      </w:r>
      <w:r>
        <w:rPr>
          <w:rFonts w:hint="eastAsia" w:ascii="仿宋_GB2312" w:hAnsi="宋体" w:eastAsia="仿宋_GB2312"/>
          <w:bCs/>
          <w:color w:val="000000" w:themeColor="text1"/>
          <w:sz w:val="30"/>
          <w:szCs w:val="32"/>
        </w:rPr>
        <w:t>指办理列车通过、到发、列车技术作业及客货运业务的分界点。</w:t>
      </w:r>
    </w:p>
    <w:p w14:paraId="5BF22B6A">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4.汽车客运站。</w:t>
      </w:r>
      <w:r>
        <w:rPr>
          <w:rFonts w:hint="eastAsia" w:ascii="仿宋_GB2312" w:hAnsi="宋体" w:eastAsia="仿宋_GB2312"/>
          <w:bCs/>
          <w:color w:val="000000" w:themeColor="text1"/>
          <w:sz w:val="30"/>
          <w:szCs w:val="32"/>
        </w:rPr>
        <w:t>主要包括场地设施、站务用房、生产辅助用房、安全与服务设施。</w:t>
      </w:r>
    </w:p>
    <w:p w14:paraId="6E395E85">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5.运输机场。</w:t>
      </w:r>
      <w:r>
        <w:rPr>
          <w:rFonts w:hint="eastAsia" w:ascii="仿宋_GB2312" w:hAnsi="宋体" w:eastAsia="仿宋_GB2312"/>
          <w:bCs/>
          <w:color w:val="000000" w:themeColor="text1"/>
          <w:sz w:val="30"/>
          <w:szCs w:val="32"/>
        </w:rPr>
        <w:t>运输机场是专门承担航空客运与航空货运两种飞行任务的机场。根据《国际民用航空公约》和民航局《民用机场飞行区指标规范》（MH5100-2013），我国现有机场中有4F、4E、4D、4C、3C和1B六类。</w:t>
      </w:r>
    </w:p>
    <w:p w14:paraId="0D19AF60">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6.通用航空机场。</w:t>
      </w:r>
      <w:r>
        <w:rPr>
          <w:rFonts w:hint="eastAsia" w:ascii="仿宋_GB2312" w:hAnsi="宋体" w:eastAsia="仿宋_GB2312"/>
          <w:bCs/>
          <w:color w:val="000000" w:themeColor="text1"/>
          <w:sz w:val="30"/>
          <w:szCs w:val="32"/>
        </w:rPr>
        <w:t>通用航空机场是专门承担除旅客运输和货物运输以外的其他飞行任务的机场，比如公务出差、空中旅游、空中表演、空中航拍、空中测绘、农林喷洒等特殊飞行任务。</w:t>
      </w:r>
    </w:p>
    <w:p w14:paraId="7B8A61B5">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7.等级航道。</w:t>
      </w:r>
      <w:r>
        <w:rPr>
          <w:rFonts w:hint="eastAsia" w:ascii="仿宋_GB2312" w:hAnsi="宋体" w:eastAsia="仿宋_GB2312"/>
          <w:bCs/>
          <w:color w:val="000000" w:themeColor="text1"/>
          <w:sz w:val="30"/>
          <w:szCs w:val="32"/>
        </w:rPr>
        <w:t>反映等级航道的里程和账面价值。等级航道指中华人民共和国领域内的江河、湖泊等内陆水域中可以供50吨级以上船舶通航的通道。包括一级航道、二级航道、三级航道、四级航道、五级航道、六级航道、七级航道。</w:t>
      </w:r>
    </w:p>
    <w:p w14:paraId="56C75157">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8.等外航道。</w:t>
      </w:r>
      <w:r>
        <w:rPr>
          <w:rFonts w:hint="eastAsia" w:ascii="仿宋_GB2312" w:hAnsi="宋体" w:eastAsia="仿宋_GB2312"/>
          <w:bCs/>
          <w:color w:val="000000" w:themeColor="text1"/>
          <w:sz w:val="30"/>
          <w:szCs w:val="32"/>
        </w:rPr>
        <w:t>反映等外航道的里程和价值。等外航道是指通常年通航50吨级以下船舶的航道。</w:t>
      </w:r>
    </w:p>
    <w:p w14:paraId="7B1E31C4">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9.航标。</w:t>
      </w:r>
      <w:r>
        <w:rPr>
          <w:rFonts w:hint="eastAsia" w:ascii="仿宋_GB2312" w:hAnsi="宋体" w:eastAsia="仿宋_GB2312"/>
          <w:bCs/>
          <w:color w:val="000000" w:themeColor="text1"/>
          <w:sz w:val="30"/>
          <w:szCs w:val="32"/>
        </w:rPr>
        <w:t>反映航标的数量和价值。包括视觉航标、音响航标、无线电航标及其他标志。</w:t>
      </w:r>
    </w:p>
    <w:p w14:paraId="794AE401">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10.航道通航建筑物。</w:t>
      </w:r>
      <w:r>
        <w:rPr>
          <w:rFonts w:hint="eastAsia" w:ascii="仿宋_GB2312" w:hAnsi="宋体" w:eastAsia="仿宋_GB2312"/>
          <w:bCs/>
          <w:color w:val="000000" w:themeColor="text1"/>
          <w:sz w:val="30"/>
          <w:szCs w:val="32"/>
        </w:rPr>
        <w:t>反映航道通航建筑物的数量和价值。航道通航建筑物是指为保障航道正常运行建设的建筑物、助航设施及附属设施。包括船闸及其附属设施、升船机及其附属设施。</w:t>
      </w:r>
    </w:p>
    <w:p w14:paraId="11FF54BD">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11.整治建筑物及设施。</w:t>
      </w:r>
      <w:r>
        <w:rPr>
          <w:rFonts w:hint="eastAsia" w:ascii="仿宋_GB2312" w:hAnsi="宋体" w:eastAsia="仿宋_GB2312"/>
          <w:bCs/>
          <w:color w:val="000000" w:themeColor="text1"/>
          <w:sz w:val="30"/>
          <w:szCs w:val="32"/>
        </w:rPr>
        <w:t>反映整治建筑物及设施的数量和价值。包括防护工程、坝体、堤类。</w:t>
      </w:r>
    </w:p>
    <w:p w14:paraId="52E1E767">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12.其他助航设施。</w:t>
      </w:r>
      <w:r>
        <w:rPr>
          <w:rFonts w:hint="eastAsia" w:ascii="仿宋_GB2312" w:hAnsi="宋体" w:eastAsia="仿宋_GB2312"/>
          <w:bCs/>
          <w:color w:val="000000" w:themeColor="text1"/>
          <w:sz w:val="30"/>
          <w:szCs w:val="32"/>
        </w:rPr>
        <w:t>反映其他助航设施的数量和价值。包括基础测绘设施、海岸电台、信号台、航行统等。</w:t>
      </w:r>
    </w:p>
    <w:p w14:paraId="3D7D3B44">
      <w:pPr>
        <w:adjustRightInd w:val="0"/>
        <w:snapToGrid w:val="0"/>
        <w:spacing w:line="360" w:lineRule="auto"/>
        <w:ind w:firstLine="602" w:firstLineChars="200"/>
        <w:rPr>
          <w:rFonts w:ascii="仿宋_GB2312" w:hAnsi="宋体" w:eastAsia="仿宋_GB2312"/>
          <w:bCs/>
          <w:color w:val="000000" w:themeColor="text1"/>
          <w:sz w:val="30"/>
          <w:szCs w:val="32"/>
        </w:rPr>
      </w:pPr>
      <w:r>
        <w:rPr>
          <w:rFonts w:hint="eastAsia" w:ascii="仿宋_GB2312" w:hAnsi="宋体" w:eastAsia="仿宋_GB2312"/>
          <w:b/>
          <w:color w:val="000000" w:themeColor="text1"/>
          <w:sz w:val="30"/>
          <w:szCs w:val="32"/>
        </w:rPr>
        <w:t>13.码头。</w:t>
      </w:r>
      <w:r>
        <w:rPr>
          <w:rFonts w:hint="eastAsia" w:ascii="仿宋_GB2312" w:hAnsi="宋体" w:eastAsia="仿宋_GB2312"/>
          <w:bCs/>
          <w:color w:val="000000" w:themeColor="text1"/>
          <w:sz w:val="30"/>
          <w:szCs w:val="32"/>
        </w:rPr>
        <w:t>包括港口码头和轮渡码头。反映码头的数量和价值。码头是指供船舶停靠、装卸货物或上下旅客的水工建筑物。</w:t>
      </w:r>
    </w:p>
    <w:p w14:paraId="0181830F">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仿宋_GB2312" w:hAnsi="宋体" w:eastAsia="仿宋_GB2312"/>
          <w:b/>
          <w:color w:val="000000" w:themeColor="text1"/>
          <w:sz w:val="30"/>
          <w:szCs w:val="32"/>
        </w:rPr>
        <w:t>14.港口附属设施。</w:t>
      </w:r>
      <w:r>
        <w:rPr>
          <w:rFonts w:hint="eastAsia" w:ascii="仿宋_GB2312" w:hAnsi="宋体" w:eastAsia="仿宋_GB2312"/>
          <w:bCs/>
          <w:color w:val="000000" w:themeColor="text1"/>
          <w:sz w:val="30"/>
          <w:szCs w:val="32"/>
        </w:rPr>
        <w:t>是指除码头、防波堤、护岸、进出港航道、锚地以外的其他港务设施，包括港区内铁路专用线、港区内道路、进出港道路、运输管道、滚装连接桥、堆场、房屋及其他。</w:t>
      </w:r>
    </w:p>
    <w:p w14:paraId="0DAB1FBC">
      <w:pPr>
        <w:pStyle w:val="2"/>
        <w:ind w:firstLine="600" w:firstLineChars="200"/>
        <w:rPr>
          <w:b/>
          <w:color w:val="000000" w:themeColor="text1"/>
        </w:rPr>
      </w:pPr>
      <w:r>
        <w:rPr>
          <w:rFonts w:hint="eastAsia"/>
          <w:color w:val="000000" w:themeColor="text1"/>
        </w:rPr>
        <w:t>十四、公共基础设施-水利基础设施情况表（财资1</w:t>
      </w:r>
      <w:r>
        <w:rPr>
          <w:color w:val="000000" w:themeColor="text1"/>
        </w:rPr>
        <w:t>2</w:t>
      </w:r>
      <w:r>
        <w:rPr>
          <w:rFonts w:hint="eastAsia"/>
          <w:color w:val="000000" w:themeColor="text1"/>
        </w:rPr>
        <w:t>-</w:t>
      </w:r>
      <w:r>
        <w:rPr>
          <w:color w:val="000000" w:themeColor="text1"/>
        </w:rPr>
        <w:t>2</w:t>
      </w:r>
      <w:r>
        <w:rPr>
          <w:rFonts w:hint="eastAsia"/>
          <w:color w:val="000000" w:themeColor="text1"/>
        </w:rPr>
        <w:t>表）</w:t>
      </w:r>
    </w:p>
    <w:p w14:paraId="0CD2396D">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本表反映行政事业单位为满足社会公共防洪（潮）、治涝、供水、灌溉、发电等方面需求而控制的，已建成的水利工程全部或部分有形资产，由涉及到水利基础设施的相关部门依据财务账及水利工程的功能分类手工填报。</w:t>
      </w:r>
      <w:r>
        <w:rPr>
          <w:rFonts w:hint="eastAsia" w:ascii="仿宋_GB2312" w:hAnsi="仿宋" w:eastAsia="仿宋_GB2312"/>
          <w:bCs/>
          <w:color w:val="000000" w:themeColor="text1"/>
          <w:sz w:val="30"/>
          <w:szCs w:val="30"/>
        </w:rPr>
        <w:t>如水利工程兼具多种功能且无法拆分的，以其主要功能填报，保证不重不漏。</w:t>
      </w:r>
      <w:r>
        <w:rPr>
          <w:rFonts w:hint="eastAsia" w:ascii="仿宋_GB2312" w:hAnsi="仿宋" w:eastAsia="仿宋_GB2312"/>
          <w:color w:val="000000" w:themeColor="text1"/>
          <w:sz w:val="30"/>
          <w:szCs w:val="30"/>
        </w:rPr>
        <w:t>“负有管理维护职责数量”指标应按照《政府会计准则5号——公共基础设施》相关规定，填写填报单位应当予以确认的资产数量。</w:t>
      </w:r>
    </w:p>
    <w:p w14:paraId="478DBAE5">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以下不属于水利公共基础设施范畴：</w:t>
      </w:r>
    </w:p>
    <w:p w14:paraId="58F1403B">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（1）独立于水利工程、不构成工程使用不可缺少组成部分的管理维护用房屋建筑物、设备、车辆等。</w:t>
      </w:r>
    </w:p>
    <w:p w14:paraId="28DBB64F">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（2）已经废弃或不再发挥服务功能的水利工程。</w:t>
      </w:r>
    </w:p>
    <w:p w14:paraId="40AAB21A">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主要指标说明：</w:t>
      </w:r>
    </w:p>
    <w:p w14:paraId="218525B2">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1.防洪（潮）工程：指为控制或抗御洪水以减免洪灾损失而修建的各种工程。主要包括防洪堤、防潮堤、分洪工程、河道控制工程等，不包括防洪水库。</w:t>
      </w:r>
    </w:p>
    <w:p w14:paraId="24F374A0">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2.治涝工程：指为了排除涝区内多余降水，防治涝灾发生而修建的各种工程，包括排水河道、排涝泵站、排水闸等。</w:t>
      </w:r>
    </w:p>
    <w:p w14:paraId="738E91BF">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灌溉工程：指从水源取水并输送、分配到田间的整体灌溉设施。包括渠首工程、输配水工程和田间工程三部分。由渠首枢纽、渠道、泵站、水闸、其他渠系建筑物（渡槽、倒虹吸、陡坡、跌水等）、调蓄水库、塘坝等组成。本表灌溉工程第二级分类中的调蓄水库为在灌区中发挥水量调蓄作用的水库工程，总库容应大于或等于10万立方米，对于小于10万立方米的列为塘坝。田间工程多为集体或个人所有，不纳入水利公共基础设施灌溉工程中统计。</w:t>
      </w:r>
    </w:p>
    <w:p w14:paraId="6C87DF94">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4.引调水工程：指为满足供水、灌溉、生态需水要求，兴建的跨水系、跨区域的水资源配置工程。引调水工程第二级分类中的调蓄水库为在引调水工程中发挥水量调蓄作用的水库工程，总库容应大于或等于10万立方米。</w:t>
      </w:r>
    </w:p>
    <w:p w14:paraId="5DF2C8E1">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5.农村供水工程：指向农村的乡镇、村庄等居民点和分散农户供给生活和生产等用水，以满足村镇居民、企事业单位日常用水需要为主的集中式供水工程。</w:t>
      </w:r>
    </w:p>
    <w:p w14:paraId="5F77380B">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6.水力发电工程：指为开发利用水能资源，将水能转换为电能而修建的工程建筑物和机械、电气设备以及金属结构的综合体，主要为水电站。</w:t>
      </w:r>
    </w:p>
    <w:p w14:paraId="26D282B3">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7.水土保持工程：指为防治水土流失，保护、改良与合理利用水土资源，改善生态环境所采取的工程措施。本表水土保持工程，主要为沟壑治理工程，包括沟头防护、淤地坝、谷坊坝等。</w:t>
      </w:r>
    </w:p>
    <w:p w14:paraId="76BBEC30">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8.水库工程：指在河道、山谷或低洼地带修建挡水坝或堤堰形成的具有拦洪蓄水和调节水流功能的水利工程，总库容应大于或等于10万立方米。不包括灌溉工程、引调水工程中的调蓄水库。</w:t>
      </w:r>
    </w:p>
    <w:p w14:paraId="23BCCBDD">
      <w:pPr>
        <w:adjustRightInd w:val="0"/>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9.水文基础设施：指为满足水文生产所必须建设的设施。包括各种水文要素观测基础设施、测验断面设施等。</w:t>
      </w:r>
    </w:p>
    <w:p w14:paraId="77207D14">
      <w:pPr>
        <w:pStyle w:val="2"/>
        <w:ind w:firstLine="600" w:firstLineChars="200"/>
        <w:rPr>
          <w:b/>
          <w:color w:val="000000" w:themeColor="text1"/>
        </w:rPr>
      </w:pPr>
      <w:r>
        <w:rPr>
          <w:rFonts w:hint="eastAsia"/>
          <w:color w:val="000000" w:themeColor="text1"/>
        </w:rPr>
        <w:t>十五、公共基础设施-市政基础设施和其他公共基础设施情况表（财资1</w:t>
      </w:r>
      <w:r>
        <w:rPr>
          <w:color w:val="000000" w:themeColor="text1"/>
        </w:rPr>
        <w:t>2</w:t>
      </w:r>
      <w:r>
        <w:rPr>
          <w:rFonts w:hint="eastAsia"/>
          <w:color w:val="000000" w:themeColor="text1"/>
        </w:rPr>
        <w:t>-</w:t>
      </w:r>
      <w:r>
        <w:rPr>
          <w:color w:val="000000" w:themeColor="text1"/>
        </w:rPr>
        <w:t>3</w:t>
      </w:r>
      <w:r>
        <w:rPr>
          <w:rFonts w:hint="eastAsia"/>
          <w:color w:val="000000" w:themeColor="text1"/>
        </w:rPr>
        <w:t>表）</w:t>
      </w:r>
    </w:p>
    <w:p w14:paraId="62BE2C64">
      <w:pPr>
        <w:snapToGrid w:val="0"/>
        <w:spacing w:line="360" w:lineRule="auto"/>
        <w:ind w:firstLine="600" w:firstLineChars="200"/>
        <w:rPr>
          <w:rFonts w:ascii="仿宋_GB2312" w:hAnsi="宋体" w:eastAsia="仿宋_GB2312"/>
          <w:color w:val="000000" w:themeColor="text1"/>
          <w:sz w:val="30"/>
          <w:szCs w:val="30"/>
        </w:rPr>
      </w:pPr>
      <w:r>
        <w:rPr>
          <w:rFonts w:hint="eastAsia" w:ascii="仿宋_GB2312" w:hAnsi="宋体" w:eastAsia="仿宋_GB2312"/>
          <w:color w:val="000000" w:themeColor="text1"/>
          <w:sz w:val="30"/>
          <w:szCs w:val="30"/>
        </w:rPr>
        <w:t>本表反映行政事业单位负有管理维护职责的市政基础设施和其他公共基础设施期初、期末资产数量和已按政府会计准则制度规定登记入账的资产数量、账面价值。</w:t>
      </w:r>
      <w:r>
        <w:rPr>
          <w:rFonts w:hint="eastAsia" w:ascii="仿宋_GB2312" w:hAnsi="仿宋" w:eastAsia="仿宋_GB2312"/>
          <w:color w:val="000000" w:themeColor="text1"/>
          <w:sz w:val="30"/>
          <w:szCs w:val="30"/>
        </w:rPr>
        <w:t>由涉及到市政基础设施和其他公共基础设施的相关部门依据财务账、资产台账等手工填报。“负有管理维护职责数量”指标应按照《政府会计准则5号——公共基础设施》相关规定，填写填报单位应当予以确认的资产数量。</w:t>
      </w:r>
    </w:p>
    <w:p w14:paraId="4AC1330F">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（一）市政基础设施</w:t>
      </w:r>
    </w:p>
    <w:p w14:paraId="1AD3C9E1">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市政基础设施包括城市轨道交通、城市道路、城市桥梁、城市照明、地下综合管廊、园林绿化、供水设施、城市燃气设施、集中供热设施、城市排水和污水处理设施、城市环境卫生设施、公共文化体育设施和其他市政基础设施等。本报表填报主体一般为：住房和城乡建设、文化和体育等相关部门。</w:t>
      </w:r>
    </w:p>
    <w:p w14:paraId="625529B1">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主要指标说明：</w:t>
      </w:r>
    </w:p>
    <w:p w14:paraId="15CCFAB0">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城市轨道交通：指采用轨道结构进行承重和导向的车辆运输系统，依据城市交通总体规划的要求，设置全封闭或部分封闭的专用轨道线路，以列车或单车形式，运送相当规模客流量的公共交通方式。包括地铁、轻轨、单轨、有轨电车、磁浮、自动导向轨道、市域快速轨道系统。</w:t>
      </w:r>
    </w:p>
    <w:p w14:paraId="34194373">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2.城市道路：指城市供车辆、行人通行的，具备一定技术条件的道路、桥梁、隧道及其附属设施。</w:t>
      </w:r>
    </w:p>
    <w:p w14:paraId="7214DCFE">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3.城市桥梁：为跨越天然或人工障碍物而修建的构筑物。包括跨河桥、立交桥、人行天桥以及人行地下通道等。</w:t>
      </w:r>
    </w:p>
    <w:p w14:paraId="337BC3F3">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4.城市照明：指在城市道路、隧道、广场、公园、公共绿地、</w:t>
      </w:r>
      <w:r>
        <w:rPr>
          <w:rFonts w:hint="eastAsia" w:ascii="仿宋_GB2312" w:hAnsi="仿宋" w:eastAsia="仿宋_GB2312"/>
          <w:color w:val="000000" w:themeColor="text1"/>
          <w:sz w:val="30"/>
          <w:szCs w:val="30"/>
          <w:lang w:eastAsia="zh-CN"/>
        </w:rPr>
        <w:t>名胜古迹</w:t>
      </w:r>
      <w:bookmarkStart w:id="13" w:name="_GoBack"/>
      <w:bookmarkEnd w:id="13"/>
      <w:r>
        <w:rPr>
          <w:rFonts w:hint="eastAsia" w:ascii="仿宋_GB2312" w:hAnsi="仿宋" w:eastAsia="仿宋_GB2312"/>
          <w:color w:val="000000" w:themeColor="text1"/>
          <w:sz w:val="30"/>
          <w:szCs w:val="30"/>
        </w:rPr>
        <w:t>以及其他建（构）筑物的功能照明或者景观照明。包括照明器具以及配电、监控、节能等系统的设备和附属设施。</w:t>
      </w:r>
    </w:p>
    <w:p w14:paraId="188B4D9D">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5.地下综合管廊：指建于城市地下用于容纳两类及两类以上城市工程管线的构筑物及附属设施，包括干线管廊、支线管廊、缆线管廊。</w:t>
      </w:r>
    </w:p>
    <w:p w14:paraId="0B7A192F">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6.园林绿化：园林绿化主要统计地方园林绿化主管部门投资建设、维护管理的城市绿地，根据《城市绿地分类标准》（CJJ/T85-2017），城市绿地包括公园绿地、防护绿地、广场用地、附属绿地、区域绿地等类型。</w:t>
      </w:r>
    </w:p>
    <w:p w14:paraId="04E43431">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7.供水设施：取水、输水、水质净化和配水等设施和附属设施的统称，不包含水库等水源类工程设施。</w:t>
      </w:r>
    </w:p>
    <w:p w14:paraId="0F1D7F49">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8.城市燃气设施：包含厂站和管道。其中，厂站是人工煤气生产厂、燃气储备站、门站、气化站、混气站、加气站、灌装站、供应站、调压站等的总称。管道指市政燃气管网。</w:t>
      </w:r>
    </w:p>
    <w:p w14:paraId="6F475602">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9.集中供热设施：指从一个或多个热源通过供热管网向城市或其中某些区域热用户供热，集中供热设施主要包括热源、输配管网（一级网、二级网）和热力站等。</w:t>
      </w:r>
    </w:p>
    <w:p w14:paraId="39D6642B">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10.城市排水和污水处理设施：指收集、输送、处理、再生和处置污水、雨水的工程中的管道、构筑物和设备等的统称。</w:t>
      </w:r>
    </w:p>
    <w:p w14:paraId="69B3DE99">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11.城市环境卫生设施：包含生活垃圾无害化处理厂（场）和公共厕所。生活垃圾无害化处理厂（场）包括生活垃圾填埋场、生活垃圾焚烧厂及其他形式的生活垃圾无害化处理设施。公共厕所指由市容环卫部门设置的供公共使用的厕所。</w:t>
      </w:r>
    </w:p>
    <w:p w14:paraId="6BE85FAD">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12.公共文化体育设施: 指由各级人民政府举办的，向公众开放用于开展文化体育活动的公益性的图书馆、博物馆、纪念馆、美术馆、文化馆(站)、科技馆、体育场(馆)、青少年宫、工人文化宫等的建筑物、场地和设备。</w:t>
      </w:r>
    </w:p>
    <w:p w14:paraId="632C9D96">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13.其他市政基础设施：指除上述市政基础设施外的市政设施。</w:t>
      </w:r>
    </w:p>
    <w:p w14:paraId="7ED60140">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二）其他公共基础设施：指公共基础设施中除交通、水利、市政以外的其他基础设施。涉及到其他公共基础设施的相关部门填报。各级人防部门管理的人防工程、指挥、通信、警报设备设施等国有资产已划归地方管理，在此填列。填报人防工程以外的其他公共基础设施的，应在填报说明中说明相关资产名称、数量等具体情况。</w:t>
      </w:r>
    </w:p>
    <w:p w14:paraId="21901242">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主要指标说明。</w:t>
      </w:r>
    </w:p>
    <w:p w14:paraId="2F9DBFA3">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期初数</w:t>
      </w:r>
      <w:r>
        <w:rPr>
          <w:rFonts w:ascii="仿宋_GB2312" w:hAnsi="仿宋" w:eastAsia="仿宋_GB2312"/>
          <w:color w:val="000000" w:themeColor="text1"/>
          <w:sz w:val="30"/>
          <w:szCs w:val="30"/>
        </w:rPr>
        <w:t>：</w:t>
      </w:r>
      <w:bookmarkStart w:id="9" w:name="_Hlk51918548"/>
      <w:r>
        <w:rPr>
          <w:rFonts w:hint="eastAsia" w:ascii="仿宋_GB2312" w:hAnsi="仿宋" w:eastAsia="仿宋_GB2312"/>
          <w:color w:val="000000" w:themeColor="text1"/>
          <w:sz w:val="30"/>
          <w:szCs w:val="30"/>
        </w:rPr>
        <w:t>反映</w:t>
      </w:r>
      <w:r>
        <w:rPr>
          <w:rFonts w:ascii="仿宋_GB2312" w:hAnsi="仿宋" w:eastAsia="仿宋_GB2312"/>
          <w:color w:val="000000" w:themeColor="text1"/>
          <w:sz w:val="30"/>
          <w:szCs w:val="30"/>
        </w:rPr>
        <w:t>本年度</w:t>
      </w:r>
      <w:r>
        <w:rPr>
          <w:rFonts w:hint="eastAsia" w:ascii="仿宋_GB2312" w:hAnsi="仿宋" w:eastAsia="仿宋_GB2312"/>
          <w:color w:val="000000" w:themeColor="text1"/>
          <w:sz w:val="30"/>
          <w:szCs w:val="30"/>
        </w:rPr>
        <w:t>负有管理维护职责的</w:t>
      </w:r>
      <w:r>
        <w:rPr>
          <w:rFonts w:ascii="仿宋_GB2312" w:hAnsi="仿宋" w:eastAsia="仿宋_GB2312"/>
          <w:color w:val="000000" w:themeColor="text1"/>
          <w:sz w:val="30"/>
          <w:szCs w:val="30"/>
        </w:rPr>
        <w:t>各类</w:t>
      </w:r>
      <w:r>
        <w:rPr>
          <w:rFonts w:hint="eastAsia" w:ascii="仿宋_GB2312" w:hAnsi="仿宋" w:eastAsia="仿宋_GB2312"/>
          <w:color w:val="000000" w:themeColor="text1"/>
          <w:sz w:val="30"/>
          <w:szCs w:val="30"/>
        </w:rPr>
        <w:t>市政基础设施和其他公共基础设施的期初数量，其中：账面数是指账面记账的期初数量和金额</w:t>
      </w:r>
      <w:bookmarkStart w:id="10" w:name="_Hlk51752238"/>
      <w:r>
        <w:rPr>
          <w:rFonts w:hint="eastAsia" w:ascii="仿宋_GB2312" w:hAnsi="仿宋" w:eastAsia="仿宋_GB2312"/>
          <w:color w:val="000000" w:themeColor="text1"/>
          <w:sz w:val="30"/>
          <w:szCs w:val="30"/>
        </w:rPr>
        <w:t>（原值、累计折旧</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摊销、净值）</w:t>
      </w:r>
      <w:bookmarkEnd w:id="10"/>
      <w:bookmarkStart w:id="11" w:name="_Hlk51752252"/>
      <w:r>
        <w:rPr>
          <w:rFonts w:hint="eastAsia" w:ascii="仿宋_GB2312" w:hAnsi="仿宋" w:eastAsia="仿宋_GB2312"/>
          <w:color w:val="000000" w:themeColor="text1"/>
          <w:sz w:val="30"/>
          <w:szCs w:val="30"/>
        </w:rPr>
        <w:t>。</w:t>
      </w:r>
      <w:bookmarkEnd w:id="9"/>
      <w:bookmarkEnd w:id="11"/>
    </w:p>
    <w:p w14:paraId="52BEC345">
      <w:pPr>
        <w:snapToGrid w:val="0"/>
        <w:spacing w:line="360" w:lineRule="auto"/>
        <w:ind w:firstLine="600" w:firstLineChars="200"/>
        <w:rPr>
          <w:rFonts w:ascii="仿宋_GB2312" w:hAnsi="仿宋" w:eastAsia="仿宋_GB2312"/>
          <w:color w:val="000000" w:themeColor="text1"/>
          <w:sz w:val="30"/>
          <w:szCs w:val="30"/>
        </w:rPr>
      </w:pPr>
      <w:bookmarkStart w:id="12" w:name="_Hlk51918737"/>
      <w:r>
        <w:rPr>
          <w:rFonts w:hint="eastAsia" w:ascii="仿宋_GB2312" w:hAnsi="仿宋" w:eastAsia="仿宋_GB2312"/>
          <w:color w:val="000000" w:themeColor="text1"/>
          <w:sz w:val="30"/>
          <w:szCs w:val="30"/>
        </w:rPr>
        <w:t>2</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期末数</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反映</w:t>
      </w:r>
      <w:r>
        <w:rPr>
          <w:rFonts w:ascii="仿宋_GB2312" w:hAnsi="仿宋" w:eastAsia="仿宋_GB2312"/>
          <w:color w:val="000000" w:themeColor="text1"/>
          <w:sz w:val="30"/>
          <w:szCs w:val="30"/>
        </w:rPr>
        <w:t>本年度</w:t>
      </w:r>
      <w:r>
        <w:rPr>
          <w:rFonts w:hint="eastAsia" w:ascii="仿宋_GB2312" w:hAnsi="仿宋" w:eastAsia="仿宋_GB2312"/>
          <w:color w:val="000000" w:themeColor="text1"/>
          <w:sz w:val="30"/>
          <w:szCs w:val="30"/>
        </w:rPr>
        <w:t>负有管理维护职责的</w:t>
      </w:r>
      <w:r>
        <w:rPr>
          <w:rFonts w:ascii="仿宋_GB2312" w:hAnsi="仿宋" w:eastAsia="仿宋_GB2312"/>
          <w:color w:val="000000" w:themeColor="text1"/>
          <w:sz w:val="30"/>
          <w:szCs w:val="30"/>
        </w:rPr>
        <w:t>各类</w:t>
      </w:r>
      <w:r>
        <w:rPr>
          <w:rFonts w:hint="eastAsia" w:ascii="仿宋_GB2312" w:hAnsi="仿宋" w:eastAsia="仿宋_GB2312"/>
          <w:color w:val="000000" w:themeColor="text1"/>
          <w:sz w:val="30"/>
          <w:szCs w:val="30"/>
        </w:rPr>
        <w:t>市政基础设施和其他公共基础设施的期末数量，其中：账面数是指账面记账的期末数量和金额（原值、累计折旧</w:t>
      </w:r>
      <w:r>
        <w:rPr>
          <w:rFonts w:ascii="仿宋_GB2312" w:hAnsi="仿宋" w:eastAsia="仿宋_GB2312"/>
          <w:color w:val="000000" w:themeColor="text1"/>
          <w:sz w:val="30"/>
          <w:szCs w:val="30"/>
        </w:rPr>
        <w:t>/</w:t>
      </w:r>
      <w:r>
        <w:rPr>
          <w:rFonts w:hint="eastAsia" w:ascii="仿宋_GB2312" w:hAnsi="仿宋" w:eastAsia="仿宋_GB2312"/>
          <w:color w:val="000000" w:themeColor="text1"/>
          <w:sz w:val="30"/>
          <w:szCs w:val="30"/>
        </w:rPr>
        <w:t>摊销、净值）。</w:t>
      </w:r>
    </w:p>
    <w:bookmarkEnd w:id="12"/>
    <w:p w14:paraId="5352AFF8">
      <w:pPr>
        <w:snapToGrid w:val="0"/>
        <w:spacing w:line="360" w:lineRule="auto"/>
        <w:ind w:firstLine="600" w:firstLineChars="200"/>
        <w:rPr>
          <w:rFonts w:ascii="仿宋_GB2312" w:hAnsi="宋体" w:eastAsia="仿宋_GB2312" w:cs="宋体"/>
          <w:color w:val="000000" w:themeColor="text1"/>
          <w:kern w:val="0"/>
          <w:sz w:val="32"/>
          <w:szCs w:val="32"/>
        </w:rPr>
      </w:pPr>
      <w:r>
        <w:rPr>
          <w:rFonts w:ascii="仿宋_GB2312" w:hAnsi="仿宋" w:eastAsia="仿宋_GB2312"/>
          <w:color w:val="000000" w:themeColor="text1"/>
          <w:sz w:val="30"/>
          <w:szCs w:val="30"/>
        </w:rPr>
        <w:t>3.</w:t>
      </w:r>
      <w:r>
        <w:rPr>
          <w:rFonts w:hint="eastAsia" w:ascii="仿宋_GB2312" w:hAnsi="仿宋" w:eastAsia="仿宋_GB2312"/>
          <w:color w:val="000000" w:themeColor="text1"/>
          <w:sz w:val="30"/>
          <w:szCs w:val="30"/>
        </w:rPr>
        <w:t>人防工程：反映本单位本期已入账的人防工程数量及价值。</w:t>
      </w:r>
    </w:p>
    <w:p w14:paraId="5947E9CA">
      <w:pPr>
        <w:pStyle w:val="2"/>
        <w:ind w:firstLine="600" w:firstLineChars="200"/>
        <w:rPr>
          <w:b/>
          <w:color w:val="000000" w:themeColor="text1"/>
        </w:rPr>
      </w:pPr>
      <w:r>
        <w:rPr>
          <w:rFonts w:hint="eastAsia"/>
          <w:color w:val="000000" w:themeColor="text1"/>
        </w:rPr>
        <w:t>十六、政府储备物资情况表（财资1</w:t>
      </w:r>
      <w:r>
        <w:rPr>
          <w:color w:val="000000" w:themeColor="text1"/>
        </w:rPr>
        <w:t>3</w:t>
      </w:r>
      <w:r>
        <w:rPr>
          <w:rFonts w:hint="eastAsia"/>
          <w:color w:val="000000" w:themeColor="text1"/>
        </w:rPr>
        <w:t>表）</w:t>
      </w:r>
      <w:r>
        <w:rPr>
          <w:color w:val="000000" w:themeColor="text1"/>
        </w:rPr>
        <w:t xml:space="preserve"> </w:t>
      </w:r>
    </w:p>
    <w:p w14:paraId="1747A660">
      <w:pPr>
        <w:adjustRightInd w:val="0"/>
        <w:snapToGrid w:val="0"/>
        <w:spacing w:line="360" w:lineRule="auto"/>
        <w:ind w:firstLine="600" w:firstLineChars="200"/>
        <w:rPr>
          <w:rFonts w:ascii="仿宋_GB2312" w:hAnsi="宋体" w:eastAsia="仿宋_GB2312"/>
          <w:bCs/>
          <w:color w:val="000000" w:themeColor="text1"/>
          <w:sz w:val="30"/>
          <w:szCs w:val="30"/>
        </w:rPr>
      </w:pPr>
      <w:r>
        <w:rPr>
          <w:rFonts w:hint="eastAsia" w:ascii="仿宋_GB2312" w:hAnsi="宋体" w:eastAsia="仿宋_GB2312"/>
          <w:bCs/>
          <w:color w:val="000000" w:themeColor="text1"/>
          <w:sz w:val="30"/>
          <w:szCs w:val="30"/>
        </w:rPr>
        <w:t>本表反映的是执行政府会计准则制度的行政事业单位，政府储备物资的账面期初、期末情况，原则上本表数据由行政事业单位根据本单位财务账填报。</w:t>
      </w:r>
    </w:p>
    <w:p w14:paraId="2D86D4FB">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楷体_GB2312" w:hAnsi="楷体" w:eastAsia="楷体_GB2312"/>
          <w:b/>
          <w:color w:val="000000" w:themeColor="text1"/>
          <w:sz w:val="30"/>
          <w:szCs w:val="30"/>
        </w:rPr>
        <w:t>政府储备物资。</w:t>
      </w:r>
      <w:r>
        <w:rPr>
          <w:rFonts w:hint="eastAsia" w:ascii="仿宋_GB2312" w:hAnsi="宋体" w:eastAsia="仿宋_GB2312"/>
          <w:color w:val="000000" w:themeColor="text1"/>
          <w:sz w:val="30"/>
          <w:szCs w:val="30"/>
        </w:rPr>
        <w:t>是指为满足实施国家安全与发展战略、进行抗灾救灾、应对公共突发事件等特定公共需求而控制的资产，按照国家政府储备资产相关政策填写，主要包括战略及能源物资、抢险抗灾救灾物资、农产品、医药物资等其他重要储备物资，不包括企业受托代储的政府储备物资和商业储备资产（即政府部门对该项储备资产无所有权，仅对其进行贴息等）。</w:t>
      </w:r>
    </w:p>
    <w:p w14:paraId="5C7F0780">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楷体_GB2312" w:hAnsi="黑体" w:eastAsia="楷体_GB2312"/>
          <w:b/>
          <w:bCs/>
          <w:color w:val="000000" w:themeColor="text1"/>
          <w:sz w:val="30"/>
          <w:szCs w:val="30"/>
        </w:rPr>
        <w:t>政府储备物资计价方式。</w:t>
      </w:r>
      <w:r>
        <w:rPr>
          <w:rFonts w:hint="eastAsia" w:ascii="仿宋_GB2312" w:hAnsi="宋体" w:eastAsia="仿宋_GB2312"/>
          <w:color w:val="000000" w:themeColor="text1"/>
          <w:sz w:val="30"/>
          <w:szCs w:val="30"/>
        </w:rPr>
        <w:t>政府储备物资的登记入账核算按照《政府会计制度——行政事业单位会计科目和报表》、《政府会计准则第6号——政府储备物资》的规定执行。政</w:t>
      </w:r>
      <w:r>
        <w:rPr>
          <w:rFonts w:hint="eastAsia" w:ascii="仿宋_GB2312" w:hAnsi="宋体" w:eastAsia="仿宋_GB2312"/>
          <w:bCs/>
          <w:color w:val="000000" w:themeColor="text1"/>
          <w:sz w:val="30"/>
          <w:szCs w:val="30"/>
        </w:rPr>
        <w:t>府储备物资报</w:t>
      </w:r>
      <w:r>
        <w:rPr>
          <w:rFonts w:hint="eastAsia" w:ascii="仿宋_GB2312" w:hAnsi="宋体" w:eastAsia="仿宋_GB2312"/>
          <w:color w:val="000000" w:themeColor="text1"/>
          <w:sz w:val="30"/>
          <w:szCs w:val="30"/>
        </w:rPr>
        <w:t>表原则上按照账面价值进行计价。对于应当确认为政府储备物资，但已确认为存货、固定资产等其他资产的，应当将该资产按其账面价值在政府储备物资报表进行反映。没有账面价值的,按照下列原则确定其初始入账成本：一是可以取得相关原始凭据的，其成本按照有关原始凭据注明的金额确定；二是没有相关凭据可供取得，但按规定经过资产评估的，其成本按照评估价值确定；三是没有相关凭据可供取得、也未经资产评估的，其成本按照重置成本确定。</w:t>
      </w:r>
    </w:p>
    <w:p w14:paraId="73EF5365">
      <w:pPr>
        <w:adjustRightInd w:val="0"/>
        <w:snapToGrid w:val="0"/>
        <w:spacing w:line="360" w:lineRule="auto"/>
        <w:ind w:left="602"/>
        <w:rPr>
          <w:rFonts w:ascii="楷体_GB2312" w:hAnsi="宋体" w:eastAsia="楷体_GB2312"/>
          <w:b/>
          <w:color w:val="000000" w:themeColor="text1"/>
          <w:sz w:val="30"/>
          <w:szCs w:val="30"/>
        </w:rPr>
      </w:pPr>
      <w:r>
        <w:rPr>
          <w:rFonts w:hint="eastAsia" w:ascii="楷体_GB2312" w:hAnsi="宋体" w:eastAsia="楷体_GB2312"/>
          <w:b/>
          <w:color w:val="000000" w:themeColor="text1"/>
          <w:sz w:val="30"/>
          <w:szCs w:val="30"/>
        </w:rPr>
        <w:t>主要指标说明。</w:t>
      </w:r>
    </w:p>
    <w:p w14:paraId="53CFAA73">
      <w:pPr>
        <w:adjustRightInd w:val="0"/>
        <w:snapToGrid w:val="0"/>
        <w:spacing w:line="360" w:lineRule="auto"/>
        <w:ind w:firstLine="753" w:firstLineChars="250"/>
        <w:rPr>
          <w:rFonts w:ascii="仿宋_GB2312" w:hAnsi="宋体" w:eastAsia="仿宋_GB2312"/>
          <w:b/>
          <w:color w:val="000000" w:themeColor="text1"/>
          <w:sz w:val="30"/>
          <w:szCs w:val="30"/>
        </w:rPr>
      </w:pPr>
      <w:r>
        <w:rPr>
          <w:rFonts w:hint="eastAsia" w:ascii="仿宋_GB2312" w:hAnsi="宋体" w:eastAsia="仿宋_GB2312"/>
          <w:b/>
          <w:color w:val="000000" w:themeColor="text1"/>
          <w:sz w:val="30"/>
          <w:szCs w:val="30"/>
        </w:rPr>
        <w:t>1.重要农产品。</w:t>
      </w:r>
    </w:p>
    <w:p w14:paraId="20AB041D">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仿宋_GB2312" w:hAnsi="宋体" w:eastAsia="仿宋_GB2312"/>
          <w:b/>
          <w:color w:val="000000" w:themeColor="text1"/>
          <w:sz w:val="30"/>
          <w:szCs w:val="30"/>
        </w:rPr>
        <w:t>（1）粮食：</w:t>
      </w:r>
      <w:r>
        <w:rPr>
          <w:rFonts w:hint="eastAsia" w:ascii="仿宋_GB2312" w:hAnsi="宋体" w:eastAsia="仿宋_GB2312"/>
          <w:color w:val="000000" w:themeColor="text1"/>
          <w:sz w:val="30"/>
          <w:szCs w:val="30"/>
        </w:rPr>
        <w:t>是指为保证非农业人口的粮食消费需求，调节省内粮食供求平衡、稳定粮食市场价格、应对重大自然灾害或其他突发事件由中央和地方收储的稻米、小麦、玉米、大豆等粮食作物。由各级负责粮食和物资储备管理的部门（单位）填报。</w:t>
      </w:r>
    </w:p>
    <w:p w14:paraId="6DA505CD">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仿宋_GB2312" w:hAnsi="宋体" w:eastAsia="仿宋_GB2312"/>
          <w:b/>
          <w:color w:val="000000" w:themeColor="text1"/>
          <w:sz w:val="30"/>
          <w:szCs w:val="30"/>
        </w:rPr>
        <w:t>（2）棉花：</w:t>
      </w:r>
      <w:r>
        <w:rPr>
          <w:rFonts w:hint="eastAsia" w:ascii="仿宋_GB2312" w:hAnsi="宋体" w:eastAsia="仿宋_GB2312"/>
          <w:color w:val="000000" w:themeColor="text1"/>
          <w:sz w:val="30"/>
          <w:szCs w:val="30"/>
        </w:rPr>
        <w:t>是指国家为有效应对突发公共事件、调控稳定国内棉花市场而建立的储备棉花。由负责棉花储备管理的部门（单位）填报。</w:t>
      </w:r>
    </w:p>
    <w:p w14:paraId="6CBC3195">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仿宋_GB2312" w:hAnsi="宋体" w:eastAsia="仿宋_GB2312"/>
          <w:b/>
          <w:color w:val="000000" w:themeColor="text1"/>
          <w:sz w:val="30"/>
          <w:szCs w:val="30"/>
        </w:rPr>
        <w:t>（3）食糖：</w:t>
      </w:r>
      <w:r>
        <w:rPr>
          <w:rFonts w:hint="eastAsia" w:ascii="仿宋_GB2312" w:hAnsi="宋体" w:eastAsia="仿宋_GB2312"/>
          <w:color w:val="000000" w:themeColor="text1"/>
          <w:sz w:val="30"/>
          <w:szCs w:val="30"/>
        </w:rPr>
        <w:t>是指国家为有效应对突发公共事件、调控稳定国内食糖市场而建立的储备食糖。由负责食糖储备管理的部门（单位）填报。</w:t>
      </w:r>
    </w:p>
    <w:p w14:paraId="0DE343AB">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仿宋_GB2312" w:hAnsi="宋体" w:eastAsia="仿宋_GB2312"/>
          <w:b/>
          <w:color w:val="000000" w:themeColor="text1"/>
          <w:sz w:val="30"/>
          <w:szCs w:val="30"/>
        </w:rPr>
        <w:t>（4）肉类：主要</w:t>
      </w:r>
      <w:r>
        <w:rPr>
          <w:rFonts w:hint="eastAsia" w:ascii="仿宋_GB2312" w:hAnsi="宋体" w:eastAsia="仿宋_GB2312"/>
          <w:color w:val="000000" w:themeColor="text1"/>
          <w:sz w:val="30"/>
          <w:szCs w:val="30"/>
        </w:rPr>
        <w:t>是指国家和各级政府为应对自然灾害和疫情等突发事件引发的市场异常波动和应急调控而建立的猪肉储备，包括基地商品猪、活体储备和冻猪肉。由负责储备猪肉管理的部门（单位）填报。</w:t>
      </w:r>
    </w:p>
    <w:p w14:paraId="08E0C4BA">
      <w:pPr>
        <w:adjustRightInd w:val="0"/>
        <w:snapToGrid w:val="0"/>
        <w:spacing w:line="360" w:lineRule="auto"/>
        <w:ind w:firstLine="602" w:firstLineChars="200"/>
        <w:rPr>
          <w:rFonts w:ascii="仿宋_GB2312" w:hAnsi="宋体" w:eastAsia="仿宋_GB2312"/>
          <w:b/>
          <w:color w:val="000000" w:themeColor="text1"/>
          <w:sz w:val="30"/>
          <w:szCs w:val="30"/>
        </w:rPr>
      </w:pPr>
      <w:r>
        <w:rPr>
          <w:rFonts w:hint="eastAsia" w:ascii="仿宋_GB2312" w:hAnsi="宋体" w:eastAsia="仿宋_GB2312"/>
          <w:b/>
          <w:color w:val="000000" w:themeColor="text1"/>
          <w:sz w:val="30"/>
          <w:szCs w:val="30"/>
        </w:rPr>
        <w:t>（</w:t>
      </w:r>
      <w:r>
        <w:rPr>
          <w:rFonts w:ascii="仿宋_GB2312" w:hAnsi="宋体" w:eastAsia="仿宋_GB2312"/>
          <w:b/>
          <w:color w:val="000000" w:themeColor="text1"/>
          <w:sz w:val="30"/>
          <w:szCs w:val="30"/>
        </w:rPr>
        <w:t>5</w:t>
      </w:r>
      <w:r>
        <w:rPr>
          <w:rFonts w:hint="eastAsia" w:ascii="仿宋_GB2312" w:hAnsi="宋体" w:eastAsia="仿宋_GB2312"/>
          <w:b/>
          <w:color w:val="000000" w:themeColor="text1"/>
          <w:sz w:val="30"/>
          <w:szCs w:val="30"/>
        </w:rPr>
        <w:t>）天然橡胶：</w:t>
      </w:r>
      <w:r>
        <w:rPr>
          <w:rFonts w:hint="eastAsia" w:ascii="仿宋_GB2312" w:hAnsi="宋体" w:eastAsia="仿宋_GB2312"/>
          <w:color w:val="000000" w:themeColor="text1"/>
          <w:sz w:val="30"/>
          <w:szCs w:val="30"/>
        </w:rPr>
        <w:t>是指从含胶植物橡胶树、橡胶藤、橡胶草等提取出来的弹性高分子原材料，包括浓缩天然胶乳和天然生胶两类。该数量指标填报折干胶，折干胶为折合成干胶。由国家粮食和物资储备局和地方各级负责天然橡胶储备的部门（单位）填报。</w:t>
      </w:r>
    </w:p>
    <w:p w14:paraId="6C503E64">
      <w:pPr>
        <w:adjustRightInd w:val="0"/>
        <w:snapToGrid w:val="0"/>
        <w:spacing w:line="360" w:lineRule="auto"/>
        <w:ind w:firstLine="602" w:firstLineChars="200"/>
        <w:rPr>
          <w:rFonts w:ascii="仿宋_GB2312" w:hAnsi="宋体" w:eastAsia="仿宋_GB2312"/>
          <w:b/>
          <w:color w:val="000000" w:themeColor="text1"/>
          <w:sz w:val="30"/>
          <w:szCs w:val="30"/>
        </w:rPr>
      </w:pPr>
      <w:r>
        <w:rPr>
          <w:rFonts w:hint="eastAsia" w:ascii="仿宋_GB2312" w:hAnsi="宋体" w:eastAsia="仿宋_GB2312"/>
          <w:b/>
          <w:color w:val="000000" w:themeColor="text1"/>
          <w:sz w:val="30"/>
          <w:szCs w:val="30"/>
        </w:rPr>
        <w:t>2.重要能源物资。</w:t>
      </w:r>
    </w:p>
    <w:p w14:paraId="2BDE0D9B">
      <w:pPr>
        <w:adjustRightInd w:val="0"/>
        <w:snapToGrid w:val="0"/>
        <w:spacing w:line="360" w:lineRule="auto"/>
        <w:ind w:firstLine="600" w:firstLineChars="200"/>
        <w:rPr>
          <w:rFonts w:ascii="仿宋_GB2312" w:hAnsi="宋体" w:eastAsia="仿宋_GB2312"/>
          <w:bCs/>
          <w:color w:val="000000" w:themeColor="text1"/>
          <w:sz w:val="30"/>
          <w:szCs w:val="30"/>
        </w:rPr>
      </w:pPr>
      <w:r>
        <w:rPr>
          <w:rFonts w:hint="eastAsia" w:ascii="仿宋_GB2312" w:hAnsi="宋体" w:eastAsia="仿宋_GB2312"/>
          <w:bCs/>
          <w:color w:val="000000" w:themeColor="text1"/>
          <w:sz w:val="30"/>
          <w:szCs w:val="30"/>
        </w:rPr>
        <w:t>由国家粮食和物资储备局和其他负责重要能源物资储备的部门（单位）填报。</w:t>
      </w:r>
    </w:p>
    <w:p w14:paraId="78562893">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仿宋_GB2312" w:hAnsi="宋体" w:eastAsia="仿宋_GB2312"/>
          <w:b/>
          <w:color w:val="000000" w:themeColor="text1"/>
          <w:sz w:val="30"/>
          <w:szCs w:val="30"/>
        </w:rPr>
        <w:t>3.关键矿产品和原材料储备</w:t>
      </w:r>
    </w:p>
    <w:p w14:paraId="63719D17">
      <w:pPr>
        <w:adjustRightInd w:val="0"/>
        <w:snapToGrid w:val="0"/>
        <w:spacing w:line="360" w:lineRule="auto"/>
        <w:ind w:firstLine="600" w:firstLineChars="200"/>
        <w:rPr>
          <w:rFonts w:ascii="仿宋_GB2312" w:hAnsi="宋体" w:eastAsia="仿宋_GB2312"/>
          <w:color w:val="000000" w:themeColor="text1"/>
          <w:sz w:val="30"/>
          <w:szCs w:val="30"/>
        </w:rPr>
      </w:pPr>
      <w:r>
        <w:rPr>
          <w:rFonts w:hint="eastAsia" w:ascii="仿宋_GB2312" w:hAnsi="宋体" w:eastAsia="仿宋_GB2312"/>
          <w:color w:val="000000" w:themeColor="text1"/>
          <w:sz w:val="30"/>
          <w:szCs w:val="30"/>
        </w:rPr>
        <w:t>由国家粮食和物资储备局负责填报，其他部门（单位）不填报。</w:t>
      </w:r>
    </w:p>
    <w:p w14:paraId="41716106">
      <w:pPr>
        <w:adjustRightInd w:val="0"/>
        <w:snapToGrid w:val="0"/>
        <w:spacing w:line="360" w:lineRule="auto"/>
        <w:ind w:firstLine="602" w:firstLineChars="200"/>
        <w:rPr>
          <w:rFonts w:ascii="仿宋_GB2312" w:hAnsi="宋体" w:eastAsia="仿宋_GB2312"/>
          <w:b/>
          <w:color w:val="000000" w:themeColor="text1"/>
          <w:sz w:val="30"/>
          <w:szCs w:val="30"/>
        </w:rPr>
      </w:pPr>
      <w:r>
        <w:rPr>
          <w:rFonts w:hint="eastAsia" w:ascii="仿宋_GB2312" w:hAnsi="宋体" w:eastAsia="仿宋_GB2312"/>
          <w:b/>
          <w:color w:val="000000" w:themeColor="text1"/>
          <w:sz w:val="30"/>
          <w:szCs w:val="30"/>
        </w:rPr>
        <w:t>4.应急物资。</w:t>
      </w:r>
    </w:p>
    <w:p w14:paraId="4B98478B">
      <w:pPr>
        <w:adjustRightInd w:val="0"/>
        <w:snapToGrid w:val="0"/>
        <w:spacing w:line="360" w:lineRule="auto"/>
        <w:ind w:firstLine="590" w:firstLineChars="196"/>
        <w:rPr>
          <w:rFonts w:ascii="仿宋_GB2312" w:hAnsi="宋体" w:eastAsia="仿宋_GB2312"/>
          <w:color w:val="000000" w:themeColor="text1"/>
          <w:sz w:val="30"/>
          <w:szCs w:val="30"/>
        </w:rPr>
      </w:pPr>
      <w:r>
        <w:rPr>
          <w:rFonts w:hint="eastAsia" w:ascii="仿宋_GB2312" w:hAnsi="宋体" w:eastAsia="仿宋_GB2312"/>
          <w:b/>
          <w:color w:val="000000" w:themeColor="text1"/>
          <w:sz w:val="30"/>
          <w:szCs w:val="30"/>
        </w:rPr>
        <w:t>（1）救灾物资</w:t>
      </w:r>
      <w:r>
        <w:rPr>
          <w:rFonts w:hint="eastAsia" w:ascii="仿宋_GB2312" w:hAnsi="宋体" w:eastAsia="仿宋_GB2312"/>
          <w:color w:val="000000" w:themeColor="text1"/>
          <w:sz w:val="30"/>
          <w:szCs w:val="30"/>
        </w:rPr>
        <w:t>：是指</w:t>
      </w:r>
      <w:r>
        <w:rPr>
          <w:rFonts w:hint="eastAsia" w:ascii="仿宋_GB2312" w:hAnsi="Arial" w:eastAsia="仿宋_GB2312" w:cs="Arial"/>
          <w:color w:val="000000" w:themeColor="text1"/>
          <w:sz w:val="30"/>
          <w:szCs w:val="30"/>
          <w:shd w:val="clear" w:color="auto" w:fill="FFFFFF"/>
        </w:rPr>
        <w:t>专项用于紧急抢救转移安置灾民和安排灾民生活的各类物资。</w:t>
      </w:r>
      <w:r>
        <w:rPr>
          <w:rFonts w:hint="eastAsia" w:ascii="仿宋_GB2312" w:hAnsi="宋体" w:eastAsia="仿宋_GB2312"/>
          <w:color w:val="000000" w:themeColor="text1"/>
          <w:sz w:val="30"/>
          <w:szCs w:val="30"/>
        </w:rPr>
        <w:t>由国家粮食和物资储备局和各级负责应急物资管理的部门填报。</w:t>
      </w:r>
    </w:p>
    <w:p w14:paraId="5C89A568">
      <w:pPr>
        <w:adjustRightInd w:val="0"/>
        <w:snapToGrid w:val="0"/>
        <w:spacing w:line="360" w:lineRule="auto"/>
        <w:ind w:firstLine="602" w:firstLineChars="200"/>
        <w:rPr>
          <w:rFonts w:ascii="仿宋_GB2312" w:hAnsi="宋体" w:eastAsia="仿宋_GB2312"/>
          <w:color w:val="000000" w:themeColor="text1"/>
          <w:sz w:val="30"/>
          <w:szCs w:val="30"/>
        </w:rPr>
      </w:pPr>
      <w:r>
        <w:rPr>
          <w:rFonts w:hint="eastAsia" w:ascii="仿宋_GB2312" w:hAnsi="宋体" w:eastAsia="仿宋_GB2312"/>
          <w:b/>
          <w:color w:val="000000" w:themeColor="text1"/>
          <w:sz w:val="30"/>
          <w:szCs w:val="30"/>
        </w:rPr>
        <w:t>（2）防汛抗旱物资</w:t>
      </w:r>
      <w:r>
        <w:rPr>
          <w:rFonts w:hint="eastAsia" w:ascii="仿宋_GB2312" w:hAnsi="宋体" w:eastAsia="仿宋_GB2312"/>
          <w:color w:val="000000" w:themeColor="text1"/>
          <w:sz w:val="30"/>
          <w:szCs w:val="30"/>
        </w:rPr>
        <w:t>：是指各部门（单位）负责购置、储备和管理，用于支持遭受严重洪涝干旱灾害地区开展防汛抢险、抗旱减灾、救助受洪灾旱灾威胁群众应急需要的各类物资。由国家粮食和物资储备局和各级负责应急物资管理的部门填报。</w:t>
      </w:r>
    </w:p>
    <w:p w14:paraId="3F79019C">
      <w:pPr>
        <w:adjustRightInd w:val="0"/>
        <w:snapToGrid w:val="0"/>
        <w:spacing w:line="360" w:lineRule="auto"/>
        <w:ind w:firstLine="602" w:firstLineChars="200"/>
        <w:rPr>
          <w:rFonts w:ascii="仿宋_GB2312" w:hAnsi="宋体" w:eastAsia="仿宋_GB2312"/>
          <w:b/>
          <w:color w:val="000000" w:themeColor="text1"/>
          <w:sz w:val="30"/>
          <w:szCs w:val="30"/>
        </w:rPr>
      </w:pPr>
      <w:r>
        <w:rPr>
          <w:rFonts w:hint="eastAsia" w:ascii="仿宋_GB2312" w:hAnsi="宋体" w:eastAsia="仿宋_GB2312"/>
          <w:b/>
          <w:color w:val="000000" w:themeColor="text1"/>
          <w:sz w:val="30"/>
          <w:szCs w:val="30"/>
        </w:rPr>
        <w:t>（</w:t>
      </w:r>
      <w:r>
        <w:rPr>
          <w:rFonts w:ascii="仿宋_GB2312" w:hAnsi="宋体" w:eastAsia="仿宋_GB2312"/>
          <w:b/>
          <w:color w:val="000000" w:themeColor="text1"/>
          <w:sz w:val="30"/>
          <w:szCs w:val="30"/>
        </w:rPr>
        <w:t>3</w:t>
      </w:r>
      <w:r>
        <w:rPr>
          <w:rFonts w:hint="eastAsia" w:ascii="仿宋_GB2312" w:hAnsi="宋体" w:eastAsia="仿宋_GB2312"/>
          <w:b/>
          <w:color w:val="000000" w:themeColor="text1"/>
          <w:sz w:val="30"/>
          <w:szCs w:val="30"/>
        </w:rPr>
        <w:t>）医药：</w:t>
      </w:r>
      <w:r>
        <w:rPr>
          <w:rFonts w:hint="eastAsia" w:ascii="仿宋_GB2312" w:hAnsi="宋体" w:eastAsia="仿宋_GB2312"/>
          <w:color w:val="000000" w:themeColor="text1"/>
          <w:sz w:val="30"/>
          <w:szCs w:val="30"/>
        </w:rPr>
        <w:t>各部门（单位）和地方储备的医药，包括用于灾情、常见病、多发病防治所需的药品和医疗器械。由负责医药储备管理的部门（单位）填报。</w:t>
      </w:r>
    </w:p>
    <w:p w14:paraId="5C75F558">
      <w:pPr>
        <w:snapToGrid w:val="0"/>
        <w:spacing w:line="360" w:lineRule="auto"/>
        <w:ind w:firstLine="602" w:firstLineChars="200"/>
        <w:rPr>
          <w:rFonts w:ascii="仿宋_GB2312" w:hAnsi="仿宋" w:eastAsia="仿宋_GB2312"/>
          <w:b/>
          <w:color w:val="000000" w:themeColor="text1"/>
          <w:spacing w:val="6"/>
          <w:sz w:val="30"/>
          <w:szCs w:val="30"/>
        </w:rPr>
      </w:pPr>
      <w:r>
        <w:rPr>
          <w:rFonts w:hint="eastAsia" w:ascii="仿宋_GB2312" w:hAnsi="宋体" w:eastAsia="仿宋_GB2312"/>
          <w:b/>
          <w:color w:val="000000" w:themeColor="text1"/>
          <w:sz w:val="30"/>
          <w:szCs w:val="30"/>
        </w:rPr>
        <w:t>5.其他</w:t>
      </w:r>
      <w:r>
        <w:rPr>
          <w:rFonts w:hint="eastAsia" w:ascii="仿宋_GB2312" w:hAnsi="宋体" w:eastAsia="仿宋_GB2312"/>
          <w:color w:val="000000" w:themeColor="text1"/>
          <w:sz w:val="30"/>
          <w:szCs w:val="30"/>
        </w:rPr>
        <w:t>：是指除上述物资以外的专项储备物资。</w:t>
      </w:r>
    </w:p>
    <w:p w14:paraId="3A799098">
      <w:pPr>
        <w:pStyle w:val="2"/>
        <w:ind w:firstLine="600" w:firstLineChars="200"/>
        <w:rPr>
          <w:b/>
          <w:color w:val="000000" w:themeColor="text1"/>
        </w:rPr>
      </w:pPr>
      <w:r>
        <w:rPr>
          <w:rFonts w:hint="eastAsia"/>
          <w:color w:val="000000" w:themeColor="text1"/>
        </w:rPr>
        <w:t>十七、文物文化资产情况表（财资1</w:t>
      </w:r>
      <w:r>
        <w:rPr>
          <w:color w:val="000000" w:themeColor="text1"/>
        </w:rPr>
        <w:t>4</w:t>
      </w:r>
      <w:r>
        <w:rPr>
          <w:rFonts w:hint="eastAsia"/>
          <w:color w:val="000000" w:themeColor="text1"/>
        </w:rPr>
        <w:t>表）</w:t>
      </w:r>
    </w:p>
    <w:p w14:paraId="749226DF">
      <w:pPr>
        <w:spacing w:line="360" w:lineRule="auto"/>
        <w:ind w:firstLine="599" w:firstLineChars="192"/>
        <w:rPr>
          <w:rFonts w:ascii="仿宋_GB2312" w:hAnsi="仿宋" w:eastAsia="仿宋_GB2312"/>
          <w:color w:val="000000" w:themeColor="text1"/>
          <w:spacing w:val="6"/>
          <w:sz w:val="30"/>
          <w:szCs w:val="30"/>
        </w:rPr>
      </w:pPr>
      <w:r>
        <w:rPr>
          <w:rFonts w:hint="eastAsia" w:ascii="仿宋_GB2312" w:hAnsi="仿宋" w:eastAsia="仿宋_GB2312"/>
          <w:color w:val="000000" w:themeColor="text1"/>
          <w:spacing w:val="6"/>
          <w:sz w:val="30"/>
          <w:szCs w:val="30"/>
        </w:rPr>
        <w:t>本表反映收藏、保管国有文物的行政事业单位为满足社会公共需求而控制的文物文化资产情况。单位根据文物文化资产情况手工填列。</w:t>
      </w:r>
    </w:p>
    <w:p w14:paraId="709C8501">
      <w:pPr>
        <w:spacing w:line="360" w:lineRule="auto"/>
        <w:ind w:firstLine="599" w:firstLineChars="192"/>
        <w:rPr>
          <w:rFonts w:ascii="仿宋_GB2312" w:hAnsi="仿宋" w:eastAsia="仿宋_GB2312"/>
          <w:color w:val="000000" w:themeColor="text1"/>
          <w:spacing w:val="6"/>
          <w:sz w:val="30"/>
          <w:szCs w:val="30"/>
        </w:rPr>
      </w:pPr>
      <w:r>
        <w:rPr>
          <w:rFonts w:hint="eastAsia" w:ascii="仿宋_GB2312" w:hAnsi="仿宋" w:eastAsia="仿宋_GB2312"/>
          <w:color w:val="000000" w:themeColor="text1"/>
          <w:spacing w:val="6"/>
          <w:sz w:val="30"/>
          <w:szCs w:val="30"/>
        </w:rPr>
        <w:t>文物文化资产的登记入账核算按照《政府会计制度-行政事业单位会计科目和报表》中“文物文化资产”的规定执行。数量中，“账面数”中填列已入账数量，“备查簿”中填列成本无法可靠取得，在备查簿中登记数量。同时，“价值”按照财务账价值填列。</w:t>
      </w:r>
    </w:p>
    <w:p w14:paraId="4824EC51">
      <w:pPr>
        <w:spacing w:line="360" w:lineRule="auto"/>
        <w:ind w:firstLine="576" w:firstLineChars="192"/>
        <w:rPr>
          <w:rFonts w:ascii="仿宋_GB2312" w:hAnsi="仿宋" w:eastAsia="仿宋_GB2312"/>
          <w:color w:val="000000" w:themeColor="text1"/>
          <w:sz w:val="30"/>
          <w:szCs w:val="30"/>
        </w:rPr>
      </w:pPr>
      <w:r>
        <w:rPr>
          <w:rFonts w:hint="eastAsia" w:ascii="仿宋_GB2312" w:eastAsia="仿宋_GB2312"/>
          <w:color w:val="000000" w:themeColor="text1"/>
          <w:sz w:val="30"/>
          <w:szCs w:val="30"/>
        </w:rPr>
        <w:t>主要指标说明：</w:t>
      </w:r>
    </w:p>
    <w:p w14:paraId="1737DD28">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不可移动文物。《中华人民共和国文物保护法》规定，古文化遗址、古墓葬、古建筑、石窟寺、石刻、壁画、近代现代重要史迹和代表性建筑等不可移动文物，根据它们的历史、艺术和科学价值，可以分别确定为全国重点文物保护单位，省级文物保护单位，市县级文物保护单位。其中：</w:t>
      </w:r>
    </w:p>
    <w:p w14:paraId="47F64192">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全国重点文物保护单位是由国务院文物行政部门在省级、市、县级文物保护单位中选择具有重大历史、艺术、科学价值的文物保护单位，报国务院核定公布。</w:t>
      </w:r>
    </w:p>
    <w:p w14:paraId="30C0F9A1">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省级文物保护单位，由省、自治区、直辖市人民政府核定公布，并报国务院备案。</w:t>
      </w:r>
    </w:p>
    <w:p w14:paraId="30245105">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市县级文物保护单位，分别由设区的市、自治州和县级人民政府核定公布，并报省、自治区、直辖市人民政府备案。</w:t>
      </w:r>
    </w:p>
    <w:p w14:paraId="12CA52D7">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尚未核定公布为文物保护单位的不可移动文物，由县级人民政府文物行政部门予以登记并公布。</w:t>
      </w:r>
    </w:p>
    <w:p w14:paraId="497CE500">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2.可移动文物。历史上各时代重要实物、艺术品、文献、手稿、图书资料、代表性实物等可移动文物，分为珍贵文物、一般文物和未定级文物。珍贵文物分为一级文物、二级文物、三级文物。</w:t>
      </w:r>
    </w:p>
    <w:p w14:paraId="2346E253">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3.其他文物文化资产。是指除不可移动文物、可移动文物以外的其他文物文化资产。</w:t>
      </w:r>
    </w:p>
    <w:p w14:paraId="4BFFDCF8">
      <w:pPr>
        <w:pStyle w:val="2"/>
        <w:ind w:firstLine="600" w:firstLineChars="200"/>
        <w:rPr>
          <w:b/>
          <w:color w:val="000000" w:themeColor="text1"/>
        </w:rPr>
      </w:pPr>
      <w:r>
        <w:rPr>
          <w:rFonts w:hint="eastAsia"/>
          <w:color w:val="000000" w:themeColor="text1"/>
        </w:rPr>
        <w:t>十八、保障性住房（财资15表）</w:t>
      </w:r>
    </w:p>
    <w:p w14:paraId="6676C4C2">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公租房的登记入账核算按照《政府会计制度-行政事业单位会计科目和报表》中“公租房”的规定执行。有账面价值的资产,按照账面价值进行计价。没有价值的可以按照历史成本、重置成本、公允价值等方法进行计价。住房和城乡建设相关单位根据保障性住房资产情况手工填列。</w:t>
      </w:r>
    </w:p>
    <w:p w14:paraId="08AAA0A7">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主要指标</w:t>
      </w:r>
      <w:r>
        <w:rPr>
          <w:rFonts w:ascii="仿宋_GB2312" w:hAnsi="仿宋" w:eastAsia="仿宋_GB2312"/>
          <w:color w:val="000000" w:themeColor="text1"/>
          <w:sz w:val="30"/>
          <w:szCs w:val="30"/>
        </w:rPr>
        <w:t>说明：</w:t>
      </w:r>
    </w:p>
    <w:p w14:paraId="3C66DE28">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1.公租房：是指限定建设标准和租金水平，面向符合规定条件的城镇中等偏下收入住房困难家庭、新就业无房职工和在城镇稳定就业的外来务工人员出租的房屋。公租房可由政府投资，也可以由政府提供政策支持、社会力量投资。根据住房城乡建设部、财政部、国家发展改革委联合印发的《关于公共租赁住房和廉租房并轨运行的通知》（建保〔2013〕178号）规定，从2014年起各地公租房和廉租房并轨运行，统称为公租房。</w:t>
      </w:r>
    </w:p>
    <w:p w14:paraId="71A05B72">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2.经济适用房：是指政府提供政策优惠，限定套型面积和销售价格，按照合理标准建设，面向城市低收入住房困难家庭供应，政府持有的（含共有产权）具有保障性质的政策性住房。购房人拥有有限产权，购房满5年可转让，但应按照规定交纳土地收益等价款，政府具有优先回购权。</w:t>
      </w:r>
    </w:p>
    <w:p w14:paraId="556B702E">
      <w:pPr>
        <w:snapToGrid w:val="0"/>
        <w:spacing w:line="360" w:lineRule="auto"/>
        <w:ind w:firstLine="600" w:firstLineChars="200"/>
        <w:rPr>
          <w:rFonts w:ascii="仿宋_GB2312" w:hAnsi="仿宋" w:eastAsia="仿宋_GB2312"/>
          <w:color w:val="000000" w:themeColor="text1"/>
          <w:sz w:val="30"/>
          <w:szCs w:val="30"/>
        </w:rPr>
      </w:pPr>
      <w:r>
        <w:rPr>
          <w:rFonts w:hint="eastAsia" w:ascii="仿宋_GB2312" w:hAnsi="仿宋" w:eastAsia="仿宋_GB2312"/>
          <w:color w:val="000000" w:themeColor="text1"/>
          <w:sz w:val="30"/>
          <w:szCs w:val="30"/>
        </w:rPr>
        <w:t>本次填报不涉及“限价商品房”、“棚改安置住房”。</w:t>
      </w:r>
    </w:p>
    <w:p w14:paraId="5666B3FF">
      <w:pPr>
        <w:pStyle w:val="2"/>
        <w:ind w:firstLine="600" w:firstLineChars="200"/>
        <w:rPr>
          <w:color w:val="000000" w:themeColor="text1"/>
        </w:rPr>
      </w:pPr>
      <w:r>
        <w:rPr>
          <w:rFonts w:hint="eastAsia"/>
          <w:color w:val="000000" w:themeColor="text1"/>
        </w:rPr>
        <w:t>十九、PPP项目资产情况表（财资1</w:t>
      </w:r>
      <w:r>
        <w:rPr>
          <w:color w:val="000000" w:themeColor="text1"/>
        </w:rPr>
        <w:t>6</w:t>
      </w:r>
      <w:r>
        <w:rPr>
          <w:rFonts w:hint="eastAsia"/>
          <w:color w:val="000000" w:themeColor="text1"/>
        </w:rPr>
        <w:t>表）</w:t>
      </w:r>
    </w:p>
    <w:p w14:paraId="76F27264">
      <w:pPr>
        <w:adjustRightInd w:val="0"/>
        <w:snapToGrid w:val="0"/>
        <w:spacing w:line="360" w:lineRule="auto"/>
        <w:ind w:firstLine="600" w:firstLineChars="200"/>
        <w:rPr>
          <w:rFonts w:ascii="仿宋_GB2312" w:hAnsi="宋体" w:eastAsia="仿宋_GB2312"/>
          <w:bCs/>
          <w:color w:val="000000" w:themeColor="text1"/>
          <w:sz w:val="30"/>
          <w:szCs w:val="30"/>
        </w:rPr>
      </w:pPr>
      <w:r>
        <w:rPr>
          <w:rFonts w:hint="eastAsia" w:ascii="仿宋_GB2312" w:hAnsi="宋体" w:eastAsia="仿宋_GB2312"/>
          <w:bCs/>
          <w:color w:val="000000" w:themeColor="text1"/>
          <w:sz w:val="30"/>
          <w:szCs w:val="30"/>
        </w:rPr>
        <w:t>本表填列适用于《政府会计准则第10号——政府和社会资本合作项目合同》及其应用指南的</w:t>
      </w:r>
      <w:r>
        <w:rPr>
          <w:rFonts w:ascii="仿宋_GB2312" w:hAnsi="宋体" w:eastAsia="仿宋_GB2312"/>
          <w:bCs/>
          <w:color w:val="000000" w:themeColor="text1"/>
          <w:sz w:val="30"/>
          <w:szCs w:val="30"/>
        </w:rPr>
        <w:t>PPP</w:t>
      </w:r>
      <w:r>
        <w:rPr>
          <w:rFonts w:hint="eastAsia" w:ascii="仿宋_GB2312" w:hAnsi="宋体" w:eastAsia="仿宋_GB2312"/>
          <w:bCs/>
          <w:color w:val="000000" w:themeColor="text1"/>
          <w:sz w:val="30"/>
          <w:szCs w:val="30"/>
        </w:rPr>
        <w:t>项目资产。反映P</w:t>
      </w:r>
      <w:r>
        <w:rPr>
          <w:rFonts w:ascii="仿宋_GB2312" w:hAnsi="宋体" w:eastAsia="仿宋_GB2312"/>
          <w:bCs/>
          <w:color w:val="000000" w:themeColor="text1"/>
          <w:sz w:val="30"/>
          <w:szCs w:val="30"/>
        </w:rPr>
        <w:t>PP</w:t>
      </w:r>
      <w:r>
        <w:rPr>
          <w:rFonts w:hint="eastAsia" w:ascii="仿宋_GB2312" w:hAnsi="宋体" w:eastAsia="仿宋_GB2312"/>
          <w:bCs/>
          <w:color w:val="000000" w:themeColor="text1"/>
          <w:sz w:val="30"/>
          <w:szCs w:val="30"/>
        </w:rPr>
        <w:t>项目资产情况的账面期初、期末情况，原则上本表数据由行政事业单位根据本单位财务账填报。</w:t>
      </w:r>
    </w:p>
    <w:p w14:paraId="31CC49BD">
      <w:pPr>
        <w:adjustRightInd w:val="0"/>
        <w:snapToGrid w:val="0"/>
        <w:spacing w:line="360" w:lineRule="auto"/>
        <w:ind w:firstLine="600" w:firstLineChars="200"/>
        <w:rPr>
          <w:rFonts w:ascii="仿宋_GB2312" w:hAnsi="宋体" w:eastAsia="仿宋_GB2312"/>
          <w:bCs/>
          <w:color w:val="000000" w:themeColor="text1"/>
          <w:sz w:val="30"/>
          <w:szCs w:val="30"/>
        </w:rPr>
      </w:pPr>
      <w:r>
        <w:rPr>
          <w:rFonts w:hint="eastAsia" w:ascii="仿宋_GB2312" w:hAnsi="宋体" w:eastAsia="仿宋_GB2312"/>
          <w:bCs/>
          <w:color w:val="000000" w:themeColor="text1"/>
          <w:sz w:val="30"/>
          <w:szCs w:val="30"/>
        </w:rPr>
        <w:t>在国务院财政部门对</w:t>
      </w:r>
      <w:r>
        <w:rPr>
          <w:rFonts w:ascii="仿宋_GB2312" w:hAnsi="宋体" w:eastAsia="仿宋_GB2312"/>
          <w:bCs/>
          <w:color w:val="000000" w:themeColor="text1"/>
          <w:sz w:val="30"/>
          <w:szCs w:val="30"/>
        </w:rPr>
        <w:t>PPP</w:t>
      </w:r>
      <w:r>
        <w:rPr>
          <w:rFonts w:hint="eastAsia" w:ascii="仿宋_GB2312" w:hAnsi="宋体" w:eastAsia="仿宋_GB2312"/>
          <w:bCs/>
          <w:color w:val="000000" w:themeColor="text1"/>
          <w:sz w:val="30"/>
          <w:szCs w:val="30"/>
        </w:rPr>
        <w:t>项目资产折旧（摊销）年限作出规定之前，政府方在首次入账时不考虑补提折旧（摊销），初始入账后也暂不计提折旧（摊销）。在协议中含有提前锁定、固化政府支出责任等兜底条款的，政府方应按照《政府会计准则第</w:t>
      </w:r>
      <w:r>
        <w:rPr>
          <w:rFonts w:ascii="仿宋_GB2312" w:hAnsi="宋体" w:eastAsia="仿宋_GB2312"/>
          <w:bCs/>
          <w:color w:val="000000" w:themeColor="text1"/>
          <w:sz w:val="30"/>
          <w:szCs w:val="30"/>
        </w:rPr>
        <w:t>5</w:t>
      </w:r>
      <w:r>
        <w:rPr>
          <w:rFonts w:hint="eastAsia" w:ascii="仿宋_GB2312" w:hAnsi="宋体" w:eastAsia="仿宋_GB2312"/>
          <w:bCs/>
          <w:color w:val="000000" w:themeColor="text1"/>
          <w:sz w:val="30"/>
          <w:szCs w:val="30"/>
        </w:rPr>
        <w:t>号</w:t>
      </w:r>
      <w:r>
        <w:rPr>
          <w:rFonts w:ascii="仿宋_GB2312" w:hAnsi="宋体" w:eastAsia="仿宋_GB2312"/>
          <w:bCs/>
          <w:color w:val="000000" w:themeColor="text1"/>
          <w:sz w:val="30"/>
          <w:szCs w:val="30"/>
        </w:rPr>
        <w:t>-</w:t>
      </w:r>
      <w:r>
        <w:rPr>
          <w:rFonts w:hint="eastAsia" w:ascii="仿宋_GB2312" w:hAnsi="宋体" w:eastAsia="仿宋_GB2312"/>
          <w:bCs/>
          <w:color w:val="000000" w:themeColor="text1"/>
          <w:sz w:val="30"/>
          <w:szCs w:val="30"/>
        </w:rPr>
        <w:t>公共基础设施》等规定，对政府方控制的公共基础设施进行会计处理。因此，该项目资产应相应填报公共基础设施表等报表。</w:t>
      </w:r>
    </w:p>
    <w:p w14:paraId="6A6E24B4">
      <w:pPr>
        <w:snapToGrid w:val="0"/>
        <w:spacing w:line="360" w:lineRule="auto"/>
        <w:ind w:firstLine="602" w:firstLineChars="200"/>
        <w:rPr>
          <w:rFonts w:ascii="仿宋_GB2312" w:hAnsi="仿宋" w:eastAsia="仿宋_GB2312"/>
          <w:b/>
          <w:bCs/>
          <w:color w:val="000000" w:themeColor="text1"/>
          <w:sz w:val="30"/>
          <w:szCs w:val="30"/>
        </w:rPr>
      </w:pPr>
      <w:r>
        <w:rPr>
          <w:rFonts w:hint="eastAsia" w:ascii="仿宋_GB2312" w:hAnsi="仿宋" w:eastAsia="仿宋_GB2312"/>
          <w:b/>
          <w:bCs/>
          <w:color w:val="000000" w:themeColor="text1"/>
          <w:sz w:val="30"/>
          <w:szCs w:val="30"/>
        </w:rPr>
        <w:t>主要指标</w:t>
      </w:r>
      <w:r>
        <w:rPr>
          <w:rFonts w:ascii="仿宋_GB2312" w:hAnsi="仿宋" w:eastAsia="仿宋_GB2312"/>
          <w:b/>
          <w:bCs/>
          <w:color w:val="000000" w:themeColor="text1"/>
          <w:sz w:val="30"/>
          <w:szCs w:val="30"/>
        </w:rPr>
        <w:t>说明：</w:t>
      </w:r>
    </w:p>
    <w:p w14:paraId="6F08CE93">
      <w:pPr>
        <w:adjustRightInd w:val="0"/>
        <w:snapToGrid w:val="0"/>
        <w:spacing w:line="360" w:lineRule="auto"/>
        <w:ind w:firstLine="600" w:firstLineChars="200"/>
        <w:rPr>
          <w:rFonts w:hAnsi="仿宋"/>
          <w:sz w:val="30"/>
          <w:szCs w:val="30"/>
        </w:rPr>
      </w:pPr>
      <w:r>
        <w:rPr>
          <w:rFonts w:hint="eastAsia" w:ascii="仿宋_GB2312" w:hAnsi="宋体" w:eastAsia="仿宋_GB2312"/>
          <w:bCs/>
          <w:color w:val="000000" w:themeColor="text1"/>
          <w:sz w:val="30"/>
          <w:szCs w:val="30"/>
        </w:rPr>
        <w:t>项目名称：填写P</w:t>
      </w:r>
      <w:r>
        <w:rPr>
          <w:rFonts w:ascii="仿宋_GB2312" w:hAnsi="宋体" w:eastAsia="仿宋_GB2312"/>
          <w:bCs/>
          <w:color w:val="000000" w:themeColor="text1"/>
          <w:sz w:val="30"/>
          <w:szCs w:val="30"/>
        </w:rPr>
        <w:t>PP</w:t>
      </w:r>
      <w:r>
        <w:rPr>
          <w:rFonts w:hint="eastAsia" w:ascii="仿宋_GB2312" w:hAnsi="宋体" w:eastAsia="仿宋_GB2312"/>
          <w:bCs/>
          <w:color w:val="000000" w:themeColor="text1"/>
          <w:sz w:val="30"/>
          <w:szCs w:val="30"/>
        </w:rPr>
        <w:t>项目的全称。</w:t>
      </w:r>
    </w:p>
    <w:p w14:paraId="69E3085A">
      <w:pPr>
        <w:adjustRightInd w:val="0"/>
        <w:snapToGrid w:val="0"/>
        <w:spacing w:line="360" w:lineRule="auto"/>
        <w:ind w:firstLine="600" w:firstLineChars="200"/>
        <w:rPr>
          <w:rFonts w:ascii="仿宋_GB2312" w:hAnsi="宋体" w:eastAsia="仿宋_GB2312"/>
          <w:bCs/>
          <w:color w:val="000000" w:themeColor="text1"/>
          <w:sz w:val="30"/>
          <w:szCs w:val="30"/>
        </w:rPr>
      </w:pPr>
    </w:p>
    <w:sectPr>
      <w:footerReference r:id="rId3" w:type="default"/>
      <w:footerReference r:id="rId4" w:type="even"/>
      <w:pgSz w:w="11906" w:h="16838"/>
      <w:pgMar w:top="1440" w:right="1797" w:bottom="1440" w:left="179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49DE">
    <w:pPr>
      <w:pStyle w:val="8"/>
      <w:jc w:val="center"/>
      <w:rPr>
        <w:rFonts w:ascii="宋体" w:hAnsi="宋体"/>
        <w:sz w:val="21"/>
      </w:rPr>
    </w:pPr>
    <w:r>
      <w:fldChar w:fldCharType="begin"/>
    </w:r>
    <w:r>
      <w:rPr>
        <w:rStyle w:val="14"/>
      </w:rPr>
      <w:instrText xml:space="preserve"> PAGE </w:instrText>
    </w:r>
    <w:r>
      <w:fldChar w:fldCharType="separate"/>
    </w:r>
    <w:r>
      <w:rPr>
        <w:rStyle w:val="14"/>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3226D">
    <w:pPr>
      <w:pStyle w:val="8"/>
      <w:framePr w:wrap="around" w:vAnchor="text" w:hAnchor="margin" w:xAlign="center" w:y="1"/>
      <w:rPr>
        <w:rStyle w:val="14"/>
      </w:rPr>
    </w:pPr>
    <w:r>
      <w:fldChar w:fldCharType="begin"/>
    </w:r>
    <w:r>
      <w:rPr>
        <w:rStyle w:val="14"/>
      </w:rPr>
      <w:instrText xml:space="preserve">PAGE  </w:instrText>
    </w:r>
    <w:r>
      <w:fldChar w:fldCharType="end"/>
    </w:r>
  </w:p>
  <w:p w14:paraId="2176B257">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1"/>
  <w:bordersDoNotSurroundFooter w:val="1"/>
  <w:hideSpellingErrors/>
  <w:doNotTrackMoves/>
  <w:documentProtection w:edit="readOnly"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27"/>
    <w:rsid w:val="0000174C"/>
    <w:rsid w:val="000025B6"/>
    <w:rsid w:val="00002884"/>
    <w:rsid w:val="00002AB1"/>
    <w:rsid w:val="00003611"/>
    <w:rsid w:val="00003C90"/>
    <w:rsid w:val="000043B6"/>
    <w:rsid w:val="00004C3F"/>
    <w:rsid w:val="000060CA"/>
    <w:rsid w:val="0000628E"/>
    <w:rsid w:val="00006B7D"/>
    <w:rsid w:val="00006DFD"/>
    <w:rsid w:val="0000751C"/>
    <w:rsid w:val="000077B4"/>
    <w:rsid w:val="00007AA6"/>
    <w:rsid w:val="00007ADE"/>
    <w:rsid w:val="00007DE3"/>
    <w:rsid w:val="000105DD"/>
    <w:rsid w:val="00010D1B"/>
    <w:rsid w:val="00014D0A"/>
    <w:rsid w:val="000155E4"/>
    <w:rsid w:val="0001622A"/>
    <w:rsid w:val="00016761"/>
    <w:rsid w:val="00016E03"/>
    <w:rsid w:val="00017AEA"/>
    <w:rsid w:val="00022800"/>
    <w:rsid w:val="00022970"/>
    <w:rsid w:val="00022E4D"/>
    <w:rsid w:val="0002376B"/>
    <w:rsid w:val="00023833"/>
    <w:rsid w:val="00023900"/>
    <w:rsid w:val="00023998"/>
    <w:rsid w:val="0002473B"/>
    <w:rsid w:val="0002481E"/>
    <w:rsid w:val="00025EAA"/>
    <w:rsid w:val="0002716F"/>
    <w:rsid w:val="000279A1"/>
    <w:rsid w:val="00030CFC"/>
    <w:rsid w:val="00030F62"/>
    <w:rsid w:val="000316A9"/>
    <w:rsid w:val="000318BA"/>
    <w:rsid w:val="00031A69"/>
    <w:rsid w:val="00031E0B"/>
    <w:rsid w:val="00032033"/>
    <w:rsid w:val="0003213A"/>
    <w:rsid w:val="00034BA6"/>
    <w:rsid w:val="00036DC9"/>
    <w:rsid w:val="00037270"/>
    <w:rsid w:val="000375F3"/>
    <w:rsid w:val="00037DFB"/>
    <w:rsid w:val="00040157"/>
    <w:rsid w:val="00040178"/>
    <w:rsid w:val="00040D6B"/>
    <w:rsid w:val="000413E5"/>
    <w:rsid w:val="0004176D"/>
    <w:rsid w:val="00041967"/>
    <w:rsid w:val="00042B7F"/>
    <w:rsid w:val="00043BDA"/>
    <w:rsid w:val="00044FDB"/>
    <w:rsid w:val="000461F2"/>
    <w:rsid w:val="00046A41"/>
    <w:rsid w:val="00046F33"/>
    <w:rsid w:val="0004777C"/>
    <w:rsid w:val="000477A1"/>
    <w:rsid w:val="00047806"/>
    <w:rsid w:val="00047E6D"/>
    <w:rsid w:val="000525B1"/>
    <w:rsid w:val="000528F4"/>
    <w:rsid w:val="00052B0B"/>
    <w:rsid w:val="00057A88"/>
    <w:rsid w:val="00057DAE"/>
    <w:rsid w:val="00057F2C"/>
    <w:rsid w:val="00060E92"/>
    <w:rsid w:val="00062060"/>
    <w:rsid w:val="00063DBD"/>
    <w:rsid w:val="0006431D"/>
    <w:rsid w:val="00064D94"/>
    <w:rsid w:val="0006532B"/>
    <w:rsid w:val="000655F5"/>
    <w:rsid w:val="00066742"/>
    <w:rsid w:val="00066DA2"/>
    <w:rsid w:val="00067635"/>
    <w:rsid w:val="00070916"/>
    <w:rsid w:val="00071D58"/>
    <w:rsid w:val="00072A2F"/>
    <w:rsid w:val="00073421"/>
    <w:rsid w:val="00073BC2"/>
    <w:rsid w:val="00073C02"/>
    <w:rsid w:val="00076453"/>
    <w:rsid w:val="000804C5"/>
    <w:rsid w:val="00080EC6"/>
    <w:rsid w:val="000821D4"/>
    <w:rsid w:val="00083278"/>
    <w:rsid w:val="00083476"/>
    <w:rsid w:val="00084007"/>
    <w:rsid w:val="00087F88"/>
    <w:rsid w:val="00091558"/>
    <w:rsid w:val="00091E7B"/>
    <w:rsid w:val="0009207E"/>
    <w:rsid w:val="00093280"/>
    <w:rsid w:val="00093E49"/>
    <w:rsid w:val="00094EAA"/>
    <w:rsid w:val="0009558F"/>
    <w:rsid w:val="000968A6"/>
    <w:rsid w:val="000A0341"/>
    <w:rsid w:val="000A08A1"/>
    <w:rsid w:val="000A0CBE"/>
    <w:rsid w:val="000A1558"/>
    <w:rsid w:val="000A1FF0"/>
    <w:rsid w:val="000A234C"/>
    <w:rsid w:val="000A3C3C"/>
    <w:rsid w:val="000A43B0"/>
    <w:rsid w:val="000A5777"/>
    <w:rsid w:val="000A78A4"/>
    <w:rsid w:val="000B106C"/>
    <w:rsid w:val="000B14DF"/>
    <w:rsid w:val="000B2201"/>
    <w:rsid w:val="000B23DF"/>
    <w:rsid w:val="000B29A9"/>
    <w:rsid w:val="000B3070"/>
    <w:rsid w:val="000B3614"/>
    <w:rsid w:val="000B487E"/>
    <w:rsid w:val="000B5BD1"/>
    <w:rsid w:val="000B6D13"/>
    <w:rsid w:val="000B7695"/>
    <w:rsid w:val="000B7FE8"/>
    <w:rsid w:val="000C01DF"/>
    <w:rsid w:val="000C1167"/>
    <w:rsid w:val="000C180C"/>
    <w:rsid w:val="000C29E7"/>
    <w:rsid w:val="000C5C05"/>
    <w:rsid w:val="000C602A"/>
    <w:rsid w:val="000C66A9"/>
    <w:rsid w:val="000C66C0"/>
    <w:rsid w:val="000C6712"/>
    <w:rsid w:val="000C7C26"/>
    <w:rsid w:val="000D2785"/>
    <w:rsid w:val="000D296F"/>
    <w:rsid w:val="000D2FF7"/>
    <w:rsid w:val="000D35A9"/>
    <w:rsid w:val="000D380E"/>
    <w:rsid w:val="000D57F7"/>
    <w:rsid w:val="000D623E"/>
    <w:rsid w:val="000E0AD5"/>
    <w:rsid w:val="000E13D5"/>
    <w:rsid w:val="000E1A40"/>
    <w:rsid w:val="000E3106"/>
    <w:rsid w:val="000E3162"/>
    <w:rsid w:val="000E364F"/>
    <w:rsid w:val="000E392B"/>
    <w:rsid w:val="000E3E6D"/>
    <w:rsid w:val="000E3F4E"/>
    <w:rsid w:val="000E4D2F"/>
    <w:rsid w:val="000E59E4"/>
    <w:rsid w:val="000E5D7A"/>
    <w:rsid w:val="000E6063"/>
    <w:rsid w:val="000E6B70"/>
    <w:rsid w:val="000E7035"/>
    <w:rsid w:val="000E7393"/>
    <w:rsid w:val="000F0D1F"/>
    <w:rsid w:val="000F1FB8"/>
    <w:rsid w:val="000F2561"/>
    <w:rsid w:val="000F270A"/>
    <w:rsid w:val="000F2A58"/>
    <w:rsid w:val="000F30C2"/>
    <w:rsid w:val="000F30D4"/>
    <w:rsid w:val="000F337A"/>
    <w:rsid w:val="000F346C"/>
    <w:rsid w:val="000F47DD"/>
    <w:rsid w:val="000F4C34"/>
    <w:rsid w:val="000F4FA7"/>
    <w:rsid w:val="000F63C7"/>
    <w:rsid w:val="000F7FBC"/>
    <w:rsid w:val="0010003C"/>
    <w:rsid w:val="0010084C"/>
    <w:rsid w:val="0010165E"/>
    <w:rsid w:val="0010208A"/>
    <w:rsid w:val="0010275B"/>
    <w:rsid w:val="00102E95"/>
    <w:rsid w:val="001036F3"/>
    <w:rsid w:val="00103904"/>
    <w:rsid w:val="00105AFD"/>
    <w:rsid w:val="00105D95"/>
    <w:rsid w:val="00106CCA"/>
    <w:rsid w:val="0010788E"/>
    <w:rsid w:val="00107DD9"/>
    <w:rsid w:val="00113ED7"/>
    <w:rsid w:val="00114195"/>
    <w:rsid w:val="00115D52"/>
    <w:rsid w:val="00116186"/>
    <w:rsid w:val="00116C7D"/>
    <w:rsid w:val="00117677"/>
    <w:rsid w:val="00117837"/>
    <w:rsid w:val="00122E59"/>
    <w:rsid w:val="001232F6"/>
    <w:rsid w:val="00123531"/>
    <w:rsid w:val="0012432C"/>
    <w:rsid w:val="00124670"/>
    <w:rsid w:val="00125011"/>
    <w:rsid w:val="001260A0"/>
    <w:rsid w:val="00126E81"/>
    <w:rsid w:val="001274DB"/>
    <w:rsid w:val="00127A48"/>
    <w:rsid w:val="00127AE4"/>
    <w:rsid w:val="0013008E"/>
    <w:rsid w:val="00131CDC"/>
    <w:rsid w:val="00132566"/>
    <w:rsid w:val="00133C45"/>
    <w:rsid w:val="00134810"/>
    <w:rsid w:val="00134A2E"/>
    <w:rsid w:val="00135185"/>
    <w:rsid w:val="0013518E"/>
    <w:rsid w:val="00135D55"/>
    <w:rsid w:val="00136044"/>
    <w:rsid w:val="001364F6"/>
    <w:rsid w:val="00136A20"/>
    <w:rsid w:val="00136CDC"/>
    <w:rsid w:val="00137559"/>
    <w:rsid w:val="0013775A"/>
    <w:rsid w:val="00137CE4"/>
    <w:rsid w:val="00140013"/>
    <w:rsid w:val="001408BA"/>
    <w:rsid w:val="00140E80"/>
    <w:rsid w:val="00141140"/>
    <w:rsid w:val="00141DAF"/>
    <w:rsid w:val="0014205B"/>
    <w:rsid w:val="0014256B"/>
    <w:rsid w:val="001427EB"/>
    <w:rsid w:val="00143155"/>
    <w:rsid w:val="001441DD"/>
    <w:rsid w:val="00144D96"/>
    <w:rsid w:val="00146422"/>
    <w:rsid w:val="00146FD6"/>
    <w:rsid w:val="00147C6F"/>
    <w:rsid w:val="00150A2D"/>
    <w:rsid w:val="00150F31"/>
    <w:rsid w:val="00150FDF"/>
    <w:rsid w:val="00151503"/>
    <w:rsid w:val="00151515"/>
    <w:rsid w:val="00152E31"/>
    <w:rsid w:val="00152F4D"/>
    <w:rsid w:val="001533A0"/>
    <w:rsid w:val="001535F4"/>
    <w:rsid w:val="00153830"/>
    <w:rsid w:val="00153E6F"/>
    <w:rsid w:val="00154445"/>
    <w:rsid w:val="00154627"/>
    <w:rsid w:val="00154FB1"/>
    <w:rsid w:val="001550A5"/>
    <w:rsid w:val="001550FB"/>
    <w:rsid w:val="00155A09"/>
    <w:rsid w:val="00156158"/>
    <w:rsid w:val="0015618C"/>
    <w:rsid w:val="0015663A"/>
    <w:rsid w:val="001567B6"/>
    <w:rsid w:val="00160B34"/>
    <w:rsid w:val="00161C83"/>
    <w:rsid w:val="00162D9C"/>
    <w:rsid w:val="00162E35"/>
    <w:rsid w:val="001634AF"/>
    <w:rsid w:val="00163AE0"/>
    <w:rsid w:val="00164515"/>
    <w:rsid w:val="001648F9"/>
    <w:rsid w:val="00164E99"/>
    <w:rsid w:val="00166F8C"/>
    <w:rsid w:val="00166F8D"/>
    <w:rsid w:val="0016716A"/>
    <w:rsid w:val="00167E68"/>
    <w:rsid w:val="00170B6C"/>
    <w:rsid w:val="00170EAD"/>
    <w:rsid w:val="00171B21"/>
    <w:rsid w:val="00172D82"/>
    <w:rsid w:val="00174BAA"/>
    <w:rsid w:val="00174E3D"/>
    <w:rsid w:val="001757C3"/>
    <w:rsid w:val="00175D17"/>
    <w:rsid w:val="00175FE6"/>
    <w:rsid w:val="00176FA9"/>
    <w:rsid w:val="00180E4C"/>
    <w:rsid w:val="00181229"/>
    <w:rsid w:val="001819FD"/>
    <w:rsid w:val="00182086"/>
    <w:rsid w:val="00182F8C"/>
    <w:rsid w:val="00183440"/>
    <w:rsid w:val="00183568"/>
    <w:rsid w:val="00183E06"/>
    <w:rsid w:val="00184064"/>
    <w:rsid w:val="001846CA"/>
    <w:rsid w:val="001849E4"/>
    <w:rsid w:val="00184A1B"/>
    <w:rsid w:val="00184CA1"/>
    <w:rsid w:val="00186466"/>
    <w:rsid w:val="00186CED"/>
    <w:rsid w:val="00186F09"/>
    <w:rsid w:val="0018728E"/>
    <w:rsid w:val="00190FC3"/>
    <w:rsid w:val="00191272"/>
    <w:rsid w:val="001921B7"/>
    <w:rsid w:val="001926B4"/>
    <w:rsid w:val="00192C72"/>
    <w:rsid w:val="00193630"/>
    <w:rsid w:val="001937A6"/>
    <w:rsid w:val="001939B2"/>
    <w:rsid w:val="00194AE8"/>
    <w:rsid w:val="0019525D"/>
    <w:rsid w:val="001959B4"/>
    <w:rsid w:val="00195FA4"/>
    <w:rsid w:val="00196473"/>
    <w:rsid w:val="001A08F1"/>
    <w:rsid w:val="001A137B"/>
    <w:rsid w:val="001A1FF8"/>
    <w:rsid w:val="001A24F4"/>
    <w:rsid w:val="001A2E3D"/>
    <w:rsid w:val="001A309F"/>
    <w:rsid w:val="001A31FC"/>
    <w:rsid w:val="001A3284"/>
    <w:rsid w:val="001A3670"/>
    <w:rsid w:val="001A42F6"/>
    <w:rsid w:val="001A5334"/>
    <w:rsid w:val="001A5E49"/>
    <w:rsid w:val="001A6365"/>
    <w:rsid w:val="001A6504"/>
    <w:rsid w:val="001A6E7F"/>
    <w:rsid w:val="001B0AC5"/>
    <w:rsid w:val="001B0D00"/>
    <w:rsid w:val="001B0EFD"/>
    <w:rsid w:val="001B17BA"/>
    <w:rsid w:val="001B18B2"/>
    <w:rsid w:val="001B205D"/>
    <w:rsid w:val="001B2378"/>
    <w:rsid w:val="001B285A"/>
    <w:rsid w:val="001B31D8"/>
    <w:rsid w:val="001B3B84"/>
    <w:rsid w:val="001B3FC6"/>
    <w:rsid w:val="001B414F"/>
    <w:rsid w:val="001B45F5"/>
    <w:rsid w:val="001B494F"/>
    <w:rsid w:val="001B4E45"/>
    <w:rsid w:val="001B59EF"/>
    <w:rsid w:val="001B5A9A"/>
    <w:rsid w:val="001C0862"/>
    <w:rsid w:val="001C0CDF"/>
    <w:rsid w:val="001C0D77"/>
    <w:rsid w:val="001C0D91"/>
    <w:rsid w:val="001C156B"/>
    <w:rsid w:val="001C15DA"/>
    <w:rsid w:val="001C28A9"/>
    <w:rsid w:val="001C2B0D"/>
    <w:rsid w:val="001C305E"/>
    <w:rsid w:val="001C36E3"/>
    <w:rsid w:val="001C49ED"/>
    <w:rsid w:val="001C4BEF"/>
    <w:rsid w:val="001C5475"/>
    <w:rsid w:val="001C54FC"/>
    <w:rsid w:val="001C651E"/>
    <w:rsid w:val="001C68FA"/>
    <w:rsid w:val="001D2EAD"/>
    <w:rsid w:val="001D2F3C"/>
    <w:rsid w:val="001D3273"/>
    <w:rsid w:val="001D3B3B"/>
    <w:rsid w:val="001D4065"/>
    <w:rsid w:val="001D46B5"/>
    <w:rsid w:val="001D4C83"/>
    <w:rsid w:val="001D4F4E"/>
    <w:rsid w:val="001D5282"/>
    <w:rsid w:val="001D6141"/>
    <w:rsid w:val="001D6E94"/>
    <w:rsid w:val="001D7398"/>
    <w:rsid w:val="001D7C56"/>
    <w:rsid w:val="001E0BDA"/>
    <w:rsid w:val="001E148F"/>
    <w:rsid w:val="001E15ED"/>
    <w:rsid w:val="001E1C8F"/>
    <w:rsid w:val="001E1D80"/>
    <w:rsid w:val="001E451B"/>
    <w:rsid w:val="001E535D"/>
    <w:rsid w:val="001E54BB"/>
    <w:rsid w:val="001E5B08"/>
    <w:rsid w:val="001E5BE3"/>
    <w:rsid w:val="001E63FF"/>
    <w:rsid w:val="001E65D6"/>
    <w:rsid w:val="001F1393"/>
    <w:rsid w:val="001F18FB"/>
    <w:rsid w:val="001F2A8C"/>
    <w:rsid w:val="001F2BF2"/>
    <w:rsid w:val="001F390D"/>
    <w:rsid w:val="001F3982"/>
    <w:rsid w:val="001F4251"/>
    <w:rsid w:val="001F43C1"/>
    <w:rsid w:val="001F507E"/>
    <w:rsid w:val="001F54E8"/>
    <w:rsid w:val="001F654C"/>
    <w:rsid w:val="001F7D6C"/>
    <w:rsid w:val="001F7F9C"/>
    <w:rsid w:val="00200D39"/>
    <w:rsid w:val="00202FD5"/>
    <w:rsid w:val="0020305A"/>
    <w:rsid w:val="00203368"/>
    <w:rsid w:val="00205740"/>
    <w:rsid w:val="0020687C"/>
    <w:rsid w:val="00207D07"/>
    <w:rsid w:val="00210834"/>
    <w:rsid w:val="00210CA9"/>
    <w:rsid w:val="002110A4"/>
    <w:rsid w:val="002112A5"/>
    <w:rsid w:val="002121D6"/>
    <w:rsid w:val="00213AA7"/>
    <w:rsid w:val="00213D8F"/>
    <w:rsid w:val="00216E31"/>
    <w:rsid w:val="00217C40"/>
    <w:rsid w:val="002204DC"/>
    <w:rsid w:val="00221E7C"/>
    <w:rsid w:val="002222C4"/>
    <w:rsid w:val="002227C1"/>
    <w:rsid w:val="00222ED2"/>
    <w:rsid w:val="00223572"/>
    <w:rsid w:val="002236DD"/>
    <w:rsid w:val="00223A13"/>
    <w:rsid w:val="002244ED"/>
    <w:rsid w:val="002257F2"/>
    <w:rsid w:val="00225ECF"/>
    <w:rsid w:val="002264AA"/>
    <w:rsid w:val="002277AF"/>
    <w:rsid w:val="00230D87"/>
    <w:rsid w:val="0023113D"/>
    <w:rsid w:val="0023152A"/>
    <w:rsid w:val="00233AB2"/>
    <w:rsid w:val="00235CCC"/>
    <w:rsid w:val="00236115"/>
    <w:rsid w:val="00236539"/>
    <w:rsid w:val="00240AC4"/>
    <w:rsid w:val="00240C36"/>
    <w:rsid w:val="00240C7B"/>
    <w:rsid w:val="002419F7"/>
    <w:rsid w:val="00241A67"/>
    <w:rsid w:val="00241DA6"/>
    <w:rsid w:val="00241F05"/>
    <w:rsid w:val="00242884"/>
    <w:rsid w:val="00242CBD"/>
    <w:rsid w:val="00242F1A"/>
    <w:rsid w:val="00243A6F"/>
    <w:rsid w:val="00243AC9"/>
    <w:rsid w:val="002445F3"/>
    <w:rsid w:val="00244F52"/>
    <w:rsid w:val="00245157"/>
    <w:rsid w:val="00246984"/>
    <w:rsid w:val="002470F3"/>
    <w:rsid w:val="0024785E"/>
    <w:rsid w:val="00250047"/>
    <w:rsid w:val="00250CF8"/>
    <w:rsid w:val="00251169"/>
    <w:rsid w:val="002532DA"/>
    <w:rsid w:val="00253549"/>
    <w:rsid w:val="00255B8D"/>
    <w:rsid w:val="002564F3"/>
    <w:rsid w:val="0026045C"/>
    <w:rsid w:val="00260A4D"/>
    <w:rsid w:val="0026143C"/>
    <w:rsid w:val="002619FE"/>
    <w:rsid w:val="00261D8F"/>
    <w:rsid w:val="00262233"/>
    <w:rsid w:val="00262761"/>
    <w:rsid w:val="00263F85"/>
    <w:rsid w:val="00264386"/>
    <w:rsid w:val="002655B6"/>
    <w:rsid w:val="002658C0"/>
    <w:rsid w:val="00265D73"/>
    <w:rsid w:val="002669E6"/>
    <w:rsid w:val="00266C3C"/>
    <w:rsid w:val="002707E2"/>
    <w:rsid w:val="00270B66"/>
    <w:rsid w:val="002713D3"/>
    <w:rsid w:val="00272511"/>
    <w:rsid w:val="00273763"/>
    <w:rsid w:val="0027434D"/>
    <w:rsid w:val="00274FAC"/>
    <w:rsid w:val="0027551C"/>
    <w:rsid w:val="00275D36"/>
    <w:rsid w:val="00275D65"/>
    <w:rsid w:val="00275E79"/>
    <w:rsid w:val="002766EC"/>
    <w:rsid w:val="002767A0"/>
    <w:rsid w:val="00277910"/>
    <w:rsid w:val="00280443"/>
    <w:rsid w:val="00281287"/>
    <w:rsid w:val="00282A84"/>
    <w:rsid w:val="00283540"/>
    <w:rsid w:val="00283838"/>
    <w:rsid w:val="00283B6A"/>
    <w:rsid w:val="002841EB"/>
    <w:rsid w:val="00284A2A"/>
    <w:rsid w:val="0028553A"/>
    <w:rsid w:val="00285B03"/>
    <w:rsid w:val="00285DB7"/>
    <w:rsid w:val="00286C03"/>
    <w:rsid w:val="00286F0D"/>
    <w:rsid w:val="00287242"/>
    <w:rsid w:val="0029168F"/>
    <w:rsid w:val="00291A23"/>
    <w:rsid w:val="00291A84"/>
    <w:rsid w:val="002920C6"/>
    <w:rsid w:val="002920DE"/>
    <w:rsid w:val="00292919"/>
    <w:rsid w:val="00293CCF"/>
    <w:rsid w:val="00293DB0"/>
    <w:rsid w:val="0029576C"/>
    <w:rsid w:val="00295CD6"/>
    <w:rsid w:val="00295D1D"/>
    <w:rsid w:val="00296CB1"/>
    <w:rsid w:val="002A0384"/>
    <w:rsid w:val="002A0387"/>
    <w:rsid w:val="002A0C55"/>
    <w:rsid w:val="002A46AC"/>
    <w:rsid w:val="002A4EF1"/>
    <w:rsid w:val="002A50A0"/>
    <w:rsid w:val="002A552B"/>
    <w:rsid w:val="002A5F99"/>
    <w:rsid w:val="002A634A"/>
    <w:rsid w:val="002B174F"/>
    <w:rsid w:val="002B1AF5"/>
    <w:rsid w:val="002B2A2F"/>
    <w:rsid w:val="002B3C3F"/>
    <w:rsid w:val="002B3CC4"/>
    <w:rsid w:val="002B4AA8"/>
    <w:rsid w:val="002B4AF3"/>
    <w:rsid w:val="002B59CF"/>
    <w:rsid w:val="002B7ADD"/>
    <w:rsid w:val="002C08EF"/>
    <w:rsid w:val="002C0C5C"/>
    <w:rsid w:val="002C120C"/>
    <w:rsid w:val="002C130B"/>
    <w:rsid w:val="002C16A7"/>
    <w:rsid w:val="002C1E80"/>
    <w:rsid w:val="002C2077"/>
    <w:rsid w:val="002C224C"/>
    <w:rsid w:val="002C3515"/>
    <w:rsid w:val="002C4A2E"/>
    <w:rsid w:val="002C4DC0"/>
    <w:rsid w:val="002C5FD8"/>
    <w:rsid w:val="002C6152"/>
    <w:rsid w:val="002C69A3"/>
    <w:rsid w:val="002C7774"/>
    <w:rsid w:val="002D073B"/>
    <w:rsid w:val="002D0978"/>
    <w:rsid w:val="002D1456"/>
    <w:rsid w:val="002D1696"/>
    <w:rsid w:val="002D207A"/>
    <w:rsid w:val="002D2791"/>
    <w:rsid w:val="002D338F"/>
    <w:rsid w:val="002D3713"/>
    <w:rsid w:val="002D3E14"/>
    <w:rsid w:val="002D3F23"/>
    <w:rsid w:val="002D4158"/>
    <w:rsid w:val="002D423C"/>
    <w:rsid w:val="002D43D6"/>
    <w:rsid w:val="002D54D5"/>
    <w:rsid w:val="002D58C5"/>
    <w:rsid w:val="002D5C78"/>
    <w:rsid w:val="002D6E97"/>
    <w:rsid w:val="002E04E3"/>
    <w:rsid w:val="002E130C"/>
    <w:rsid w:val="002E1A09"/>
    <w:rsid w:val="002E257E"/>
    <w:rsid w:val="002E261D"/>
    <w:rsid w:val="002E4066"/>
    <w:rsid w:val="002E4B82"/>
    <w:rsid w:val="002E4C62"/>
    <w:rsid w:val="002E4E1C"/>
    <w:rsid w:val="002E50F0"/>
    <w:rsid w:val="002E544B"/>
    <w:rsid w:val="002E5B9B"/>
    <w:rsid w:val="002E605B"/>
    <w:rsid w:val="002E670F"/>
    <w:rsid w:val="002E72C0"/>
    <w:rsid w:val="002E7AA7"/>
    <w:rsid w:val="002F0D00"/>
    <w:rsid w:val="002F127A"/>
    <w:rsid w:val="002F14B5"/>
    <w:rsid w:val="002F18CC"/>
    <w:rsid w:val="002F2F09"/>
    <w:rsid w:val="002F2F36"/>
    <w:rsid w:val="002F2F88"/>
    <w:rsid w:val="002F2F8F"/>
    <w:rsid w:val="002F384B"/>
    <w:rsid w:val="002F40BE"/>
    <w:rsid w:val="002F4986"/>
    <w:rsid w:val="002F4E9A"/>
    <w:rsid w:val="002F4EF3"/>
    <w:rsid w:val="002F7650"/>
    <w:rsid w:val="00300E8F"/>
    <w:rsid w:val="0030189B"/>
    <w:rsid w:val="003019DF"/>
    <w:rsid w:val="0030217F"/>
    <w:rsid w:val="0030229E"/>
    <w:rsid w:val="0030254C"/>
    <w:rsid w:val="00302DAD"/>
    <w:rsid w:val="003032FE"/>
    <w:rsid w:val="00304000"/>
    <w:rsid w:val="003055B5"/>
    <w:rsid w:val="00305CDE"/>
    <w:rsid w:val="00305FE6"/>
    <w:rsid w:val="00306A87"/>
    <w:rsid w:val="00307FC9"/>
    <w:rsid w:val="00310061"/>
    <w:rsid w:val="003109C9"/>
    <w:rsid w:val="00311943"/>
    <w:rsid w:val="003133CC"/>
    <w:rsid w:val="003133EF"/>
    <w:rsid w:val="00313B69"/>
    <w:rsid w:val="00313F37"/>
    <w:rsid w:val="003146A8"/>
    <w:rsid w:val="00314989"/>
    <w:rsid w:val="003153FA"/>
    <w:rsid w:val="00315651"/>
    <w:rsid w:val="003158A0"/>
    <w:rsid w:val="00315B96"/>
    <w:rsid w:val="00315EED"/>
    <w:rsid w:val="0031749F"/>
    <w:rsid w:val="00317788"/>
    <w:rsid w:val="00320618"/>
    <w:rsid w:val="00320ED1"/>
    <w:rsid w:val="00321385"/>
    <w:rsid w:val="00321B41"/>
    <w:rsid w:val="003223F4"/>
    <w:rsid w:val="0032246C"/>
    <w:rsid w:val="00322C65"/>
    <w:rsid w:val="00322DD4"/>
    <w:rsid w:val="0032317A"/>
    <w:rsid w:val="00323331"/>
    <w:rsid w:val="003234A0"/>
    <w:rsid w:val="00323594"/>
    <w:rsid w:val="0032366B"/>
    <w:rsid w:val="0032595E"/>
    <w:rsid w:val="00325A3E"/>
    <w:rsid w:val="003260B6"/>
    <w:rsid w:val="0032646C"/>
    <w:rsid w:val="00327066"/>
    <w:rsid w:val="0032761B"/>
    <w:rsid w:val="003306AF"/>
    <w:rsid w:val="00330FB3"/>
    <w:rsid w:val="0033288B"/>
    <w:rsid w:val="00332B62"/>
    <w:rsid w:val="00332D20"/>
    <w:rsid w:val="003340B9"/>
    <w:rsid w:val="00334D7E"/>
    <w:rsid w:val="0034054D"/>
    <w:rsid w:val="003420BF"/>
    <w:rsid w:val="00342937"/>
    <w:rsid w:val="003429C9"/>
    <w:rsid w:val="003442D0"/>
    <w:rsid w:val="00345423"/>
    <w:rsid w:val="00346086"/>
    <w:rsid w:val="003474B6"/>
    <w:rsid w:val="003475D0"/>
    <w:rsid w:val="00347898"/>
    <w:rsid w:val="00347BC3"/>
    <w:rsid w:val="00347C2E"/>
    <w:rsid w:val="0035046F"/>
    <w:rsid w:val="00350516"/>
    <w:rsid w:val="00352488"/>
    <w:rsid w:val="00352786"/>
    <w:rsid w:val="0035287F"/>
    <w:rsid w:val="003535FC"/>
    <w:rsid w:val="0035447E"/>
    <w:rsid w:val="00354D62"/>
    <w:rsid w:val="00355457"/>
    <w:rsid w:val="0035603D"/>
    <w:rsid w:val="00356CEA"/>
    <w:rsid w:val="003571CA"/>
    <w:rsid w:val="00360023"/>
    <w:rsid w:val="00360393"/>
    <w:rsid w:val="003608A6"/>
    <w:rsid w:val="00360B1B"/>
    <w:rsid w:val="003611F9"/>
    <w:rsid w:val="0036220B"/>
    <w:rsid w:val="00363D35"/>
    <w:rsid w:val="0036439A"/>
    <w:rsid w:val="003647EC"/>
    <w:rsid w:val="00364AB1"/>
    <w:rsid w:val="00364AF6"/>
    <w:rsid w:val="0036509F"/>
    <w:rsid w:val="00365142"/>
    <w:rsid w:val="0036563F"/>
    <w:rsid w:val="003664FC"/>
    <w:rsid w:val="00366C14"/>
    <w:rsid w:val="00366C9B"/>
    <w:rsid w:val="0037129A"/>
    <w:rsid w:val="00371AF2"/>
    <w:rsid w:val="003732C7"/>
    <w:rsid w:val="003748F6"/>
    <w:rsid w:val="0037493A"/>
    <w:rsid w:val="003754B2"/>
    <w:rsid w:val="0037652F"/>
    <w:rsid w:val="00376AFD"/>
    <w:rsid w:val="00376D5D"/>
    <w:rsid w:val="00376F76"/>
    <w:rsid w:val="003776ED"/>
    <w:rsid w:val="003777A8"/>
    <w:rsid w:val="003801CE"/>
    <w:rsid w:val="00380570"/>
    <w:rsid w:val="0038189D"/>
    <w:rsid w:val="0038237D"/>
    <w:rsid w:val="00383277"/>
    <w:rsid w:val="00386017"/>
    <w:rsid w:val="003879A5"/>
    <w:rsid w:val="00390AF7"/>
    <w:rsid w:val="00391329"/>
    <w:rsid w:val="0039263E"/>
    <w:rsid w:val="003927CC"/>
    <w:rsid w:val="003930A2"/>
    <w:rsid w:val="0039496C"/>
    <w:rsid w:val="00396CC2"/>
    <w:rsid w:val="003977ED"/>
    <w:rsid w:val="003A0589"/>
    <w:rsid w:val="003A05B1"/>
    <w:rsid w:val="003A087C"/>
    <w:rsid w:val="003A1150"/>
    <w:rsid w:val="003A2B9D"/>
    <w:rsid w:val="003A312D"/>
    <w:rsid w:val="003A3810"/>
    <w:rsid w:val="003A3854"/>
    <w:rsid w:val="003A3CEB"/>
    <w:rsid w:val="003A4245"/>
    <w:rsid w:val="003A51C3"/>
    <w:rsid w:val="003A5CB9"/>
    <w:rsid w:val="003A685B"/>
    <w:rsid w:val="003A6A30"/>
    <w:rsid w:val="003A6A93"/>
    <w:rsid w:val="003A6AC6"/>
    <w:rsid w:val="003A7321"/>
    <w:rsid w:val="003A7A18"/>
    <w:rsid w:val="003A7B1F"/>
    <w:rsid w:val="003B019B"/>
    <w:rsid w:val="003B025C"/>
    <w:rsid w:val="003B192B"/>
    <w:rsid w:val="003B1C49"/>
    <w:rsid w:val="003B3EAA"/>
    <w:rsid w:val="003B49F8"/>
    <w:rsid w:val="003B5B6F"/>
    <w:rsid w:val="003B65C1"/>
    <w:rsid w:val="003B662E"/>
    <w:rsid w:val="003B6962"/>
    <w:rsid w:val="003B69C8"/>
    <w:rsid w:val="003B7CA4"/>
    <w:rsid w:val="003B7F56"/>
    <w:rsid w:val="003C0D6C"/>
    <w:rsid w:val="003C0FDF"/>
    <w:rsid w:val="003C1F69"/>
    <w:rsid w:val="003C2832"/>
    <w:rsid w:val="003C2843"/>
    <w:rsid w:val="003C3168"/>
    <w:rsid w:val="003C350A"/>
    <w:rsid w:val="003C385F"/>
    <w:rsid w:val="003C3B8C"/>
    <w:rsid w:val="003C3F27"/>
    <w:rsid w:val="003C49DF"/>
    <w:rsid w:val="003C6AB8"/>
    <w:rsid w:val="003C72A4"/>
    <w:rsid w:val="003D1365"/>
    <w:rsid w:val="003D1EF6"/>
    <w:rsid w:val="003D2B92"/>
    <w:rsid w:val="003D30FD"/>
    <w:rsid w:val="003D4006"/>
    <w:rsid w:val="003D49FF"/>
    <w:rsid w:val="003D50F4"/>
    <w:rsid w:val="003D5259"/>
    <w:rsid w:val="003D546D"/>
    <w:rsid w:val="003D5634"/>
    <w:rsid w:val="003D5842"/>
    <w:rsid w:val="003D5B26"/>
    <w:rsid w:val="003D6F53"/>
    <w:rsid w:val="003D7600"/>
    <w:rsid w:val="003E0D4B"/>
    <w:rsid w:val="003E0F10"/>
    <w:rsid w:val="003E1A29"/>
    <w:rsid w:val="003E1FBA"/>
    <w:rsid w:val="003E4584"/>
    <w:rsid w:val="003E57D7"/>
    <w:rsid w:val="003E581B"/>
    <w:rsid w:val="003E5AA0"/>
    <w:rsid w:val="003E7898"/>
    <w:rsid w:val="003F0A4F"/>
    <w:rsid w:val="003F0B19"/>
    <w:rsid w:val="003F0BC1"/>
    <w:rsid w:val="003F1986"/>
    <w:rsid w:val="003F1C81"/>
    <w:rsid w:val="003F21C4"/>
    <w:rsid w:val="003F2EAF"/>
    <w:rsid w:val="003F3C99"/>
    <w:rsid w:val="003F5E7F"/>
    <w:rsid w:val="003F5E83"/>
    <w:rsid w:val="003F711C"/>
    <w:rsid w:val="00400809"/>
    <w:rsid w:val="004019B6"/>
    <w:rsid w:val="00401C3A"/>
    <w:rsid w:val="00401CBF"/>
    <w:rsid w:val="00401DF8"/>
    <w:rsid w:val="004027A3"/>
    <w:rsid w:val="00402F27"/>
    <w:rsid w:val="004034CE"/>
    <w:rsid w:val="0040360E"/>
    <w:rsid w:val="00403904"/>
    <w:rsid w:val="004052F0"/>
    <w:rsid w:val="00405EA4"/>
    <w:rsid w:val="00406268"/>
    <w:rsid w:val="00406270"/>
    <w:rsid w:val="00406318"/>
    <w:rsid w:val="00406E61"/>
    <w:rsid w:val="004104D6"/>
    <w:rsid w:val="00410692"/>
    <w:rsid w:val="0041239B"/>
    <w:rsid w:val="00412A5C"/>
    <w:rsid w:val="00413539"/>
    <w:rsid w:val="00413742"/>
    <w:rsid w:val="00414061"/>
    <w:rsid w:val="00414647"/>
    <w:rsid w:val="0041573D"/>
    <w:rsid w:val="00415E28"/>
    <w:rsid w:val="00417310"/>
    <w:rsid w:val="0042023A"/>
    <w:rsid w:val="004205C2"/>
    <w:rsid w:val="00421182"/>
    <w:rsid w:val="00422AFE"/>
    <w:rsid w:val="00423B2E"/>
    <w:rsid w:val="0042424A"/>
    <w:rsid w:val="0042435C"/>
    <w:rsid w:val="00424858"/>
    <w:rsid w:val="00424EE3"/>
    <w:rsid w:val="00425872"/>
    <w:rsid w:val="00431760"/>
    <w:rsid w:val="004319A5"/>
    <w:rsid w:val="00431DE4"/>
    <w:rsid w:val="00432296"/>
    <w:rsid w:val="00433B17"/>
    <w:rsid w:val="00433FD7"/>
    <w:rsid w:val="00434584"/>
    <w:rsid w:val="00434648"/>
    <w:rsid w:val="004347A4"/>
    <w:rsid w:val="0043481D"/>
    <w:rsid w:val="00434EB5"/>
    <w:rsid w:val="004402A0"/>
    <w:rsid w:val="00440A93"/>
    <w:rsid w:val="00440C82"/>
    <w:rsid w:val="004413FB"/>
    <w:rsid w:val="0044152F"/>
    <w:rsid w:val="004428E6"/>
    <w:rsid w:val="0044290E"/>
    <w:rsid w:val="00442FDE"/>
    <w:rsid w:val="0044376F"/>
    <w:rsid w:val="0044457E"/>
    <w:rsid w:val="004449D3"/>
    <w:rsid w:val="00444BC5"/>
    <w:rsid w:val="00444DBF"/>
    <w:rsid w:val="004459BA"/>
    <w:rsid w:val="0044661A"/>
    <w:rsid w:val="00446C0E"/>
    <w:rsid w:val="00446CB2"/>
    <w:rsid w:val="00446FBB"/>
    <w:rsid w:val="004520E1"/>
    <w:rsid w:val="004530AE"/>
    <w:rsid w:val="00453824"/>
    <w:rsid w:val="004545E5"/>
    <w:rsid w:val="00454621"/>
    <w:rsid w:val="00454E6A"/>
    <w:rsid w:val="00456493"/>
    <w:rsid w:val="004569C0"/>
    <w:rsid w:val="0046030D"/>
    <w:rsid w:val="004603D9"/>
    <w:rsid w:val="0046066C"/>
    <w:rsid w:val="004610D9"/>
    <w:rsid w:val="00461119"/>
    <w:rsid w:val="00461EA0"/>
    <w:rsid w:val="0046214D"/>
    <w:rsid w:val="0046244E"/>
    <w:rsid w:val="00462B18"/>
    <w:rsid w:val="00463537"/>
    <w:rsid w:val="00463720"/>
    <w:rsid w:val="004649C4"/>
    <w:rsid w:val="00464B76"/>
    <w:rsid w:val="00465B6E"/>
    <w:rsid w:val="00465DBA"/>
    <w:rsid w:val="00467A7B"/>
    <w:rsid w:val="004705B5"/>
    <w:rsid w:val="00470CA2"/>
    <w:rsid w:val="00470F01"/>
    <w:rsid w:val="004714B1"/>
    <w:rsid w:val="004721DF"/>
    <w:rsid w:val="0047231E"/>
    <w:rsid w:val="004728BA"/>
    <w:rsid w:val="00472F57"/>
    <w:rsid w:val="00473462"/>
    <w:rsid w:val="00473B60"/>
    <w:rsid w:val="00474270"/>
    <w:rsid w:val="00474286"/>
    <w:rsid w:val="00474292"/>
    <w:rsid w:val="00475610"/>
    <w:rsid w:val="004758BA"/>
    <w:rsid w:val="004773E9"/>
    <w:rsid w:val="00480158"/>
    <w:rsid w:val="004802F7"/>
    <w:rsid w:val="004806D9"/>
    <w:rsid w:val="0048090E"/>
    <w:rsid w:val="0048096D"/>
    <w:rsid w:val="00480B77"/>
    <w:rsid w:val="00481410"/>
    <w:rsid w:val="00481EED"/>
    <w:rsid w:val="00482851"/>
    <w:rsid w:val="00482D85"/>
    <w:rsid w:val="00482F24"/>
    <w:rsid w:val="00482FC5"/>
    <w:rsid w:val="004832E5"/>
    <w:rsid w:val="00483BC6"/>
    <w:rsid w:val="0048498F"/>
    <w:rsid w:val="00485477"/>
    <w:rsid w:val="0048564C"/>
    <w:rsid w:val="00486121"/>
    <w:rsid w:val="0049074F"/>
    <w:rsid w:val="00490D2F"/>
    <w:rsid w:val="00491297"/>
    <w:rsid w:val="0049147A"/>
    <w:rsid w:val="004919A5"/>
    <w:rsid w:val="00491C2E"/>
    <w:rsid w:val="00491FE8"/>
    <w:rsid w:val="00492770"/>
    <w:rsid w:val="00492771"/>
    <w:rsid w:val="00492D18"/>
    <w:rsid w:val="00493B81"/>
    <w:rsid w:val="00493EDE"/>
    <w:rsid w:val="004943ED"/>
    <w:rsid w:val="004944FD"/>
    <w:rsid w:val="004953CF"/>
    <w:rsid w:val="00495777"/>
    <w:rsid w:val="00497EE9"/>
    <w:rsid w:val="004A0AAD"/>
    <w:rsid w:val="004A203E"/>
    <w:rsid w:val="004A21F4"/>
    <w:rsid w:val="004A226A"/>
    <w:rsid w:val="004A22FE"/>
    <w:rsid w:val="004A3121"/>
    <w:rsid w:val="004A429A"/>
    <w:rsid w:val="004A4632"/>
    <w:rsid w:val="004B0B09"/>
    <w:rsid w:val="004B15F6"/>
    <w:rsid w:val="004B214A"/>
    <w:rsid w:val="004B3027"/>
    <w:rsid w:val="004B3EB8"/>
    <w:rsid w:val="004B4249"/>
    <w:rsid w:val="004B464E"/>
    <w:rsid w:val="004B5024"/>
    <w:rsid w:val="004B65B9"/>
    <w:rsid w:val="004B6C17"/>
    <w:rsid w:val="004B72E4"/>
    <w:rsid w:val="004C0ECD"/>
    <w:rsid w:val="004C1072"/>
    <w:rsid w:val="004C15A6"/>
    <w:rsid w:val="004C171C"/>
    <w:rsid w:val="004C48A1"/>
    <w:rsid w:val="004C4E87"/>
    <w:rsid w:val="004C5E19"/>
    <w:rsid w:val="004C5F3A"/>
    <w:rsid w:val="004C5F41"/>
    <w:rsid w:val="004C6844"/>
    <w:rsid w:val="004C72D5"/>
    <w:rsid w:val="004D06B4"/>
    <w:rsid w:val="004D0BED"/>
    <w:rsid w:val="004D140B"/>
    <w:rsid w:val="004D22B8"/>
    <w:rsid w:val="004D4069"/>
    <w:rsid w:val="004D479C"/>
    <w:rsid w:val="004D4AF1"/>
    <w:rsid w:val="004D5A8F"/>
    <w:rsid w:val="004D6820"/>
    <w:rsid w:val="004D6CF5"/>
    <w:rsid w:val="004D6FD4"/>
    <w:rsid w:val="004D7F15"/>
    <w:rsid w:val="004D7F3F"/>
    <w:rsid w:val="004E06F8"/>
    <w:rsid w:val="004E0E6C"/>
    <w:rsid w:val="004E0F53"/>
    <w:rsid w:val="004E1074"/>
    <w:rsid w:val="004E118D"/>
    <w:rsid w:val="004E1BFE"/>
    <w:rsid w:val="004E1FAD"/>
    <w:rsid w:val="004E2064"/>
    <w:rsid w:val="004E28D3"/>
    <w:rsid w:val="004E28E6"/>
    <w:rsid w:val="004E295C"/>
    <w:rsid w:val="004E300B"/>
    <w:rsid w:val="004E375D"/>
    <w:rsid w:val="004E3817"/>
    <w:rsid w:val="004E4B51"/>
    <w:rsid w:val="004E5544"/>
    <w:rsid w:val="004E5731"/>
    <w:rsid w:val="004E68FE"/>
    <w:rsid w:val="004E6926"/>
    <w:rsid w:val="004E71AB"/>
    <w:rsid w:val="004E7C70"/>
    <w:rsid w:val="004E7CD2"/>
    <w:rsid w:val="004E7FD0"/>
    <w:rsid w:val="004F0B30"/>
    <w:rsid w:val="004F0CEC"/>
    <w:rsid w:val="004F13BB"/>
    <w:rsid w:val="004F1C67"/>
    <w:rsid w:val="004F2491"/>
    <w:rsid w:val="004F29F9"/>
    <w:rsid w:val="004F30E2"/>
    <w:rsid w:val="004F3591"/>
    <w:rsid w:val="004F35DC"/>
    <w:rsid w:val="004F396B"/>
    <w:rsid w:val="004F3EEC"/>
    <w:rsid w:val="004F410D"/>
    <w:rsid w:val="004F476C"/>
    <w:rsid w:val="004F48B8"/>
    <w:rsid w:val="004F4A49"/>
    <w:rsid w:val="004F4C41"/>
    <w:rsid w:val="004F51E5"/>
    <w:rsid w:val="004F5435"/>
    <w:rsid w:val="004F5D60"/>
    <w:rsid w:val="004F658A"/>
    <w:rsid w:val="004F68C3"/>
    <w:rsid w:val="004F6909"/>
    <w:rsid w:val="004F6AED"/>
    <w:rsid w:val="004F778F"/>
    <w:rsid w:val="004F7F01"/>
    <w:rsid w:val="00500C29"/>
    <w:rsid w:val="005014A3"/>
    <w:rsid w:val="00502077"/>
    <w:rsid w:val="00502694"/>
    <w:rsid w:val="00502A91"/>
    <w:rsid w:val="00503239"/>
    <w:rsid w:val="00503254"/>
    <w:rsid w:val="00503297"/>
    <w:rsid w:val="00503697"/>
    <w:rsid w:val="00505112"/>
    <w:rsid w:val="0050603B"/>
    <w:rsid w:val="00506ABE"/>
    <w:rsid w:val="00510482"/>
    <w:rsid w:val="005118D6"/>
    <w:rsid w:val="00511992"/>
    <w:rsid w:val="0051261A"/>
    <w:rsid w:val="005131CD"/>
    <w:rsid w:val="0051366A"/>
    <w:rsid w:val="00514B25"/>
    <w:rsid w:val="00515D3D"/>
    <w:rsid w:val="00516A60"/>
    <w:rsid w:val="00516F02"/>
    <w:rsid w:val="00517DB4"/>
    <w:rsid w:val="00520950"/>
    <w:rsid w:val="00521570"/>
    <w:rsid w:val="00521D51"/>
    <w:rsid w:val="0052227E"/>
    <w:rsid w:val="0052230D"/>
    <w:rsid w:val="00523973"/>
    <w:rsid w:val="0052397A"/>
    <w:rsid w:val="00524DED"/>
    <w:rsid w:val="00525035"/>
    <w:rsid w:val="005254B0"/>
    <w:rsid w:val="005255C5"/>
    <w:rsid w:val="005267C8"/>
    <w:rsid w:val="00526D7B"/>
    <w:rsid w:val="005272F7"/>
    <w:rsid w:val="00527EBC"/>
    <w:rsid w:val="00530C3D"/>
    <w:rsid w:val="00532B1F"/>
    <w:rsid w:val="00533FD8"/>
    <w:rsid w:val="00534954"/>
    <w:rsid w:val="00535499"/>
    <w:rsid w:val="00535699"/>
    <w:rsid w:val="00535828"/>
    <w:rsid w:val="00535E6E"/>
    <w:rsid w:val="0053653F"/>
    <w:rsid w:val="005372E6"/>
    <w:rsid w:val="00537AC4"/>
    <w:rsid w:val="00537FB9"/>
    <w:rsid w:val="00540DCB"/>
    <w:rsid w:val="00541490"/>
    <w:rsid w:val="00542B2F"/>
    <w:rsid w:val="00543482"/>
    <w:rsid w:val="00544ABD"/>
    <w:rsid w:val="00545488"/>
    <w:rsid w:val="00545793"/>
    <w:rsid w:val="00545F5D"/>
    <w:rsid w:val="00546186"/>
    <w:rsid w:val="00547672"/>
    <w:rsid w:val="005505D5"/>
    <w:rsid w:val="00550B51"/>
    <w:rsid w:val="0055124B"/>
    <w:rsid w:val="0055134C"/>
    <w:rsid w:val="00551587"/>
    <w:rsid w:val="00551AB6"/>
    <w:rsid w:val="0055211D"/>
    <w:rsid w:val="00552CE2"/>
    <w:rsid w:val="00554D2A"/>
    <w:rsid w:val="00555755"/>
    <w:rsid w:val="00555906"/>
    <w:rsid w:val="00555D4A"/>
    <w:rsid w:val="00556D5E"/>
    <w:rsid w:val="00556E3A"/>
    <w:rsid w:val="00557701"/>
    <w:rsid w:val="00562EFB"/>
    <w:rsid w:val="0056315A"/>
    <w:rsid w:val="00563192"/>
    <w:rsid w:val="00563878"/>
    <w:rsid w:val="00563C61"/>
    <w:rsid w:val="00564215"/>
    <w:rsid w:val="005651B6"/>
    <w:rsid w:val="00566F0A"/>
    <w:rsid w:val="00567310"/>
    <w:rsid w:val="005709D8"/>
    <w:rsid w:val="00570EF9"/>
    <w:rsid w:val="005719E8"/>
    <w:rsid w:val="005724AA"/>
    <w:rsid w:val="005725B4"/>
    <w:rsid w:val="00572E97"/>
    <w:rsid w:val="005734D2"/>
    <w:rsid w:val="005748F1"/>
    <w:rsid w:val="00574C95"/>
    <w:rsid w:val="005776E5"/>
    <w:rsid w:val="0057775D"/>
    <w:rsid w:val="005777EB"/>
    <w:rsid w:val="0058025D"/>
    <w:rsid w:val="005803A0"/>
    <w:rsid w:val="005804AA"/>
    <w:rsid w:val="0058097B"/>
    <w:rsid w:val="0058167E"/>
    <w:rsid w:val="005824F9"/>
    <w:rsid w:val="005828B0"/>
    <w:rsid w:val="00582904"/>
    <w:rsid w:val="005835EA"/>
    <w:rsid w:val="0058396F"/>
    <w:rsid w:val="005849B1"/>
    <w:rsid w:val="00584EF2"/>
    <w:rsid w:val="0058639A"/>
    <w:rsid w:val="0058698A"/>
    <w:rsid w:val="005876F4"/>
    <w:rsid w:val="00587B09"/>
    <w:rsid w:val="0059030E"/>
    <w:rsid w:val="005912BF"/>
    <w:rsid w:val="00592543"/>
    <w:rsid w:val="005927D5"/>
    <w:rsid w:val="005931FC"/>
    <w:rsid w:val="00593654"/>
    <w:rsid w:val="0059371E"/>
    <w:rsid w:val="00593759"/>
    <w:rsid w:val="005937BC"/>
    <w:rsid w:val="0059416F"/>
    <w:rsid w:val="0059475A"/>
    <w:rsid w:val="00594945"/>
    <w:rsid w:val="0059526C"/>
    <w:rsid w:val="005955E3"/>
    <w:rsid w:val="00595D0D"/>
    <w:rsid w:val="00596ABA"/>
    <w:rsid w:val="0059707F"/>
    <w:rsid w:val="005977E7"/>
    <w:rsid w:val="005A06D8"/>
    <w:rsid w:val="005A0A79"/>
    <w:rsid w:val="005A0E3A"/>
    <w:rsid w:val="005A188B"/>
    <w:rsid w:val="005A297D"/>
    <w:rsid w:val="005A3FB6"/>
    <w:rsid w:val="005A41FE"/>
    <w:rsid w:val="005A742E"/>
    <w:rsid w:val="005A7430"/>
    <w:rsid w:val="005B08D1"/>
    <w:rsid w:val="005B09B9"/>
    <w:rsid w:val="005B119F"/>
    <w:rsid w:val="005B2459"/>
    <w:rsid w:val="005B24BE"/>
    <w:rsid w:val="005B298E"/>
    <w:rsid w:val="005B2D82"/>
    <w:rsid w:val="005B3D13"/>
    <w:rsid w:val="005B4214"/>
    <w:rsid w:val="005B4418"/>
    <w:rsid w:val="005B6056"/>
    <w:rsid w:val="005B63E3"/>
    <w:rsid w:val="005B6945"/>
    <w:rsid w:val="005B73FC"/>
    <w:rsid w:val="005B76A1"/>
    <w:rsid w:val="005B7F44"/>
    <w:rsid w:val="005C0041"/>
    <w:rsid w:val="005C079D"/>
    <w:rsid w:val="005C0BB3"/>
    <w:rsid w:val="005C108F"/>
    <w:rsid w:val="005C4AF0"/>
    <w:rsid w:val="005C4EFF"/>
    <w:rsid w:val="005C505D"/>
    <w:rsid w:val="005C5B1A"/>
    <w:rsid w:val="005C5DAE"/>
    <w:rsid w:val="005C61EF"/>
    <w:rsid w:val="005C65AA"/>
    <w:rsid w:val="005C68CE"/>
    <w:rsid w:val="005C6BFF"/>
    <w:rsid w:val="005C7E9A"/>
    <w:rsid w:val="005D0655"/>
    <w:rsid w:val="005D06F3"/>
    <w:rsid w:val="005D2044"/>
    <w:rsid w:val="005D2144"/>
    <w:rsid w:val="005D23D3"/>
    <w:rsid w:val="005D2F3D"/>
    <w:rsid w:val="005D34DE"/>
    <w:rsid w:val="005D391D"/>
    <w:rsid w:val="005D438B"/>
    <w:rsid w:val="005D46AB"/>
    <w:rsid w:val="005D5055"/>
    <w:rsid w:val="005D56FC"/>
    <w:rsid w:val="005D58C6"/>
    <w:rsid w:val="005D613C"/>
    <w:rsid w:val="005D63A7"/>
    <w:rsid w:val="005D6929"/>
    <w:rsid w:val="005D6A75"/>
    <w:rsid w:val="005E0256"/>
    <w:rsid w:val="005E07A2"/>
    <w:rsid w:val="005E0B47"/>
    <w:rsid w:val="005E16D1"/>
    <w:rsid w:val="005E1BA4"/>
    <w:rsid w:val="005E1E6E"/>
    <w:rsid w:val="005E1E9E"/>
    <w:rsid w:val="005E1F0A"/>
    <w:rsid w:val="005E2CAA"/>
    <w:rsid w:val="005E3C5E"/>
    <w:rsid w:val="005E40F5"/>
    <w:rsid w:val="005E4E8A"/>
    <w:rsid w:val="005E59B6"/>
    <w:rsid w:val="005E6031"/>
    <w:rsid w:val="005E6CB3"/>
    <w:rsid w:val="005E7AFC"/>
    <w:rsid w:val="005F00BC"/>
    <w:rsid w:val="005F03BC"/>
    <w:rsid w:val="005F0526"/>
    <w:rsid w:val="005F0621"/>
    <w:rsid w:val="005F0E1A"/>
    <w:rsid w:val="005F2392"/>
    <w:rsid w:val="005F2AA8"/>
    <w:rsid w:val="005F3426"/>
    <w:rsid w:val="005F393B"/>
    <w:rsid w:val="005F39AC"/>
    <w:rsid w:val="005F521E"/>
    <w:rsid w:val="005F5768"/>
    <w:rsid w:val="005F5DE1"/>
    <w:rsid w:val="005F5EB1"/>
    <w:rsid w:val="005F76D8"/>
    <w:rsid w:val="005F7C71"/>
    <w:rsid w:val="006002F7"/>
    <w:rsid w:val="00600A18"/>
    <w:rsid w:val="00600A2A"/>
    <w:rsid w:val="00600DBA"/>
    <w:rsid w:val="00602CDD"/>
    <w:rsid w:val="0060312D"/>
    <w:rsid w:val="00603C4F"/>
    <w:rsid w:val="00603F04"/>
    <w:rsid w:val="00604619"/>
    <w:rsid w:val="006048E9"/>
    <w:rsid w:val="00604D4D"/>
    <w:rsid w:val="0060588F"/>
    <w:rsid w:val="006059DB"/>
    <w:rsid w:val="00606321"/>
    <w:rsid w:val="0060645D"/>
    <w:rsid w:val="006078D4"/>
    <w:rsid w:val="00607D78"/>
    <w:rsid w:val="00607EC5"/>
    <w:rsid w:val="00610670"/>
    <w:rsid w:val="00611016"/>
    <w:rsid w:val="006112D2"/>
    <w:rsid w:val="00611734"/>
    <w:rsid w:val="00613622"/>
    <w:rsid w:val="00613799"/>
    <w:rsid w:val="00617771"/>
    <w:rsid w:val="006179BD"/>
    <w:rsid w:val="00617AF3"/>
    <w:rsid w:val="00620BC1"/>
    <w:rsid w:val="00620C15"/>
    <w:rsid w:val="00620D63"/>
    <w:rsid w:val="0062153A"/>
    <w:rsid w:val="0062262C"/>
    <w:rsid w:val="00622DCD"/>
    <w:rsid w:val="00623332"/>
    <w:rsid w:val="00624575"/>
    <w:rsid w:val="00624A85"/>
    <w:rsid w:val="006256C0"/>
    <w:rsid w:val="006263B7"/>
    <w:rsid w:val="00626439"/>
    <w:rsid w:val="00626E7C"/>
    <w:rsid w:val="00627B0B"/>
    <w:rsid w:val="0063025A"/>
    <w:rsid w:val="00630287"/>
    <w:rsid w:val="0063103F"/>
    <w:rsid w:val="0063108B"/>
    <w:rsid w:val="006310B4"/>
    <w:rsid w:val="00633CC6"/>
    <w:rsid w:val="00634103"/>
    <w:rsid w:val="0063492D"/>
    <w:rsid w:val="00634959"/>
    <w:rsid w:val="00634BC6"/>
    <w:rsid w:val="006352CA"/>
    <w:rsid w:val="0063718A"/>
    <w:rsid w:val="00637194"/>
    <w:rsid w:val="00637303"/>
    <w:rsid w:val="00637582"/>
    <w:rsid w:val="00637686"/>
    <w:rsid w:val="00637C18"/>
    <w:rsid w:val="00637FF2"/>
    <w:rsid w:val="00637FF8"/>
    <w:rsid w:val="00640747"/>
    <w:rsid w:val="00640F8E"/>
    <w:rsid w:val="0064152F"/>
    <w:rsid w:val="0064167E"/>
    <w:rsid w:val="00642E3F"/>
    <w:rsid w:val="00643AB4"/>
    <w:rsid w:val="00643B78"/>
    <w:rsid w:val="00644174"/>
    <w:rsid w:val="006449A2"/>
    <w:rsid w:val="00644A41"/>
    <w:rsid w:val="00646277"/>
    <w:rsid w:val="006462E7"/>
    <w:rsid w:val="006463D3"/>
    <w:rsid w:val="0064667E"/>
    <w:rsid w:val="00646832"/>
    <w:rsid w:val="00647B61"/>
    <w:rsid w:val="00647FA7"/>
    <w:rsid w:val="00650E00"/>
    <w:rsid w:val="00652B12"/>
    <w:rsid w:val="006536D7"/>
    <w:rsid w:val="0065486C"/>
    <w:rsid w:val="006551AF"/>
    <w:rsid w:val="006568AA"/>
    <w:rsid w:val="00656BEC"/>
    <w:rsid w:val="00656DE5"/>
    <w:rsid w:val="0065741B"/>
    <w:rsid w:val="006611E3"/>
    <w:rsid w:val="00661FE1"/>
    <w:rsid w:val="0066250A"/>
    <w:rsid w:val="00662DD7"/>
    <w:rsid w:val="00662FDB"/>
    <w:rsid w:val="00663015"/>
    <w:rsid w:val="00664586"/>
    <w:rsid w:val="00664867"/>
    <w:rsid w:val="0066572A"/>
    <w:rsid w:val="006669E0"/>
    <w:rsid w:val="006678F9"/>
    <w:rsid w:val="00667A07"/>
    <w:rsid w:val="00670641"/>
    <w:rsid w:val="006714F9"/>
    <w:rsid w:val="00671AC4"/>
    <w:rsid w:val="00671C13"/>
    <w:rsid w:val="00672887"/>
    <w:rsid w:val="006728EA"/>
    <w:rsid w:val="00672A07"/>
    <w:rsid w:val="00672B48"/>
    <w:rsid w:val="00672F27"/>
    <w:rsid w:val="00674120"/>
    <w:rsid w:val="00675DC7"/>
    <w:rsid w:val="00676C35"/>
    <w:rsid w:val="0067741B"/>
    <w:rsid w:val="00677830"/>
    <w:rsid w:val="00680204"/>
    <w:rsid w:val="00680692"/>
    <w:rsid w:val="00681046"/>
    <w:rsid w:val="006812F8"/>
    <w:rsid w:val="0068158A"/>
    <w:rsid w:val="00681BC6"/>
    <w:rsid w:val="00681FB3"/>
    <w:rsid w:val="0068370D"/>
    <w:rsid w:val="006839B3"/>
    <w:rsid w:val="0068458E"/>
    <w:rsid w:val="00687103"/>
    <w:rsid w:val="00690926"/>
    <w:rsid w:val="00691018"/>
    <w:rsid w:val="006916D0"/>
    <w:rsid w:val="0069171A"/>
    <w:rsid w:val="00692215"/>
    <w:rsid w:val="00692908"/>
    <w:rsid w:val="006962E0"/>
    <w:rsid w:val="006A0251"/>
    <w:rsid w:val="006A0EF4"/>
    <w:rsid w:val="006A0F05"/>
    <w:rsid w:val="006A111E"/>
    <w:rsid w:val="006A1529"/>
    <w:rsid w:val="006A2F3A"/>
    <w:rsid w:val="006A363D"/>
    <w:rsid w:val="006A42A3"/>
    <w:rsid w:val="006A4996"/>
    <w:rsid w:val="006A53E8"/>
    <w:rsid w:val="006A5CBC"/>
    <w:rsid w:val="006A62A9"/>
    <w:rsid w:val="006A6385"/>
    <w:rsid w:val="006A679C"/>
    <w:rsid w:val="006A6866"/>
    <w:rsid w:val="006A6BDC"/>
    <w:rsid w:val="006A735A"/>
    <w:rsid w:val="006A77A5"/>
    <w:rsid w:val="006B1608"/>
    <w:rsid w:val="006B26B0"/>
    <w:rsid w:val="006B3586"/>
    <w:rsid w:val="006B3C91"/>
    <w:rsid w:val="006B5A76"/>
    <w:rsid w:val="006B66A8"/>
    <w:rsid w:val="006B6BA4"/>
    <w:rsid w:val="006B6F29"/>
    <w:rsid w:val="006B73FB"/>
    <w:rsid w:val="006C00D4"/>
    <w:rsid w:val="006C0F2B"/>
    <w:rsid w:val="006C1461"/>
    <w:rsid w:val="006C22C9"/>
    <w:rsid w:val="006C2566"/>
    <w:rsid w:val="006C511A"/>
    <w:rsid w:val="006C5A45"/>
    <w:rsid w:val="006C5AE7"/>
    <w:rsid w:val="006C64B3"/>
    <w:rsid w:val="006C6585"/>
    <w:rsid w:val="006D1D86"/>
    <w:rsid w:val="006D29FD"/>
    <w:rsid w:val="006D4F36"/>
    <w:rsid w:val="006D5880"/>
    <w:rsid w:val="006D5E3D"/>
    <w:rsid w:val="006D5FF0"/>
    <w:rsid w:val="006D652E"/>
    <w:rsid w:val="006D757C"/>
    <w:rsid w:val="006D7E09"/>
    <w:rsid w:val="006D7F78"/>
    <w:rsid w:val="006E0994"/>
    <w:rsid w:val="006E155A"/>
    <w:rsid w:val="006E1FBD"/>
    <w:rsid w:val="006E247C"/>
    <w:rsid w:val="006E2FF9"/>
    <w:rsid w:val="006E315A"/>
    <w:rsid w:val="006E3194"/>
    <w:rsid w:val="006E32F5"/>
    <w:rsid w:val="006E33FE"/>
    <w:rsid w:val="006E4C09"/>
    <w:rsid w:val="006E5792"/>
    <w:rsid w:val="006E74CF"/>
    <w:rsid w:val="006F0904"/>
    <w:rsid w:val="006F15CC"/>
    <w:rsid w:val="006F216D"/>
    <w:rsid w:val="006F2BF0"/>
    <w:rsid w:val="006F2CBE"/>
    <w:rsid w:val="006F2E66"/>
    <w:rsid w:val="006F302C"/>
    <w:rsid w:val="006F344E"/>
    <w:rsid w:val="006F3452"/>
    <w:rsid w:val="006F3453"/>
    <w:rsid w:val="006F354F"/>
    <w:rsid w:val="006F398E"/>
    <w:rsid w:val="006F3FBD"/>
    <w:rsid w:val="006F3FD2"/>
    <w:rsid w:val="006F4948"/>
    <w:rsid w:val="006F4CAD"/>
    <w:rsid w:val="006F4DF5"/>
    <w:rsid w:val="006F4F53"/>
    <w:rsid w:val="006F5CB3"/>
    <w:rsid w:val="006F6198"/>
    <w:rsid w:val="006F6211"/>
    <w:rsid w:val="006F6996"/>
    <w:rsid w:val="006F6AC6"/>
    <w:rsid w:val="006F715C"/>
    <w:rsid w:val="00702CCD"/>
    <w:rsid w:val="00702F10"/>
    <w:rsid w:val="007032B6"/>
    <w:rsid w:val="00703627"/>
    <w:rsid w:val="00703EDB"/>
    <w:rsid w:val="007046B2"/>
    <w:rsid w:val="0070575E"/>
    <w:rsid w:val="0070598A"/>
    <w:rsid w:val="007076CC"/>
    <w:rsid w:val="00710026"/>
    <w:rsid w:val="0071277F"/>
    <w:rsid w:val="0071291E"/>
    <w:rsid w:val="0071355B"/>
    <w:rsid w:val="00713597"/>
    <w:rsid w:val="0071384C"/>
    <w:rsid w:val="007138B6"/>
    <w:rsid w:val="007140F1"/>
    <w:rsid w:val="007144A2"/>
    <w:rsid w:val="007155B3"/>
    <w:rsid w:val="00715F30"/>
    <w:rsid w:val="00716436"/>
    <w:rsid w:val="00717E22"/>
    <w:rsid w:val="007204E6"/>
    <w:rsid w:val="00720DC5"/>
    <w:rsid w:val="007212E6"/>
    <w:rsid w:val="00721451"/>
    <w:rsid w:val="0072146D"/>
    <w:rsid w:val="00721C48"/>
    <w:rsid w:val="00722D87"/>
    <w:rsid w:val="007237AD"/>
    <w:rsid w:val="00723B45"/>
    <w:rsid w:val="00723C54"/>
    <w:rsid w:val="00724682"/>
    <w:rsid w:val="00725C67"/>
    <w:rsid w:val="00725EBF"/>
    <w:rsid w:val="007265C1"/>
    <w:rsid w:val="007266AF"/>
    <w:rsid w:val="00727BC9"/>
    <w:rsid w:val="00730525"/>
    <w:rsid w:val="00730EBC"/>
    <w:rsid w:val="00731324"/>
    <w:rsid w:val="00732062"/>
    <w:rsid w:val="007323D4"/>
    <w:rsid w:val="00733E1E"/>
    <w:rsid w:val="00734452"/>
    <w:rsid w:val="00734DC9"/>
    <w:rsid w:val="00734EDC"/>
    <w:rsid w:val="00735957"/>
    <w:rsid w:val="00736774"/>
    <w:rsid w:val="00736BA5"/>
    <w:rsid w:val="0073738B"/>
    <w:rsid w:val="0074020D"/>
    <w:rsid w:val="00740B5B"/>
    <w:rsid w:val="00740CAB"/>
    <w:rsid w:val="00740FCE"/>
    <w:rsid w:val="00741F7C"/>
    <w:rsid w:val="00742801"/>
    <w:rsid w:val="0074288B"/>
    <w:rsid w:val="00743966"/>
    <w:rsid w:val="0074580F"/>
    <w:rsid w:val="00745B56"/>
    <w:rsid w:val="00745F2B"/>
    <w:rsid w:val="0074617E"/>
    <w:rsid w:val="007465FF"/>
    <w:rsid w:val="007469AC"/>
    <w:rsid w:val="00747733"/>
    <w:rsid w:val="00750125"/>
    <w:rsid w:val="00751093"/>
    <w:rsid w:val="00751812"/>
    <w:rsid w:val="00751906"/>
    <w:rsid w:val="007524F1"/>
    <w:rsid w:val="0075305C"/>
    <w:rsid w:val="0075392F"/>
    <w:rsid w:val="00753C0F"/>
    <w:rsid w:val="00754420"/>
    <w:rsid w:val="0075547A"/>
    <w:rsid w:val="007554D5"/>
    <w:rsid w:val="00755BF0"/>
    <w:rsid w:val="0075637C"/>
    <w:rsid w:val="0075642A"/>
    <w:rsid w:val="00760141"/>
    <w:rsid w:val="00760E6F"/>
    <w:rsid w:val="0076141B"/>
    <w:rsid w:val="00761A00"/>
    <w:rsid w:val="00761BF9"/>
    <w:rsid w:val="00762A82"/>
    <w:rsid w:val="00762AD2"/>
    <w:rsid w:val="00762BE6"/>
    <w:rsid w:val="00763316"/>
    <w:rsid w:val="00764281"/>
    <w:rsid w:val="007657C0"/>
    <w:rsid w:val="0076675A"/>
    <w:rsid w:val="00767937"/>
    <w:rsid w:val="00770051"/>
    <w:rsid w:val="00770595"/>
    <w:rsid w:val="00770882"/>
    <w:rsid w:val="00770E15"/>
    <w:rsid w:val="0077100E"/>
    <w:rsid w:val="007717AC"/>
    <w:rsid w:val="00772019"/>
    <w:rsid w:val="007722CA"/>
    <w:rsid w:val="00772788"/>
    <w:rsid w:val="00772E53"/>
    <w:rsid w:val="00772EDE"/>
    <w:rsid w:val="0077486C"/>
    <w:rsid w:val="00774A11"/>
    <w:rsid w:val="00775DCC"/>
    <w:rsid w:val="00776784"/>
    <w:rsid w:val="007767DE"/>
    <w:rsid w:val="00776B41"/>
    <w:rsid w:val="00776B83"/>
    <w:rsid w:val="00777CB5"/>
    <w:rsid w:val="00777DB6"/>
    <w:rsid w:val="007804C4"/>
    <w:rsid w:val="00780D5E"/>
    <w:rsid w:val="00782252"/>
    <w:rsid w:val="0078228D"/>
    <w:rsid w:val="00782F40"/>
    <w:rsid w:val="00785229"/>
    <w:rsid w:val="0078531C"/>
    <w:rsid w:val="00785B4F"/>
    <w:rsid w:val="00786DB3"/>
    <w:rsid w:val="00786DF0"/>
    <w:rsid w:val="0078713F"/>
    <w:rsid w:val="0078718B"/>
    <w:rsid w:val="0079013F"/>
    <w:rsid w:val="007901D5"/>
    <w:rsid w:val="00790406"/>
    <w:rsid w:val="00791DDD"/>
    <w:rsid w:val="007923E7"/>
    <w:rsid w:val="0079340C"/>
    <w:rsid w:val="007960CA"/>
    <w:rsid w:val="007961EC"/>
    <w:rsid w:val="00796633"/>
    <w:rsid w:val="00797EA3"/>
    <w:rsid w:val="007A120D"/>
    <w:rsid w:val="007A2724"/>
    <w:rsid w:val="007A41C5"/>
    <w:rsid w:val="007A4457"/>
    <w:rsid w:val="007A4740"/>
    <w:rsid w:val="007A5149"/>
    <w:rsid w:val="007A5751"/>
    <w:rsid w:val="007A67C8"/>
    <w:rsid w:val="007A6CEB"/>
    <w:rsid w:val="007A733C"/>
    <w:rsid w:val="007B081B"/>
    <w:rsid w:val="007B0BD5"/>
    <w:rsid w:val="007B1FD3"/>
    <w:rsid w:val="007B2885"/>
    <w:rsid w:val="007B3B04"/>
    <w:rsid w:val="007B3B8C"/>
    <w:rsid w:val="007B462F"/>
    <w:rsid w:val="007B4EF3"/>
    <w:rsid w:val="007B5E89"/>
    <w:rsid w:val="007B6131"/>
    <w:rsid w:val="007B7014"/>
    <w:rsid w:val="007B70E1"/>
    <w:rsid w:val="007B7C3C"/>
    <w:rsid w:val="007C0085"/>
    <w:rsid w:val="007C0A2F"/>
    <w:rsid w:val="007C21A9"/>
    <w:rsid w:val="007C222D"/>
    <w:rsid w:val="007C2569"/>
    <w:rsid w:val="007C2F45"/>
    <w:rsid w:val="007C34FA"/>
    <w:rsid w:val="007C364C"/>
    <w:rsid w:val="007C3933"/>
    <w:rsid w:val="007C56F3"/>
    <w:rsid w:val="007C5EEF"/>
    <w:rsid w:val="007C7036"/>
    <w:rsid w:val="007D075B"/>
    <w:rsid w:val="007D118B"/>
    <w:rsid w:val="007D1240"/>
    <w:rsid w:val="007D12C5"/>
    <w:rsid w:val="007D1CA9"/>
    <w:rsid w:val="007D2239"/>
    <w:rsid w:val="007D2458"/>
    <w:rsid w:val="007D3B8F"/>
    <w:rsid w:val="007D3D1C"/>
    <w:rsid w:val="007D56F7"/>
    <w:rsid w:val="007D7AF3"/>
    <w:rsid w:val="007E04A1"/>
    <w:rsid w:val="007E062F"/>
    <w:rsid w:val="007E2186"/>
    <w:rsid w:val="007E252D"/>
    <w:rsid w:val="007E2C82"/>
    <w:rsid w:val="007E2C99"/>
    <w:rsid w:val="007E2F47"/>
    <w:rsid w:val="007E33AB"/>
    <w:rsid w:val="007E3EB6"/>
    <w:rsid w:val="007E400B"/>
    <w:rsid w:val="007E465B"/>
    <w:rsid w:val="007E4799"/>
    <w:rsid w:val="007E53BA"/>
    <w:rsid w:val="007E5733"/>
    <w:rsid w:val="007E5FC8"/>
    <w:rsid w:val="007E60CC"/>
    <w:rsid w:val="007E632A"/>
    <w:rsid w:val="007E6487"/>
    <w:rsid w:val="007E71F3"/>
    <w:rsid w:val="007E74C8"/>
    <w:rsid w:val="007E7A7E"/>
    <w:rsid w:val="007F006C"/>
    <w:rsid w:val="007F01A1"/>
    <w:rsid w:val="007F0505"/>
    <w:rsid w:val="007F16EE"/>
    <w:rsid w:val="007F2D63"/>
    <w:rsid w:val="007F32C1"/>
    <w:rsid w:val="007F361F"/>
    <w:rsid w:val="007F3CB8"/>
    <w:rsid w:val="007F4885"/>
    <w:rsid w:val="007F4A9F"/>
    <w:rsid w:val="007F509A"/>
    <w:rsid w:val="007F5AE1"/>
    <w:rsid w:val="007F5DC2"/>
    <w:rsid w:val="007F5F90"/>
    <w:rsid w:val="007F61CA"/>
    <w:rsid w:val="007F6668"/>
    <w:rsid w:val="007F6BCD"/>
    <w:rsid w:val="007F7777"/>
    <w:rsid w:val="00801311"/>
    <w:rsid w:val="00801B84"/>
    <w:rsid w:val="008025A7"/>
    <w:rsid w:val="00804DCE"/>
    <w:rsid w:val="008052B2"/>
    <w:rsid w:val="00805F0F"/>
    <w:rsid w:val="00806FCC"/>
    <w:rsid w:val="008073C7"/>
    <w:rsid w:val="00807CC3"/>
    <w:rsid w:val="00810D09"/>
    <w:rsid w:val="0081153D"/>
    <w:rsid w:val="00811C6F"/>
    <w:rsid w:val="00812458"/>
    <w:rsid w:val="0081256A"/>
    <w:rsid w:val="008125E3"/>
    <w:rsid w:val="00813553"/>
    <w:rsid w:val="008135F0"/>
    <w:rsid w:val="00813991"/>
    <w:rsid w:val="00813E8F"/>
    <w:rsid w:val="00813F49"/>
    <w:rsid w:val="00814403"/>
    <w:rsid w:val="00814912"/>
    <w:rsid w:val="0081539C"/>
    <w:rsid w:val="00815602"/>
    <w:rsid w:val="00815E8A"/>
    <w:rsid w:val="008160BB"/>
    <w:rsid w:val="00816823"/>
    <w:rsid w:val="008169D5"/>
    <w:rsid w:val="00816D96"/>
    <w:rsid w:val="00816DC9"/>
    <w:rsid w:val="0081746B"/>
    <w:rsid w:val="008204F7"/>
    <w:rsid w:val="00820B35"/>
    <w:rsid w:val="0082185D"/>
    <w:rsid w:val="008218EA"/>
    <w:rsid w:val="00821B94"/>
    <w:rsid w:val="00821FA2"/>
    <w:rsid w:val="00823189"/>
    <w:rsid w:val="00823CB5"/>
    <w:rsid w:val="0083110F"/>
    <w:rsid w:val="008315E2"/>
    <w:rsid w:val="008317A3"/>
    <w:rsid w:val="00831AB2"/>
    <w:rsid w:val="00832635"/>
    <w:rsid w:val="008327FB"/>
    <w:rsid w:val="00833340"/>
    <w:rsid w:val="00835660"/>
    <w:rsid w:val="00836438"/>
    <w:rsid w:val="0083650F"/>
    <w:rsid w:val="00836FC0"/>
    <w:rsid w:val="00837105"/>
    <w:rsid w:val="00837928"/>
    <w:rsid w:val="008400EA"/>
    <w:rsid w:val="00840232"/>
    <w:rsid w:val="00840C19"/>
    <w:rsid w:val="00840FB4"/>
    <w:rsid w:val="00842732"/>
    <w:rsid w:val="00842989"/>
    <w:rsid w:val="008436AA"/>
    <w:rsid w:val="00843820"/>
    <w:rsid w:val="008439CE"/>
    <w:rsid w:val="00843BE4"/>
    <w:rsid w:val="00843BEF"/>
    <w:rsid w:val="00844045"/>
    <w:rsid w:val="0084502B"/>
    <w:rsid w:val="008450DC"/>
    <w:rsid w:val="0084697F"/>
    <w:rsid w:val="008477E4"/>
    <w:rsid w:val="00847996"/>
    <w:rsid w:val="00850CBE"/>
    <w:rsid w:val="00850D74"/>
    <w:rsid w:val="008514CC"/>
    <w:rsid w:val="008521B5"/>
    <w:rsid w:val="008526AE"/>
    <w:rsid w:val="008531B4"/>
    <w:rsid w:val="00853832"/>
    <w:rsid w:val="00854314"/>
    <w:rsid w:val="00854B7C"/>
    <w:rsid w:val="008556C1"/>
    <w:rsid w:val="00855A7D"/>
    <w:rsid w:val="00855B4E"/>
    <w:rsid w:val="0085671F"/>
    <w:rsid w:val="0085680B"/>
    <w:rsid w:val="00857241"/>
    <w:rsid w:val="0085773C"/>
    <w:rsid w:val="0085788B"/>
    <w:rsid w:val="00857AFC"/>
    <w:rsid w:val="00857C6F"/>
    <w:rsid w:val="00857D71"/>
    <w:rsid w:val="00860EDA"/>
    <w:rsid w:val="00861C22"/>
    <w:rsid w:val="00864A7B"/>
    <w:rsid w:val="0086529D"/>
    <w:rsid w:val="0086562D"/>
    <w:rsid w:val="00866AAC"/>
    <w:rsid w:val="00867E11"/>
    <w:rsid w:val="0087059E"/>
    <w:rsid w:val="00871000"/>
    <w:rsid w:val="00871B33"/>
    <w:rsid w:val="00871D05"/>
    <w:rsid w:val="00872CA8"/>
    <w:rsid w:val="00872E33"/>
    <w:rsid w:val="00872F34"/>
    <w:rsid w:val="00873432"/>
    <w:rsid w:val="00873D6B"/>
    <w:rsid w:val="00874357"/>
    <w:rsid w:val="00875647"/>
    <w:rsid w:val="00875D99"/>
    <w:rsid w:val="00876789"/>
    <w:rsid w:val="00876955"/>
    <w:rsid w:val="00876BE6"/>
    <w:rsid w:val="00880549"/>
    <w:rsid w:val="0088192F"/>
    <w:rsid w:val="00881947"/>
    <w:rsid w:val="00881BA4"/>
    <w:rsid w:val="008824D9"/>
    <w:rsid w:val="00882BDE"/>
    <w:rsid w:val="00882F5F"/>
    <w:rsid w:val="00883699"/>
    <w:rsid w:val="008842B4"/>
    <w:rsid w:val="008853C8"/>
    <w:rsid w:val="0088546B"/>
    <w:rsid w:val="00885552"/>
    <w:rsid w:val="008868E9"/>
    <w:rsid w:val="00887296"/>
    <w:rsid w:val="008877C5"/>
    <w:rsid w:val="0088790B"/>
    <w:rsid w:val="00890B5B"/>
    <w:rsid w:val="0089112F"/>
    <w:rsid w:val="0089138A"/>
    <w:rsid w:val="008913F6"/>
    <w:rsid w:val="00891576"/>
    <w:rsid w:val="008942F9"/>
    <w:rsid w:val="00896D04"/>
    <w:rsid w:val="008A039A"/>
    <w:rsid w:val="008A07CF"/>
    <w:rsid w:val="008A12EB"/>
    <w:rsid w:val="008A1FF9"/>
    <w:rsid w:val="008A2040"/>
    <w:rsid w:val="008A205E"/>
    <w:rsid w:val="008A2682"/>
    <w:rsid w:val="008A2A73"/>
    <w:rsid w:val="008A2CBB"/>
    <w:rsid w:val="008A3268"/>
    <w:rsid w:val="008A3E78"/>
    <w:rsid w:val="008A436D"/>
    <w:rsid w:val="008A4B4D"/>
    <w:rsid w:val="008A590C"/>
    <w:rsid w:val="008A63BB"/>
    <w:rsid w:val="008A70D0"/>
    <w:rsid w:val="008B07BB"/>
    <w:rsid w:val="008B1665"/>
    <w:rsid w:val="008B2980"/>
    <w:rsid w:val="008B2D2B"/>
    <w:rsid w:val="008B4818"/>
    <w:rsid w:val="008B4C80"/>
    <w:rsid w:val="008B4DD4"/>
    <w:rsid w:val="008B565E"/>
    <w:rsid w:val="008B615D"/>
    <w:rsid w:val="008B6656"/>
    <w:rsid w:val="008C04B8"/>
    <w:rsid w:val="008C09F3"/>
    <w:rsid w:val="008C0F07"/>
    <w:rsid w:val="008C0F27"/>
    <w:rsid w:val="008C1171"/>
    <w:rsid w:val="008C1234"/>
    <w:rsid w:val="008C1BF9"/>
    <w:rsid w:val="008C1DD7"/>
    <w:rsid w:val="008C2ECD"/>
    <w:rsid w:val="008C3204"/>
    <w:rsid w:val="008C552B"/>
    <w:rsid w:val="008C619A"/>
    <w:rsid w:val="008C7D3E"/>
    <w:rsid w:val="008D02F7"/>
    <w:rsid w:val="008D103B"/>
    <w:rsid w:val="008D22F9"/>
    <w:rsid w:val="008D2AE2"/>
    <w:rsid w:val="008D2E72"/>
    <w:rsid w:val="008D4456"/>
    <w:rsid w:val="008D6421"/>
    <w:rsid w:val="008D6480"/>
    <w:rsid w:val="008E176E"/>
    <w:rsid w:val="008E229E"/>
    <w:rsid w:val="008E3063"/>
    <w:rsid w:val="008E3522"/>
    <w:rsid w:val="008E3C6B"/>
    <w:rsid w:val="008E3EC8"/>
    <w:rsid w:val="008E41CA"/>
    <w:rsid w:val="008E4A20"/>
    <w:rsid w:val="008E559B"/>
    <w:rsid w:val="008E571D"/>
    <w:rsid w:val="008E5B1D"/>
    <w:rsid w:val="008E5EEA"/>
    <w:rsid w:val="008E6851"/>
    <w:rsid w:val="008E71D8"/>
    <w:rsid w:val="008E7AC6"/>
    <w:rsid w:val="008F042C"/>
    <w:rsid w:val="008F042F"/>
    <w:rsid w:val="008F2794"/>
    <w:rsid w:val="008F34EC"/>
    <w:rsid w:val="008F485D"/>
    <w:rsid w:val="008F4A53"/>
    <w:rsid w:val="008F4A63"/>
    <w:rsid w:val="008F4A6E"/>
    <w:rsid w:val="008F51E4"/>
    <w:rsid w:val="008F54A5"/>
    <w:rsid w:val="008F6AE6"/>
    <w:rsid w:val="008F71F3"/>
    <w:rsid w:val="008F7BC3"/>
    <w:rsid w:val="008F7F15"/>
    <w:rsid w:val="00900732"/>
    <w:rsid w:val="0090113C"/>
    <w:rsid w:val="0090123E"/>
    <w:rsid w:val="00901D6C"/>
    <w:rsid w:val="00901E59"/>
    <w:rsid w:val="0090217B"/>
    <w:rsid w:val="00902232"/>
    <w:rsid w:val="00902466"/>
    <w:rsid w:val="00902668"/>
    <w:rsid w:val="00903A6A"/>
    <w:rsid w:val="00903F18"/>
    <w:rsid w:val="009045D1"/>
    <w:rsid w:val="00904C74"/>
    <w:rsid w:val="00904D82"/>
    <w:rsid w:val="00905320"/>
    <w:rsid w:val="0090602D"/>
    <w:rsid w:val="00907A70"/>
    <w:rsid w:val="00910993"/>
    <w:rsid w:val="0091104E"/>
    <w:rsid w:val="009129ED"/>
    <w:rsid w:val="009136AF"/>
    <w:rsid w:val="009136B8"/>
    <w:rsid w:val="00913F98"/>
    <w:rsid w:val="009145BE"/>
    <w:rsid w:val="009160F5"/>
    <w:rsid w:val="009179A3"/>
    <w:rsid w:val="00917ED5"/>
    <w:rsid w:val="0092028E"/>
    <w:rsid w:val="009209DD"/>
    <w:rsid w:val="00920CFB"/>
    <w:rsid w:val="00921B1D"/>
    <w:rsid w:val="00921E97"/>
    <w:rsid w:val="00921E99"/>
    <w:rsid w:val="00921F4F"/>
    <w:rsid w:val="00922B8B"/>
    <w:rsid w:val="00924483"/>
    <w:rsid w:val="00924CEA"/>
    <w:rsid w:val="009262B6"/>
    <w:rsid w:val="009263BB"/>
    <w:rsid w:val="00926966"/>
    <w:rsid w:val="00926DCF"/>
    <w:rsid w:val="00927481"/>
    <w:rsid w:val="009274B1"/>
    <w:rsid w:val="00930B46"/>
    <w:rsid w:val="00931656"/>
    <w:rsid w:val="00931DFC"/>
    <w:rsid w:val="009327CD"/>
    <w:rsid w:val="00932D15"/>
    <w:rsid w:val="0093327F"/>
    <w:rsid w:val="0093332D"/>
    <w:rsid w:val="009339C0"/>
    <w:rsid w:val="009339E5"/>
    <w:rsid w:val="00933A1F"/>
    <w:rsid w:val="00933CEF"/>
    <w:rsid w:val="00934D03"/>
    <w:rsid w:val="00934F17"/>
    <w:rsid w:val="00934F33"/>
    <w:rsid w:val="00934FD6"/>
    <w:rsid w:val="00935492"/>
    <w:rsid w:val="00935FCE"/>
    <w:rsid w:val="009372BC"/>
    <w:rsid w:val="00937EA7"/>
    <w:rsid w:val="009413BC"/>
    <w:rsid w:val="0094380A"/>
    <w:rsid w:val="00943AE2"/>
    <w:rsid w:val="009455AF"/>
    <w:rsid w:val="009456F5"/>
    <w:rsid w:val="0094640F"/>
    <w:rsid w:val="00946859"/>
    <w:rsid w:val="009468AC"/>
    <w:rsid w:val="009504B1"/>
    <w:rsid w:val="00950D4B"/>
    <w:rsid w:val="00950DFC"/>
    <w:rsid w:val="00951A02"/>
    <w:rsid w:val="0095201C"/>
    <w:rsid w:val="009542E9"/>
    <w:rsid w:val="00954908"/>
    <w:rsid w:val="00955196"/>
    <w:rsid w:val="00955463"/>
    <w:rsid w:val="009561F8"/>
    <w:rsid w:val="00956546"/>
    <w:rsid w:val="009569E9"/>
    <w:rsid w:val="00956A45"/>
    <w:rsid w:val="00957870"/>
    <w:rsid w:val="00957A10"/>
    <w:rsid w:val="00957B2D"/>
    <w:rsid w:val="00960390"/>
    <w:rsid w:val="009616F1"/>
    <w:rsid w:val="009622B1"/>
    <w:rsid w:val="00962976"/>
    <w:rsid w:val="00962AAC"/>
    <w:rsid w:val="0096437D"/>
    <w:rsid w:val="00964665"/>
    <w:rsid w:val="009646A0"/>
    <w:rsid w:val="00965096"/>
    <w:rsid w:val="00965688"/>
    <w:rsid w:val="009656C3"/>
    <w:rsid w:val="009656D3"/>
    <w:rsid w:val="00965B68"/>
    <w:rsid w:val="00965F9F"/>
    <w:rsid w:val="009662E9"/>
    <w:rsid w:val="00970A33"/>
    <w:rsid w:val="009716EC"/>
    <w:rsid w:val="00971C97"/>
    <w:rsid w:val="00972155"/>
    <w:rsid w:val="0097321D"/>
    <w:rsid w:val="00973432"/>
    <w:rsid w:val="009735D9"/>
    <w:rsid w:val="00975084"/>
    <w:rsid w:val="00976B7D"/>
    <w:rsid w:val="009808A3"/>
    <w:rsid w:val="00980F15"/>
    <w:rsid w:val="00981DF8"/>
    <w:rsid w:val="00982C8F"/>
    <w:rsid w:val="00982D09"/>
    <w:rsid w:val="00982D1B"/>
    <w:rsid w:val="009836AB"/>
    <w:rsid w:val="009840D8"/>
    <w:rsid w:val="009844E1"/>
    <w:rsid w:val="009845A8"/>
    <w:rsid w:val="00984A62"/>
    <w:rsid w:val="00984D91"/>
    <w:rsid w:val="009852DC"/>
    <w:rsid w:val="0098552E"/>
    <w:rsid w:val="00986C61"/>
    <w:rsid w:val="00986E86"/>
    <w:rsid w:val="0098701A"/>
    <w:rsid w:val="00987237"/>
    <w:rsid w:val="00987707"/>
    <w:rsid w:val="00987B83"/>
    <w:rsid w:val="00987E5B"/>
    <w:rsid w:val="00987FF9"/>
    <w:rsid w:val="0099147B"/>
    <w:rsid w:val="009916E2"/>
    <w:rsid w:val="00992098"/>
    <w:rsid w:val="0099234D"/>
    <w:rsid w:val="00992480"/>
    <w:rsid w:val="00993A89"/>
    <w:rsid w:val="00993B21"/>
    <w:rsid w:val="0099460E"/>
    <w:rsid w:val="00995551"/>
    <w:rsid w:val="00996BC6"/>
    <w:rsid w:val="00996D31"/>
    <w:rsid w:val="009970E3"/>
    <w:rsid w:val="00997811"/>
    <w:rsid w:val="00997BC4"/>
    <w:rsid w:val="009A03A1"/>
    <w:rsid w:val="009A09FC"/>
    <w:rsid w:val="009A0A71"/>
    <w:rsid w:val="009A1399"/>
    <w:rsid w:val="009A215B"/>
    <w:rsid w:val="009A275F"/>
    <w:rsid w:val="009A278F"/>
    <w:rsid w:val="009A2CE6"/>
    <w:rsid w:val="009A2F94"/>
    <w:rsid w:val="009A42C7"/>
    <w:rsid w:val="009A4349"/>
    <w:rsid w:val="009A4AE9"/>
    <w:rsid w:val="009A4D8D"/>
    <w:rsid w:val="009A4F9E"/>
    <w:rsid w:val="009A4FD7"/>
    <w:rsid w:val="009A5B53"/>
    <w:rsid w:val="009A631E"/>
    <w:rsid w:val="009A6DB2"/>
    <w:rsid w:val="009B0691"/>
    <w:rsid w:val="009B0CAE"/>
    <w:rsid w:val="009B1351"/>
    <w:rsid w:val="009B25F5"/>
    <w:rsid w:val="009B3226"/>
    <w:rsid w:val="009B3375"/>
    <w:rsid w:val="009B45A6"/>
    <w:rsid w:val="009B60E1"/>
    <w:rsid w:val="009B6B0C"/>
    <w:rsid w:val="009B6EC4"/>
    <w:rsid w:val="009B7428"/>
    <w:rsid w:val="009B74BB"/>
    <w:rsid w:val="009C0A43"/>
    <w:rsid w:val="009C16FB"/>
    <w:rsid w:val="009C1BA4"/>
    <w:rsid w:val="009C2182"/>
    <w:rsid w:val="009C2275"/>
    <w:rsid w:val="009C295B"/>
    <w:rsid w:val="009C38C9"/>
    <w:rsid w:val="009C3BCE"/>
    <w:rsid w:val="009C4DEF"/>
    <w:rsid w:val="009C642E"/>
    <w:rsid w:val="009C6543"/>
    <w:rsid w:val="009C743B"/>
    <w:rsid w:val="009D0440"/>
    <w:rsid w:val="009D0BEE"/>
    <w:rsid w:val="009D0F36"/>
    <w:rsid w:val="009D197C"/>
    <w:rsid w:val="009D24EE"/>
    <w:rsid w:val="009D2F0C"/>
    <w:rsid w:val="009D3211"/>
    <w:rsid w:val="009D3754"/>
    <w:rsid w:val="009D3761"/>
    <w:rsid w:val="009D4020"/>
    <w:rsid w:val="009D5698"/>
    <w:rsid w:val="009D7573"/>
    <w:rsid w:val="009D7AD8"/>
    <w:rsid w:val="009D7B7C"/>
    <w:rsid w:val="009E1828"/>
    <w:rsid w:val="009E19B5"/>
    <w:rsid w:val="009E285B"/>
    <w:rsid w:val="009E33D2"/>
    <w:rsid w:val="009E35FD"/>
    <w:rsid w:val="009E3B8E"/>
    <w:rsid w:val="009E490B"/>
    <w:rsid w:val="009E4ADB"/>
    <w:rsid w:val="009E4DF7"/>
    <w:rsid w:val="009E5566"/>
    <w:rsid w:val="009E5A50"/>
    <w:rsid w:val="009E5A7C"/>
    <w:rsid w:val="009E6C7E"/>
    <w:rsid w:val="009E7696"/>
    <w:rsid w:val="009E7E75"/>
    <w:rsid w:val="009F0C6F"/>
    <w:rsid w:val="009F12A9"/>
    <w:rsid w:val="009F14CD"/>
    <w:rsid w:val="009F2180"/>
    <w:rsid w:val="009F2843"/>
    <w:rsid w:val="009F52DA"/>
    <w:rsid w:val="009F5FDD"/>
    <w:rsid w:val="009F620A"/>
    <w:rsid w:val="009F70AC"/>
    <w:rsid w:val="009F7319"/>
    <w:rsid w:val="009F7368"/>
    <w:rsid w:val="00A0065A"/>
    <w:rsid w:val="00A008E3"/>
    <w:rsid w:val="00A01366"/>
    <w:rsid w:val="00A0146C"/>
    <w:rsid w:val="00A02584"/>
    <w:rsid w:val="00A03B6C"/>
    <w:rsid w:val="00A04692"/>
    <w:rsid w:val="00A04BF6"/>
    <w:rsid w:val="00A05329"/>
    <w:rsid w:val="00A06925"/>
    <w:rsid w:val="00A077F2"/>
    <w:rsid w:val="00A12ACE"/>
    <w:rsid w:val="00A12C8B"/>
    <w:rsid w:val="00A13008"/>
    <w:rsid w:val="00A130D9"/>
    <w:rsid w:val="00A1396F"/>
    <w:rsid w:val="00A15443"/>
    <w:rsid w:val="00A15D4A"/>
    <w:rsid w:val="00A16C3B"/>
    <w:rsid w:val="00A1700F"/>
    <w:rsid w:val="00A171ED"/>
    <w:rsid w:val="00A17B69"/>
    <w:rsid w:val="00A203DB"/>
    <w:rsid w:val="00A24110"/>
    <w:rsid w:val="00A24A30"/>
    <w:rsid w:val="00A27231"/>
    <w:rsid w:val="00A27880"/>
    <w:rsid w:val="00A325F2"/>
    <w:rsid w:val="00A3280F"/>
    <w:rsid w:val="00A32B24"/>
    <w:rsid w:val="00A3309D"/>
    <w:rsid w:val="00A34D40"/>
    <w:rsid w:val="00A35082"/>
    <w:rsid w:val="00A3536D"/>
    <w:rsid w:val="00A353AA"/>
    <w:rsid w:val="00A35C94"/>
    <w:rsid w:val="00A35E52"/>
    <w:rsid w:val="00A3649E"/>
    <w:rsid w:val="00A36652"/>
    <w:rsid w:val="00A36873"/>
    <w:rsid w:val="00A37483"/>
    <w:rsid w:val="00A4201F"/>
    <w:rsid w:val="00A4232B"/>
    <w:rsid w:val="00A4293A"/>
    <w:rsid w:val="00A42A39"/>
    <w:rsid w:val="00A42C9A"/>
    <w:rsid w:val="00A436C6"/>
    <w:rsid w:val="00A455DE"/>
    <w:rsid w:val="00A45738"/>
    <w:rsid w:val="00A4697D"/>
    <w:rsid w:val="00A46C43"/>
    <w:rsid w:val="00A47324"/>
    <w:rsid w:val="00A509E8"/>
    <w:rsid w:val="00A51EE4"/>
    <w:rsid w:val="00A52542"/>
    <w:rsid w:val="00A526D8"/>
    <w:rsid w:val="00A52EB2"/>
    <w:rsid w:val="00A53EC9"/>
    <w:rsid w:val="00A54AB0"/>
    <w:rsid w:val="00A56B07"/>
    <w:rsid w:val="00A576DC"/>
    <w:rsid w:val="00A577A3"/>
    <w:rsid w:val="00A602DE"/>
    <w:rsid w:val="00A604E7"/>
    <w:rsid w:val="00A60B26"/>
    <w:rsid w:val="00A60BA0"/>
    <w:rsid w:val="00A612E3"/>
    <w:rsid w:val="00A6320F"/>
    <w:rsid w:val="00A64E08"/>
    <w:rsid w:val="00A652EC"/>
    <w:rsid w:val="00A663E2"/>
    <w:rsid w:val="00A664EB"/>
    <w:rsid w:val="00A6754E"/>
    <w:rsid w:val="00A7056D"/>
    <w:rsid w:val="00A71392"/>
    <w:rsid w:val="00A722D0"/>
    <w:rsid w:val="00A726D1"/>
    <w:rsid w:val="00A72F0D"/>
    <w:rsid w:val="00A76E31"/>
    <w:rsid w:val="00A77053"/>
    <w:rsid w:val="00A77EED"/>
    <w:rsid w:val="00A80B00"/>
    <w:rsid w:val="00A80BBF"/>
    <w:rsid w:val="00A80C4D"/>
    <w:rsid w:val="00A81E8A"/>
    <w:rsid w:val="00A81F60"/>
    <w:rsid w:val="00A81FCA"/>
    <w:rsid w:val="00A8204F"/>
    <w:rsid w:val="00A83597"/>
    <w:rsid w:val="00A83637"/>
    <w:rsid w:val="00A847C4"/>
    <w:rsid w:val="00A84F90"/>
    <w:rsid w:val="00A865A9"/>
    <w:rsid w:val="00A87119"/>
    <w:rsid w:val="00A87392"/>
    <w:rsid w:val="00A87AAE"/>
    <w:rsid w:val="00A92095"/>
    <w:rsid w:val="00A939AF"/>
    <w:rsid w:val="00A9556B"/>
    <w:rsid w:val="00A95E7A"/>
    <w:rsid w:val="00A96A8F"/>
    <w:rsid w:val="00AA1034"/>
    <w:rsid w:val="00AA1A21"/>
    <w:rsid w:val="00AA26A6"/>
    <w:rsid w:val="00AA333F"/>
    <w:rsid w:val="00AA42B3"/>
    <w:rsid w:val="00AA47D1"/>
    <w:rsid w:val="00AA4B3D"/>
    <w:rsid w:val="00AA4C00"/>
    <w:rsid w:val="00AA79DD"/>
    <w:rsid w:val="00AA7DDD"/>
    <w:rsid w:val="00AA7EB8"/>
    <w:rsid w:val="00AB0738"/>
    <w:rsid w:val="00AB0D03"/>
    <w:rsid w:val="00AB2712"/>
    <w:rsid w:val="00AB508D"/>
    <w:rsid w:val="00AB57F8"/>
    <w:rsid w:val="00AB5CCC"/>
    <w:rsid w:val="00AB69AA"/>
    <w:rsid w:val="00AB6C00"/>
    <w:rsid w:val="00AC036C"/>
    <w:rsid w:val="00AC0F0B"/>
    <w:rsid w:val="00AC2707"/>
    <w:rsid w:val="00AC374C"/>
    <w:rsid w:val="00AC411B"/>
    <w:rsid w:val="00AC414B"/>
    <w:rsid w:val="00AC4BA7"/>
    <w:rsid w:val="00AC4E59"/>
    <w:rsid w:val="00AC588F"/>
    <w:rsid w:val="00AC6496"/>
    <w:rsid w:val="00AD03EB"/>
    <w:rsid w:val="00AD049C"/>
    <w:rsid w:val="00AD14F8"/>
    <w:rsid w:val="00AD17AA"/>
    <w:rsid w:val="00AD24B5"/>
    <w:rsid w:val="00AD379D"/>
    <w:rsid w:val="00AD42B3"/>
    <w:rsid w:val="00AD44B3"/>
    <w:rsid w:val="00AD5FFE"/>
    <w:rsid w:val="00AD60E8"/>
    <w:rsid w:val="00AD7D37"/>
    <w:rsid w:val="00AE1311"/>
    <w:rsid w:val="00AE159B"/>
    <w:rsid w:val="00AE4128"/>
    <w:rsid w:val="00AE4AEB"/>
    <w:rsid w:val="00AE55E4"/>
    <w:rsid w:val="00AE5E67"/>
    <w:rsid w:val="00AE5FAD"/>
    <w:rsid w:val="00AE655F"/>
    <w:rsid w:val="00AE75AC"/>
    <w:rsid w:val="00AE79CF"/>
    <w:rsid w:val="00AE7E90"/>
    <w:rsid w:val="00AF0365"/>
    <w:rsid w:val="00AF04A7"/>
    <w:rsid w:val="00AF07C0"/>
    <w:rsid w:val="00AF0813"/>
    <w:rsid w:val="00AF0836"/>
    <w:rsid w:val="00AF0FAA"/>
    <w:rsid w:val="00AF1B52"/>
    <w:rsid w:val="00AF30EE"/>
    <w:rsid w:val="00AF3705"/>
    <w:rsid w:val="00AF50F1"/>
    <w:rsid w:val="00AF52CE"/>
    <w:rsid w:val="00AF5AD2"/>
    <w:rsid w:val="00AF609B"/>
    <w:rsid w:val="00AF6222"/>
    <w:rsid w:val="00AF6B05"/>
    <w:rsid w:val="00AF729E"/>
    <w:rsid w:val="00AF7478"/>
    <w:rsid w:val="00AF761E"/>
    <w:rsid w:val="00B03D14"/>
    <w:rsid w:val="00B03D6E"/>
    <w:rsid w:val="00B03E44"/>
    <w:rsid w:val="00B04688"/>
    <w:rsid w:val="00B04C27"/>
    <w:rsid w:val="00B052E6"/>
    <w:rsid w:val="00B05B49"/>
    <w:rsid w:val="00B06053"/>
    <w:rsid w:val="00B067F1"/>
    <w:rsid w:val="00B072AD"/>
    <w:rsid w:val="00B0738B"/>
    <w:rsid w:val="00B1095A"/>
    <w:rsid w:val="00B11E1B"/>
    <w:rsid w:val="00B12026"/>
    <w:rsid w:val="00B12291"/>
    <w:rsid w:val="00B13699"/>
    <w:rsid w:val="00B13B96"/>
    <w:rsid w:val="00B14882"/>
    <w:rsid w:val="00B14F38"/>
    <w:rsid w:val="00B1563C"/>
    <w:rsid w:val="00B15B65"/>
    <w:rsid w:val="00B162EE"/>
    <w:rsid w:val="00B16410"/>
    <w:rsid w:val="00B16EAF"/>
    <w:rsid w:val="00B20B37"/>
    <w:rsid w:val="00B20E5E"/>
    <w:rsid w:val="00B21830"/>
    <w:rsid w:val="00B22D14"/>
    <w:rsid w:val="00B22EB8"/>
    <w:rsid w:val="00B22FB6"/>
    <w:rsid w:val="00B2372E"/>
    <w:rsid w:val="00B2498F"/>
    <w:rsid w:val="00B24A7C"/>
    <w:rsid w:val="00B2550B"/>
    <w:rsid w:val="00B25D8F"/>
    <w:rsid w:val="00B270AB"/>
    <w:rsid w:val="00B27149"/>
    <w:rsid w:val="00B30330"/>
    <w:rsid w:val="00B30613"/>
    <w:rsid w:val="00B318A6"/>
    <w:rsid w:val="00B33EB6"/>
    <w:rsid w:val="00B33F9F"/>
    <w:rsid w:val="00B34CC6"/>
    <w:rsid w:val="00B34F2E"/>
    <w:rsid w:val="00B35649"/>
    <w:rsid w:val="00B36913"/>
    <w:rsid w:val="00B3745B"/>
    <w:rsid w:val="00B409F9"/>
    <w:rsid w:val="00B413E8"/>
    <w:rsid w:val="00B41AAB"/>
    <w:rsid w:val="00B42892"/>
    <w:rsid w:val="00B43D0F"/>
    <w:rsid w:val="00B446BA"/>
    <w:rsid w:val="00B44DEE"/>
    <w:rsid w:val="00B45C25"/>
    <w:rsid w:val="00B4619E"/>
    <w:rsid w:val="00B464F8"/>
    <w:rsid w:val="00B47B70"/>
    <w:rsid w:val="00B502A6"/>
    <w:rsid w:val="00B51821"/>
    <w:rsid w:val="00B524B1"/>
    <w:rsid w:val="00B52601"/>
    <w:rsid w:val="00B526E6"/>
    <w:rsid w:val="00B5375E"/>
    <w:rsid w:val="00B5399F"/>
    <w:rsid w:val="00B53F8E"/>
    <w:rsid w:val="00B5537A"/>
    <w:rsid w:val="00B55817"/>
    <w:rsid w:val="00B55FE7"/>
    <w:rsid w:val="00B56936"/>
    <w:rsid w:val="00B571F3"/>
    <w:rsid w:val="00B57B78"/>
    <w:rsid w:val="00B57BD6"/>
    <w:rsid w:val="00B60A4A"/>
    <w:rsid w:val="00B60E03"/>
    <w:rsid w:val="00B615A2"/>
    <w:rsid w:val="00B62113"/>
    <w:rsid w:val="00B6279B"/>
    <w:rsid w:val="00B631D3"/>
    <w:rsid w:val="00B64435"/>
    <w:rsid w:val="00B65406"/>
    <w:rsid w:val="00B655F4"/>
    <w:rsid w:val="00B65E01"/>
    <w:rsid w:val="00B6676A"/>
    <w:rsid w:val="00B671F8"/>
    <w:rsid w:val="00B67A04"/>
    <w:rsid w:val="00B67D88"/>
    <w:rsid w:val="00B70844"/>
    <w:rsid w:val="00B70F26"/>
    <w:rsid w:val="00B710AF"/>
    <w:rsid w:val="00B7114C"/>
    <w:rsid w:val="00B71979"/>
    <w:rsid w:val="00B7211F"/>
    <w:rsid w:val="00B722FD"/>
    <w:rsid w:val="00B7317A"/>
    <w:rsid w:val="00B73619"/>
    <w:rsid w:val="00B73831"/>
    <w:rsid w:val="00B748D7"/>
    <w:rsid w:val="00B751EA"/>
    <w:rsid w:val="00B76F92"/>
    <w:rsid w:val="00B7759F"/>
    <w:rsid w:val="00B8005D"/>
    <w:rsid w:val="00B813D5"/>
    <w:rsid w:val="00B81CDA"/>
    <w:rsid w:val="00B8209F"/>
    <w:rsid w:val="00B8220F"/>
    <w:rsid w:val="00B82720"/>
    <w:rsid w:val="00B82908"/>
    <w:rsid w:val="00B83055"/>
    <w:rsid w:val="00B83733"/>
    <w:rsid w:val="00B837B7"/>
    <w:rsid w:val="00B83B3C"/>
    <w:rsid w:val="00B84608"/>
    <w:rsid w:val="00B852D4"/>
    <w:rsid w:val="00B85615"/>
    <w:rsid w:val="00B856B4"/>
    <w:rsid w:val="00B859D4"/>
    <w:rsid w:val="00B85EDB"/>
    <w:rsid w:val="00B86199"/>
    <w:rsid w:val="00B86415"/>
    <w:rsid w:val="00B869F5"/>
    <w:rsid w:val="00B86DEF"/>
    <w:rsid w:val="00B901DB"/>
    <w:rsid w:val="00B90602"/>
    <w:rsid w:val="00B91830"/>
    <w:rsid w:val="00B928ED"/>
    <w:rsid w:val="00B92B14"/>
    <w:rsid w:val="00B9368F"/>
    <w:rsid w:val="00B93730"/>
    <w:rsid w:val="00B94766"/>
    <w:rsid w:val="00B94E02"/>
    <w:rsid w:val="00B9542B"/>
    <w:rsid w:val="00B966B7"/>
    <w:rsid w:val="00B97A2C"/>
    <w:rsid w:val="00B97FE1"/>
    <w:rsid w:val="00BA03F1"/>
    <w:rsid w:val="00BA04F4"/>
    <w:rsid w:val="00BA275E"/>
    <w:rsid w:val="00BA2898"/>
    <w:rsid w:val="00BA2C1D"/>
    <w:rsid w:val="00BA30DB"/>
    <w:rsid w:val="00BA31B7"/>
    <w:rsid w:val="00BA40E8"/>
    <w:rsid w:val="00BA41AF"/>
    <w:rsid w:val="00BA42CB"/>
    <w:rsid w:val="00BA44FB"/>
    <w:rsid w:val="00BA512B"/>
    <w:rsid w:val="00BA5427"/>
    <w:rsid w:val="00BA5B34"/>
    <w:rsid w:val="00BA7386"/>
    <w:rsid w:val="00BB1A43"/>
    <w:rsid w:val="00BB2417"/>
    <w:rsid w:val="00BB24AB"/>
    <w:rsid w:val="00BB3141"/>
    <w:rsid w:val="00BB3AB6"/>
    <w:rsid w:val="00BB448A"/>
    <w:rsid w:val="00BB457A"/>
    <w:rsid w:val="00BB4889"/>
    <w:rsid w:val="00BB4B49"/>
    <w:rsid w:val="00BB4EB6"/>
    <w:rsid w:val="00BB5CF7"/>
    <w:rsid w:val="00BB6DAC"/>
    <w:rsid w:val="00BB77F6"/>
    <w:rsid w:val="00BC07B5"/>
    <w:rsid w:val="00BC09D3"/>
    <w:rsid w:val="00BC1F65"/>
    <w:rsid w:val="00BC2824"/>
    <w:rsid w:val="00BC2DE7"/>
    <w:rsid w:val="00BC2ECC"/>
    <w:rsid w:val="00BC2F7A"/>
    <w:rsid w:val="00BC356D"/>
    <w:rsid w:val="00BC377A"/>
    <w:rsid w:val="00BC4D14"/>
    <w:rsid w:val="00BC5FDC"/>
    <w:rsid w:val="00BC67A4"/>
    <w:rsid w:val="00BC6AB5"/>
    <w:rsid w:val="00BC721D"/>
    <w:rsid w:val="00BC79EE"/>
    <w:rsid w:val="00BC7ED4"/>
    <w:rsid w:val="00BD0437"/>
    <w:rsid w:val="00BD0E2C"/>
    <w:rsid w:val="00BD12A5"/>
    <w:rsid w:val="00BD1652"/>
    <w:rsid w:val="00BD2F72"/>
    <w:rsid w:val="00BD369C"/>
    <w:rsid w:val="00BD5C1C"/>
    <w:rsid w:val="00BD7CF1"/>
    <w:rsid w:val="00BE0217"/>
    <w:rsid w:val="00BE28DB"/>
    <w:rsid w:val="00BE2F19"/>
    <w:rsid w:val="00BE2FC7"/>
    <w:rsid w:val="00BE3141"/>
    <w:rsid w:val="00BE3206"/>
    <w:rsid w:val="00BE3C93"/>
    <w:rsid w:val="00BE448E"/>
    <w:rsid w:val="00BE5B89"/>
    <w:rsid w:val="00BE5DD7"/>
    <w:rsid w:val="00BE6050"/>
    <w:rsid w:val="00BE6985"/>
    <w:rsid w:val="00BE7613"/>
    <w:rsid w:val="00BE7C2C"/>
    <w:rsid w:val="00BF17FC"/>
    <w:rsid w:val="00BF1892"/>
    <w:rsid w:val="00BF1DC5"/>
    <w:rsid w:val="00BF24A2"/>
    <w:rsid w:val="00BF2B31"/>
    <w:rsid w:val="00BF353A"/>
    <w:rsid w:val="00BF3DEE"/>
    <w:rsid w:val="00BF4B4E"/>
    <w:rsid w:val="00BF4B83"/>
    <w:rsid w:val="00BF52EB"/>
    <w:rsid w:val="00BF548C"/>
    <w:rsid w:val="00BF60A0"/>
    <w:rsid w:val="00BF63A7"/>
    <w:rsid w:val="00BF644B"/>
    <w:rsid w:val="00BF7107"/>
    <w:rsid w:val="00BF73D1"/>
    <w:rsid w:val="00C01DDD"/>
    <w:rsid w:val="00C020BE"/>
    <w:rsid w:val="00C022E5"/>
    <w:rsid w:val="00C0235A"/>
    <w:rsid w:val="00C02DEC"/>
    <w:rsid w:val="00C02F36"/>
    <w:rsid w:val="00C0359C"/>
    <w:rsid w:val="00C045F8"/>
    <w:rsid w:val="00C06212"/>
    <w:rsid w:val="00C064C8"/>
    <w:rsid w:val="00C064F1"/>
    <w:rsid w:val="00C0684F"/>
    <w:rsid w:val="00C068C2"/>
    <w:rsid w:val="00C07B80"/>
    <w:rsid w:val="00C07D8C"/>
    <w:rsid w:val="00C1019C"/>
    <w:rsid w:val="00C10227"/>
    <w:rsid w:val="00C111ED"/>
    <w:rsid w:val="00C11B90"/>
    <w:rsid w:val="00C13D71"/>
    <w:rsid w:val="00C144CE"/>
    <w:rsid w:val="00C14FDB"/>
    <w:rsid w:val="00C155DC"/>
    <w:rsid w:val="00C161CB"/>
    <w:rsid w:val="00C163BA"/>
    <w:rsid w:val="00C1659A"/>
    <w:rsid w:val="00C1702C"/>
    <w:rsid w:val="00C17245"/>
    <w:rsid w:val="00C175CE"/>
    <w:rsid w:val="00C17E5F"/>
    <w:rsid w:val="00C17E90"/>
    <w:rsid w:val="00C20711"/>
    <w:rsid w:val="00C22D9A"/>
    <w:rsid w:val="00C23432"/>
    <w:rsid w:val="00C234E8"/>
    <w:rsid w:val="00C2452E"/>
    <w:rsid w:val="00C25AC2"/>
    <w:rsid w:val="00C26981"/>
    <w:rsid w:val="00C26C7E"/>
    <w:rsid w:val="00C27EAE"/>
    <w:rsid w:val="00C302C8"/>
    <w:rsid w:val="00C304DC"/>
    <w:rsid w:val="00C3158F"/>
    <w:rsid w:val="00C31BB7"/>
    <w:rsid w:val="00C321D0"/>
    <w:rsid w:val="00C32C1E"/>
    <w:rsid w:val="00C32ED2"/>
    <w:rsid w:val="00C332A7"/>
    <w:rsid w:val="00C3334B"/>
    <w:rsid w:val="00C352DB"/>
    <w:rsid w:val="00C35F77"/>
    <w:rsid w:val="00C367DF"/>
    <w:rsid w:val="00C37408"/>
    <w:rsid w:val="00C405BB"/>
    <w:rsid w:val="00C413CA"/>
    <w:rsid w:val="00C4264B"/>
    <w:rsid w:val="00C440E0"/>
    <w:rsid w:val="00C44AA2"/>
    <w:rsid w:val="00C45140"/>
    <w:rsid w:val="00C46A53"/>
    <w:rsid w:val="00C47859"/>
    <w:rsid w:val="00C52161"/>
    <w:rsid w:val="00C52494"/>
    <w:rsid w:val="00C52D0A"/>
    <w:rsid w:val="00C53A02"/>
    <w:rsid w:val="00C54AFC"/>
    <w:rsid w:val="00C54FA2"/>
    <w:rsid w:val="00C556B0"/>
    <w:rsid w:val="00C55796"/>
    <w:rsid w:val="00C55ACB"/>
    <w:rsid w:val="00C5666B"/>
    <w:rsid w:val="00C57294"/>
    <w:rsid w:val="00C60A1F"/>
    <w:rsid w:val="00C60A60"/>
    <w:rsid w:val="00C61FFE"/>
    <w:rsid w:val="00C621EB"/>
    <w:rsid w:val="00C62299"/>
    <w:rsid w:val="00C626CA"/>
    <w:rsid w:val="00C6301D"/>
    <w:rsid w:val="00C63A32"/>
    <w:rsid w:val="00C63E73"/>
    <w:rsid w:val="00C6466F"/>
    <w:rsid w:val="00C653C0"/>
    <w:rsid w:val="00C66681"/>
    <w:rsid w:val="00C66967"/>
    <w:rsid w:val="00C66EF8"/>
    <w:rsid w:val="00C67099"/>
    <w:rsid w:val="00C6728A"/>
    <w:rsid w:val="00C67AAE"/>
    <w:rsid w:val="00C67E94"/>
    <w:rsid w:val="00C70487"/>
    <w:rsid w:val="00C70F76"/>
    <w:rsid w:val="00C71662"/>
    <w:rsid w:val="00C7166C"/>
    <w:rsid w:val="00C72154"/>
    <w:rsid w:val="00C7225F"/>
    <w:rsid w:val="00C72A18"/>
    <w:rsid w:val="00C734A7"/>
    <w:rsid w:val="00C73F4C"/>
    <w:rsid w:val="00C74593"/>
    <w:rsid w:val="00C74E1E"/>
    <w:rsid w:val="00C75749"/>
    <w:rsid w:val="00C75EB4"/>
    <w:rsid w:val="00C760A5"/>
    <w:rsid w:val="00C76838"/>
    <w:rsid w:val="00C770B4"/>
    <w:rsid w:val="00C7766D"/>
    <w:rsid w:val="00C7781E"/>
    <w:rsid w:val="00C77E25"/>
    <w:rsid w:val="00C77F60"/>
    <w:rsid w:val="00C800E8"/>
    <w:rsid w:val="00C8150A"/>
    <w:rsid w:val="00C832E1"/>
    <w:rsid w:val="00C83599"/>
    <w:rsid w:val="00C83CB6"/>
    <w:rsid w:val="00C85128"/>
    <w:rsid w:val="00C85973"/>
    <w:rsid w:val="00C85C91"/>
    <w:rsid w:val="00C879DC"/>
    <w:rsid w:val="00C90118"/>
    <w:rsid w:val="00C91400"/>
    <w:rsid w:val="00C91DA8"/>
    <w:rsid w:val="00C92979"/>
    <w:rsid w:val="00C931BA"/>
    <w:rsid w:val="00C937CB"/>
    <w:rsid w:val="00C93914"/>
    <w:rsid w:val="00C946E7"/>
    <w:rsid w:val="00C9559B"/>
    <w:rsid w:val="00C961A9"/>
    <w:rsid w:val="00C96CA8"/>
    <w:rsid w:val="00C96DEC"/>
    <w:rsid w:val="00C97F1C"/>
    <w:rsid w:val="00CA0CE0"/>
    <w:rsid w:val="00CA0D5C"/>
    <w:rsid w:val="00CA0E2B"/>
    <w:rsid w:val="00CA1794"/>
    <w:rsid w:val="00CA1ED8"/>
    <w:rsid w:val="00CA3B94"/>
    <w:rsid w:val="00CA3D3A"/>
    <w:rsid w:val="00CA4E2A"/>
    <w:rsid w:val="00CA4E6C"/>
    <w:rsid w:val="00CA55A9"/>
    <w:rsid w:val="00CA5954"/>
    <w:rsid w:val="00CA6E66"/>
    <w:rsid w:val="00CA7376"/>
    <w:rsid w:val="00CA7A5D"/>
    <w:rsid w:val="00CB0605"/>
    <w:rsid w:val="00CB0726"/>
    <w:rsid w:val="00CB0759"/>
    <w:rsid w:val="00CB0761"/>
    <w:rsid w:val="00CB0990"/>
    <w:rsid w:val="00CB0C90"/>
    <w:rsid w:val="00CB1804"/>
    <w:rsid w:val="00CB18CD"/>
    <w:rsid w:val="00CB18DF"/>
    <w:rsid w:val="00CB3AC6"/>
    <w:rsid w:val="00CB46BB"/>
    <w:rsid w:val="00CB5387"/>
    <w:rsid w:val="00CB551D"/>
    <w:rsid w:val="00CB5BE3"/>
    <w:rsid w:val="00CB5E12"/>
    <w:rsid w:val="00CB602A"/>
    <w:rsid w:val="00CB7790"/>
    <w:rsid w:val="00CB7991"/>
    <w:rsid w:val="00CC0CC6"/>
    <w:rsid w:val="00CC10F7"/>
    <w:rsid w:val="00CC20FE"/>
    <w:rsid w:val="00CC2E07"/>
    <w:rsid w:val="00CC3E76"/>
    <w:rsid w:val="00CC4302"/>
    <w:rsid w:val="00CC5A84"/>
    <w:rsid w:val="00CC617A"/>
    <w:rsid w:val="00CC7066"/>
    <w:rsid w:val="00CD01AE"/>
    <w:rsid w:val="00CD0334"/>
    <w:rsid w:val="00CD0789"/>
    <w:rsid w:val="00CD0CA0"/>
    <w:rsid w:val="00CD0D97"/>
    <w:rsid w:val="00CD13CA"/>
    <w:rsid w:val="00CD1C2B"/>
    <w:rsid w:val="00CD1CB3"/>
    <w:rsid w:val="00CD1DEE"/>
    <w:rsid w:val="00CD3097"/>
    <w:rsid w:val="00CD34DB"/>
    <w:rsid w:val="00CD367D"/>
    <w:rsid w:val="00CD3ADB"/>
    <w:rsid w:val="00CD4FA7"/>
    <w:rsid w:val="00CD5536"/>
    <w:rsid w:val="00CD620B"/>
    <w:rsid w:val="00CD6604"/>
    <w:rsid w:val="00CD673E"/>
    <w:rsid w:val="00CE0105"/>
    <w:rsid w:val="00CE0900"/>
    <w:rsid w:val="00CE10EF"/>
    <w:rsid w:val="00CE1163"/>
    <w:rsid w:val="00CE12BF"/>
    <w:rsid w:val="00CE1535"/>
    <w:rsid w:val="00CE1742"/>
    <w:rsid w:val="00CE2907"/>
    <w:rsid w:val="00CE2B29"/>
    <w:rsid w:val="00CE3569"/>
    <w:rsid w:val="00CE3997"/>
    <w:rsid w:val="00CE3BAB"/>
    <w:rsid w:val="00CE3DA1"/>
    <w:rsid w:val="00CE4C99"/>
    <w:rsid w:val="00CE4FD0"/>
    <w:rsid w:val="00CE4FD7"/>
    <w:rsid w:val="00CE5D2D"/>
    <w:rsid w:val="00CE75E0"/>
    <w:rsid w:val="00CF02B7"/>
    <w:rsid w:val="00CF1686"/>
    <w:rsid w:val="00CF2BC8"/>
    <w:rsid w:val="00CF6D66"/>
    <w:rsid w:val="00CF7AC1"/>
    <w:rsid w:val="00D00567"/>
    <w:rsid w:val="00D00628"/>
    <w:rsid w:val="00D007E2"/>
    <w:rsid w:val="00D00DC0"/>
    <w:rsid w:val="00D01248"/>
    <w:rsid w:val="00D012E7"/>
    <w:rsid w:val="00D02739"/>
    <w:rsid w:val="00D033F0"/>
    <w:rsid w:val="00D05E02"/>
    <w:rsid w:val="00D05F3F"/>
    <w:rsid w:val="00D06572"/>
    <w:rsid w:val="00D06BA6"/>
    <w:rsid w:val="00D06EA2"/>
    <w:rsid w:val="00D073BA"/>
    <w:rsid w:val="00D07746"/>
    <w:rsid w:val="00D112E1"/>
    <w:rsid w:val="00D114EA"/>
    <w:rsid w:val="00D12495"/>
    <w:rsid w:val="00D13256"/>
    <w:rsid w:val="00D13A16"/>
    <w:rsid w:val="00D13C5E"/>
    <w:rsid w:val="00D14B82"/>
    <w:rsid w:val="00D15364"/>
    <w:rsid w:val="00D1568C"/>
    <w:rsid w:val="00D16517"/>
    <w:rsid w:val="00D16821"/>
    <w:rsid w:val="00D16887"/>
    <w:rsid w:val="00D169C6"/>
    <w:rsid w:val="00D175E3"/>
    <w:rsid w:val="00D17620"/>
    <w:rsid w:val="00D17EC0"/>
    <w:rsid w:val="00D2142E"/>
    <w:rsid w:val="00D22405"/>
    <w:rsid w:val="00D22C39"/>
    <w:rsid w:val="00D22D4A"/>
    <w:rsid w:val="00D23674"/>
    <w:rsid w:val="00D23992"/>
    <w:rsid w:val="00D24062"/>
    <w:rsid w:val="00D2406A"/>
    <w:rsid w:val="00D24D23"/>
    <w:rsid w:val="00D2500F"/>
    <w:rsid w:val="00D26B76"/>
    <w:rsid w:val="00D27595"/>
    <w:rsid w:val="00D275AD"/>
    <w:rsid w:val="00D275CF"/>
    <w:rsid w:val="00D27725"/>
    <w:rsid w:val="00D305DA"/>
    <w:rsid w:val="00D306DD"/>
    <w:rsid w:val="00D307B6"/>
    <w:rsid w:val="00D31E3B"/>
    <w:rsid w:val="00D31F84"/>
    <w:rsid w:val="00D3281A"/>
    <w:rsid w:val="00D32BCB"/>
    <w:rsid w:val="00D330DC"/>
    <w:rsid w:val="00D34130"/>
    <w:rsid w:val="00D342B0"/>
    <w:rsid w:val="00D351C9"/>
    <w:rsid w:val="00D35212"/>
    <w:rsid w:val="00D353E8"/>
    <w:rsid w:val="00D36E63"/>
    <w:rsid w:val="00D371B8"/>
    <w:rsid w:val="00D405BA"/>
    <w:rsid w:val="00D40A4F"/>
    <w:rsid w:val="00D416B7"/>
    <w:rsid w:val="00D41906"/>
    <w:rsid w:val="00D41BB6"/>
    <w:rsid w:val="00D42BF5"/>
    <w:rsid w:val="00D42CEF"/>
    <w:rsid w:val="00D433A4"/>
    <w:rsid w:val="00D44C98"/>
    <w:rsid w:val="00D4572B"/>
    <w:rsid w:val="00D45A06"/>
    <w:rsid w:val="00D45E50"/>
    <w:rsid w:val="00D461D2"/>
    <w:rsid w:val="00D46D23"/>
    <w:rsid w:val="00D47298"/>
    <w:rsid w:val="00D52355"/>
    <w:rsid w:val="00D53B43"/>
    <w:rsid w:val="00D53D03"/>
    <w:rsid w:val="00D5485A"/>
    <w:rsid w:val="00D54965"/>
    <w:rsid w:val="00D549E2"/>
    <w:rsid w:val="00D54D9B"/>
    <w:rsid w:val="00D55941"/>
    <w:rsid w:val="00D567E6"/>
    <w:rsid w:val="00D569C6"/>
    <w:rsid w:val="00D576D4"/>
    <w:rsid w:val="00D615B1"/>
    <w:rsid w:val="00D622B4"/>
    <w:rsid w:val="00D6403A"/>
    <w:rsid w:val="00D6416C"/>
    <w:rsid w:val="00D64801"/>
    <w:rsid w:val="00D649F4"/>
    <w:rsid w:val="00D6513F"/>
    <w:rsid w:val="00D65B5C"/>
    <w:rsid w:val="00D662D5"/>
    <w:rsid w:val="00D6732B"/>
    <w:rsid w:val="00D70064"/>
    <w:rsid w:val="00D732CF"/>
    <w:rsid w:val="00D741EB"/>
    <w:rsid w:val="00D75FBE"/>
    <w:rsid w:val="00D764F5"/>
    <w:rsid w:val="00D76B8D"/>
    <w:rsid w:val="00D76E69"/>
    <w:rsid w:val="00D801E6"/>
    <w:rsid w:val="00D80614"/>
    <w:rsid w:val="00D8065A"/>
    <w:rsid w:val="00D8093D"/>
    <w:rsid w:val="00D81CD2"/>
    <w:rsid w:val="00D836DD"/>
    <w:rsid w:val="00D8534A"/>
    <w:rsid w:val="00D859CC"/>
    <w:rsid w:val="00D86710"/>
    <w:rsid w:val="00D86C44"/>
    <w:rsid w:val="00D91E0E"/>
    <w:rsid w:val="00DA07D4"/>
    <w:rsid w:val="00DA0A7D"/>
    <w:rsid w:val="00DA0D56"/>
    <w:rsid w:val="00DA0D96"/>
    <w:rsid w:val="00DA0F16"/>
    <w:rsid w:val="00DA1388"/>
    <w:rsid w:val="00DA1A0C"/>
    <w:rsid w:val="00DA1FC8"/>
    <w:rsid w:val="00DA220A"/>
    <w:rsid w:val="00DA255B"/>
    <w:rsid w:val="00DA2CFF"/>
    <w:rsid w:val="00DA2F80"/>
    <w:rsid w:val="00DA3144"/>
    <w:rsid w:val="00DA4F88"/>
    <w:rsid w:val="00DA57C0"/>
    <w:rsid w:val="00DA5991"/>
    <w:rsid w:val="00DA6317"/>
    <w:rsid w:val="00DA66BA"/>
    <w:rsid w:val="00DA7235"/>
    <w:rsid w:val="00DA7309"/>
    <w:rsid w:val="00DA7DA4"/>
    <w:rsid w:val="00DA7E95"/>
    <w:rsid w:val="00DB02B3"/>
    <w:rsid w:val="00DB0483"/>
    <w:rsid w:val="00DB10BF"/>
    <w:rsid w:val="00DB1182"/>
    <w:rsid w:val="00DB12FB"/>
    <w:rsid w:val="00DB214F"/>
    <w:rsid w:val="00DB2D30"/>
    <w:rsid w:val="00DB3D40"/>
    <w:rsid w:val="00DB3E88"/>
    <w:rsid w:val="00DB3F3E"/>
    <w:rsid w:val="00DB4298"/>
    <w:rsid w:val="00DB4396"/>
    <w:rsid w:val="00DB466B"/>
    <w:rsid w:val="00DB5A59"/>
    <w:rsid w:val="00DC094E"/>
    <w:rsid w:val="00DC0CDA"/>
    <w:rsid w:val="00DC2719"/>
    <w:rsid w:val="00DC3A63"/>
    <w:rsid w:val="00DC403F"/>
    <w:rsid w:val="00DC4672"/>
    <w:rsid w:val="00DC47C9"/>
    <w:rsid w:val="00DC529B"/>
    <w:rsid w:val="00DC5607"/>
    <w:rsid w:val="00DC5BE4"/>
    <w:rsid w:val="00DC5C31"/>
    <w:rsid w:val="00DC5C49"/>
    <w:rsid w:val="00DC6079"/>
    <w:rsid w:val="00DC6212"/>
    <w:rsid w:val="00DC6282"/>
    <w:rsid w:val="00DC6C28"/>
    <w:rsid w:val="00DC6C76"/>
    <w:rsid w:val="00DC7779"/>
    <w:rsid w:val="00DC7EC4"/>
    <w:rsid w:val="00DD0B33"/>
    <w:rsid w:val="00DD10BB"/>
    <w:rsid w:val="00DD2982"/>
    <w:rsid w:val="00DD45B0"/>
    <w:rsid w:val="00DD45F3"/>
    <w:rsid w:val="00DD4E3F"/>
    <w:rsid w:val="00DD4E97"/>
    <w:rsid w:val="00DD57A8"/>
    <w:rsid w:val="00DD5DD5"/>
    <w:rsid w:val="00DD632B"/>
    <w:rsid w:val="00DD6653"/>
    <w:rsid w:val="00DE016E"/>
    <w:rsid w:val="00DE0523"/>
    <w:rsid w:val="00DE0A79"/>
    <w:rsid w:val="00DE0CF0"/>
    <w:rsid w:val="00DE18C3"/>
    <w:rsid w:val="00DE321A"/>
    <w:rsid w:val="00DE334D"/>
    <w:rsid w:val="00DE360E"/>
    <w:rsid w:val="00DE3E70"/>
    <w:rsid w:val="00DE4116"/>
    <w:rsid w:val="00DE5343"/>
    <w:rsid w:val="00DE563A"/>
    <w:rsid w:val="00DE626C"/>
    <w:rsid w:val="00DF135A"/>
    <w:rsid w:val="00DF1510"/>
    <w:rsid w:val="00DF2EAE"/>
    <w:rsid w:val="00DF31F1"/>
    <w:rsid w:val="00DF3D2F"/>
    <w:rsid w:val="00DF4635"/>
    <w:rsid w:val="00DF49EF"/>
    <w:rsid w:val="00DF5317"/>
    <w:rsid w:val="00DF636A"/>
    <w:rsid w:val="00DF6B16"/>
    <w:rsid w:val="00DF768F"/>
    <w:rsid w:val="00E00362"/>
    <w:rsid w:val="00E00DF5"/>
    <w:rsid w:val="00E0121A"/>
    <w:rsid w:val="00E01906"/>
    <w:rsid w:val="00E02000"/>
    <w:rsid w:val="00E02BCF"/>
    <w:rsid w:val="00E02D90"/>
    <w:rsid w:val="00E03AD9"/>
    <w:rsid w:val="00E04BD4"/>
    <w:rsid w:val="00E063F5"/>
    <w:rsid w:val="00E06B86"/>
    <w:rsid w:val="00E06F5B"/>
    <w:rsid w:val="00E073EA"/>
    <w:rsid w:val="00E10520"/>
    <w:rsid w:val="00E10BB2"/>
    <w:rsid w:val="00E10E5A"/>
    <w:rsid w:val="00E125D8"/>
    <w:rsid w:val="00E128CD"/>
    <w:rsid w:val="00E1347A"/>
    <w:rsid w:val="00E13C21"/>
    <w:rsid w:val="00E14F1E"/>
    <w:rsid w:val="00E153F8"/>
    <w:rsid w:val="00E15901"/>
    <w:rsid w:val="00E15C13"/>
    <w:rsid w:val="00E15F9D"/>
    <w:rsid w:val="00E15FF4"/>
    <w:rsid w:val="00E1627D"/>
    <w:rsid w:val="00E16906"/>
    <w:rsid w:val="00E16C64"/>
    <w:rsid w:val="00E20202"/>
    <w:rsid w:val="00E206B1"/>
    <w:rsid w:val="00E20D1A"/>
    <w:rsid w:val="00E21F42"/>
    <w:rsid w:val="00E22324"/>
    <w:rsid w:val="00E2255C"/>
    <w:rsid w:val="00E22CAE"/>
    <w:rsid w:val="00E230A6"/>
    <w:rsid w:val="00E232FC"/>
    <w:rsid w:val="00E23309"/>
    <w:rsid w:val="00E234A1"/>
    <w:rsid w:val="00E235A3"/>
    <w:rsid w:val="00E243A0"/>
    <w:rsid w:val="00E24E06"/>
    <w:rsid w:val="00E2694F"/>
    <w:rsid w:val="00E279DE"/>
    <w:rsid w:val="00E3179C"/>
    <w:rsid w:val="00E320FE"/>
    <w:rsid w:val="00E32834"/>
    <w:rsid w:val="00E32C31"/>
    <w:rsid w:val="00E337C6"/>
    <w:rsid w:val="00E3602F"/>
    <w:rsid w:val="00E36CEF"/>
    <w:rsid w:val="00E36F5A"/>
    <w:rsid w:val="00E3716D"/>
    <w:rsid w:val="00E37701"/>
    <w:rsid w:val="00E379FC"/>
    <w:rsid w:val="00E37F2B"/>
    <w:rsid w:val="00E40F4F"/>
    <w:rsid w:val="00E415B5"/>
    <w:rsid w:val="00E4176A"/>
    <w:rsid w:val="00E44156"/>
    <w:rsid w:val="00E44AD9"/>
    <w:rsid w:val="00E45202"/>
    <w:rsid w:val="00E45BA3"/>
    <w:rsid w:val="00E462C2"/>
    <w:rsid w:val="00E46824"/>
    <w:rsid w:val="00E468BE"/>
    <w:rsid w:val="00E47BD4"/>
    <w:rsid w:val="00E50C87"/>
    <w:rsid w:val="00E516DC"/>
    <w:rsid w:val="00E517EA"/>
    <w:rsid w:val="00E51DB8"/>
    <w:rsid w:val="00E52E51"/>
    <w:rsid w:val="00E52FC7"/>
    <w:rsid w:val="00E53723"/>
    <w:rsid w:val="00E5444D"/>
    <w:rsid w:val="00E55152"/>
    <w:rsid w:val="00E551A0"/>
    <w:rsid w:val="00E55BA6"/>
    <w:rsid w:val="00E56CD7"/>
    <w:rsid w:val="00E56DD1"/>
    <w:rsid w:val="00E57B72"/>
    <w:rsid w:val="00E57D1E"/>
    <w:rsid w:val="00E614C3"/>
    <w:rsid w:val="00E61728"/>
    <w:rsid w:val="00E627D9"/>
    <w:rsid w:val="00E62F91"/>
    <w:rsid w:val="00E63731"/>
    <w:rsid w:val="00E640C6"/>
    <w:rsid w:val="00E64832"/>
    <w:rsid w:val="00E64972"/>
    <w:rsid w:val="00E6525B"/>
    <w:rsid w:val="00E6560E"/>
    <w:rsid w:val="00E65E10"/>
    <w:rsid w:val="00E65F67"/>
    <w:rsid w:val="00E663C2"/>
    <w:rsid w:val="00E66FA1"/>
    <w:rsid w:val="00E6740B"/>
    <w:rsid w:val="00E6768D"/>
    <w:rsid w:val="00E70E38"/>
    <w:rsid w:val="00E71488"/>
    <w:rsid w:val="00E7189E"/>
    <w:rsid w:val="00E72BA1"/>
    <w:rsid w:val="00E74283"/>
    <w:rsid w:val="00E762C3"/>
    <w:rsid w:val="00E76365"/>
    <w:rsid w:val="00E7671F"/>
    <w:rsid w:val="00E767F7"/>
    <w:rsid w:val="00E774DC"/>
    <w:rsid w:val="00E812DA"/>
    <w:rsid w:val="00E8180B"/>
    <w:rsid w:val="00E81D79"/>
    <w:rsid w:val="00E81F6C"/>
    <w:rsid w:val="00E8247C"/>
    <w:rsid w:val="00E834B4"/>
    <w:rsid w:val="00E838FF"/>
    <w:rsid w:val="00E83E46"/>
    <w:rsid w:val="00E83F80"/>
    <w:rsid w:val="00E840BA"/>
    <w:rsid w:val="00E84C0A"/>
    <w:rsid w:val="00E84D37"/>
    <w:rsid w:val="00E84F6D"/>
    <w:rsid w:val="00E85264"/>
    <w:rsid w:val="00E85369"/>
    <w:rsid w:val="00E855CF"/>
    <w:rsid w:val="00E85968"/>
    <w:rsid w:val="00E85A2B"/>
    <w:rsid w:val="00E86239"/>
    <w:rsid w:val="00E867E2"/>
    <w:rsid w:val="00E875DD"/>
    <w:rsid w:val="00E9065A"/>
    <w:rsid w:val="00E908AE"/>
    <w:rsid w:val="00E92123"/>
    <w:rsid w:val="00E92E0D"/>
    <w:rsid w:val="00E93BD2"/>
    <w:rsid w:val="00E947F5"/>
    <w:rsid w:val="00E949CB"/>
    <w:rsid w:val="00E970E7"/>
    <w:rsid w:val="00E9773D"/>
    <w:rsid w:val="00E97827"/>
    <w:rsid w:val="00E97B91"/>
    <w:rsid w:val="00E97CE6"/>
    <w:rsid w:val="00EA08AA"/>
    <w:rsid w:val="00EA0A23"/>
    <w:rsid w:val="00EA150F"/>
    <w:rsid w:val="00EA1E71"/>
    <w:rsid w:val="00EA28C4"/>
    <w:rsid w:val="00EA5A7C"/>
    <w:rsid w:val="00EA6EF0"/>
    <w:rsid w:val="00EB06D4"/>
    <w:rsid w:val="00EB07A7"/>
    <w:rsid w:val="00EB08B3"/>
    <w:rsid w:val="00EB163B"/>
    <w:rsid w:val="00EB1879"/>
    <w:rsid w:val="00EB200D"/>
    <w:rsid w:val="00EB2F47"/>
    <w:rsid w:val="00EB3412"/>
    <w:rsid w:val="00EB45AC"/>
    <w:rsid w:val="00EB4759"/>
    <w:rsid w:val="00EB485D"/>
    <w:rsid w:val="00EB4F6A"/>
    <w:rsid w:val="00EB5C9A"/>
    <w:rsid w:val="00EB60C6"/>
    <w:rsid w:val="00EB71DE"/>
    <w:rsid w:val="00EB7437"/>
    <w:rsid w:val="00EB7AE5"/>
    <w:rsid w:val="00EC045C"/>
    <w:rsid w:val="00EC10BF"/>
    <w:rsid w:val="00EC12D7"/>
    <w:rsid w:val="00EC1509"/>
    <w:rsid w:val="00EC188B"/>
    <w:rsid w:val="00EC2B2E"/>
    <w:rsid w:val="00EC3209"/>
    <w:rsid w:val="00EC5224"/>
    <w:rsid w:val="00EC52DA"/>
    <w:rsid w:val="00EC5469"/>
    <w:rsid w:val="00EC7440"/>
    <w:rsid w:val="00EC7A94"/>
    <w:rsid w:val="00EC7FB9"/>
    <w:rsid w:val="00ED1837"/>
    <w:rsid w:val="00ED270C"/>
    <w:rsid w:val="00ED2FD5"/>
    <w:rsid w:val="00ED308A"/>
    <w:rsid w:val="00ED3B18"/>
    <w:rsid w:val="00ED4C4F"/>
    <w:rsid w:val="00ED5FB4"/>
    <w:rsid w:val="00ED6C79"/>
    <w:rsid w:val="00ED7F04"/>
    <w:rsid w:val="00EE0161"/>
    <w:rsid w:val="00EE06C0"/>
    <w:rsid w:val="00EE103F"/>
    <w:rsid w:val="00EE19F0"/>
    <w:rsid w:val="00EE1B5D"/>
    <w:rsid w:val="00EE318F"/>
    <w:rsid w:val="00EE384D"/>
    <w:rsid w:val="00EE4A16"/>
    <w:rsid w:val="00EE4BB9"/>
    <w:rsid w:val="00EE6363"/>
    <w:rsid w:val="00EE6608"/>
    <w:rsid w:val="00EE6987"/>
    <w:rsid w:val="00EE7502"/>
    <w:rsid w:val="00EE75DA"/>
    <w:rsid w:val="00EE7FE5"/>
    <w:rsid w:val="00EF13AA"/>
    <w:rsid w:val="00EF288E"/>
    <w:rsid w:val="00EF2D33"/>
    <w:rsid w:val="00EF54C1"/>
    <w:rsid w:val="00EF5B22"/>
    <w:rsid w:val="00EF5C96"/>
    <w:rsid w:val="00EF61D6"/>
    <w:rsid w:val="00EF64EC"/>
    <w:rsid w:val="00F012DD"/>
    <w:rsid w:val="00F01390"/>
    <w:rsid w:val="00F017A8"/>
    <w:rsid w:val="00F04F10"/>
    <w:rsid w:val="00F05309"/>
    <w:rsid w:val="00F053F1"/>
    <w:rsid w:val="00F05A54"/>
    <w:rsid w:val="00F062C6"/>
    <w:rsid w:val="00F06B05"/>
    <w:rsid w:val="00F07331"/>
    <w:rsid w:val="00F073CB"/>
    <w:rsid w:val="00F101E4"/>
    <w:rsid w:val="00F1072B"/>
    <w:rsid w:val="00F11B6C"/>
    <w:rsid w:val="00F11E64"/>
    <w:rsid w:val="00F1210A"/>
    <w:rsid w:val="00F1278F"/>
    <w:rsid w:val="00F13B89"/>
    <w:rsid w:val="00F16422"/>
    <w:rsid w:val="00F164A9"/>
    <w:rsid w:val="00F16800"/>
    <w:rsid w:val="00F16B76"/>
    <w:rsid w:val="00F17771"/>
    <w:rsid w:val="00F20214"/>
    <w:rsid w:val="00F20397"/>
    <w:rsid w:val="00F208A7"/>
    <w:rsid w:val="00F21333"/>
    <w:rsid w:val="00F237A9"/>
    <w:rsid w:val="00F23E79"/>
    <w:rsid w:val="00F24E9A"/>
    <w:rsid w:val="00F2553A"/>
    <w:rsid w:val="00F27089"/>
    <w:rsid w:val="00F273FA"/>
    <w:rsid w:val="00F2799B"/>
    <w:rsid w:val="00F31814"/>
    <w:rsid w:val="00F32AB4"/>
    <w:rsid w:val="00F33F62"/>
    <w:rsid w:val="00F342FA"/>
    <w:rsid w:val="00F346F8"/>
    <w:rsid w:val="00F35CF9"/>
    <w:rsid w:val="00F35F41"/>
    <w:rsid w:val="00F40EFD"/>
    <w:rsid w:val="00F41241"/>
    <w:rsid w:val="00F42594"/>
    <w:rsid w:val="00F43204"/>
    <w:rsid w:val="00F4333F"/>
    <w:rsid w:val="00F43B92"/>
    <w:rsid w:val="00F441A8"/>
    <w:rsid w:val="00F4420F"/>
    <w:rsid w:val="00F46184"/>
    <w:rsid w:val="00F4621D"/>
    <w:rsid w:val="00F46D3A"/>
    <w:rsid w:val="00F4743A"/>
    <w:rsid w:val="00F5259D"/>
    <w:rsid w:val="00F52852"/>
    <w:rsid w:val="00F552BE"/>
    <w:rsid w:val="00F5532D"/>
    <w:rsid w:val="00F55FD5"/>
    <w:rsid w:val="00F564FA"/>
    <w:rsid w:val="00F56C87"/>
    <w:rsid w:val="00F60246"/>
    <w:rsid w:val="00F60BC2"/>
    <w:rsid w:val="00F6186E"/>
    <w:rsid w:val="00F61954"/>
    <w:rsid w:val="00F61E7D"/>
    <w:rsid w:val="00F6239D"/>
    <w:rsid w:val="00F6293A"/>
    <w:rsid w:val="00F62DB8"/>
    <w:rsid w:val="00F62FB4"/>
    <w:rsid w:val="00F6324B"/>
    <w:rsid w:val="00F633B5"/>
    <w:rsid w:val="00F63E8B"/>
    <w:rsid w:val="00F65130"/>
    <w:rsid w:val="00F66D1C"/>
    <w:rsid w:val="00F7052D"/>
    <w:rsid w:val="00F71962"/>
    <w:rsid w:val="00F727F1"/>
    <w:rsid w:val="00F72A42"/>
    <w:rsid w:val="00F72B93"/>
    <w:rsid w:val="00F74501"/>
    <w:rsid w:val="00F74EFE"/>
    <w:rsid w:val="00F74FCD"/>
    <w:rsid w:val="00F75860"/>
    <w:rsid w:val="00F75CC3"/>
    <w:rsid w:val="00F76153"/>
    <w:rsid w:val="00F76189"/>
    <w:rsid w:val="00F76D82"/>
    <w:rsid w:val="00F77637"/>
    <w:rsid w:val="00F77D5D"/>
    <w:rsid w:val="00F80A8B"/>
    <w:rsid w:val="00F8125D"/>
    <w:rsid w:val="00F81B41"/>
    <w:rsid w:val="00F81E3B"/>
    <w:rsid w:val="00F81F49"/>
    <w:rsid w:val="00F820AE"/>
    <w:rsid w:val="00F824C6"/>
    <w:rsid w:val="00F82FAA"/>
    <w:rsid w:val="00F842AB"/>
    <w:rsid w:val="00F84B3C"/>
    <w:rsid w:val="00F84BC6"/>
    <w:rsid w:val="00F8518C"/>
    <w:rsid w:val="00F854FF"/>
    <w:rsid w:val="00F85C87"/>
    <w:rsid w:val="00F87D25"/>
    <w:rsid w:val="00F905EF"/>
    <w:rsid w:val="00F909ED"/>
    <w:rsid w:val="00F9230A"/>
    <w:rsid w:val="00F93180"/>
    <w:rsid w:val="00F93DBF"/>
    <w:rsid w:val="00F95700"/>
    <w:rsid w:val="00F96C9F"/>
    <w:rsid w:val="00F96E85"/>
    <w:rsid w:val="00F9705A"/>
    <w:rsid w:val="00F97776"/>
    <w:rsid w:val="00F977F1"/>
    <w:rsid w:val="00FA0293"/>
    <w:rsid w:val="00FA22EA"/>
    <w:rsid w:val="00FA27B1"/>
    <w:rsid w:val="00FA42E2"/>
    <w:rsid w:val="00FA4762"/>
    <w:rsid w:val="00FA5026"/>
    <w:rsid w:val="00FA5173"/>
    <w:rsid w:val="00FA5778"/>
    <w:rsid w:val="00FA5C81"/>
    <w:rsid w:val="00FA5FE2"/>
    <w:rsid w:val="00FA69B7"/>
    <w:rsid w:val="00FA720C"/>
    <w:rsid w:val="00FA77EB"/>
    <w:rsid w:val="00FB2846"/>
    <w:rsid w:val="00FB2F51"/>
    <w:rsid w:val="00FB318E"/>
    <w:rsid w:val="00FB3884"/>
    <w:rsid w:val="00FB49EF"/>
    <w:rsid w:val="00FB4FCB"/>
    <w:rsid w:val="00FB527C"/>
    <w:rsid w:val="00FB6F00"/>
    <w:rsid w:val="00FC0E10"/>
    <w:rsid w:val="00FC15B9"/>
    <w:rsid w:val="00FC270F"/>
    <w:rsid w:val="00FC35AB"/>
    <w:rsid w:val="00FC3666"/>
    <w:rsid w:val="00FC4649"/>
    <w:rsid w:val="00FC4888"/>
    <w:rsid w:val="00FC5722"/>
    <w:rsid w:val="00FC6044"/>
    <w:rsid w:val="00FC6256"/>
    <w:rsid w:val="00FC7117"/>
    <w:rsid w:val="00FD1318"/>
    <w:rsid w:val="00FD17FB"/>
    <w:rsid w:val="00FD2182"/>
    <w:rsid w:val="00FD248D"/>
    <w:rsid w:val="00FD2BBD"/>
    <w:rsid w:val="00FD3193"/>
    <w:rsid w:val="00FD339A"/>
    <w:rsid w:val="00FD3AB1"/>
    <w:rsid w:val="00FD5025"/>
    <w:rsid w:val="00FD558D"/>
    <w:rsid w:val="00FD735C"/>
    <w:rsid w:val="00FD783F"/>
    <w:rsid w:val="00FE0788"/>
    <w:rsid w:val="00FE08A9"/>
    <w:rsid w:val="00FE0D41"/>
    <w:rsid w:val="00FE1045"/>
    <w:rsid w:val="00FE2A3A"/>
    <w:rsid w:val="00FE2D17"/>
    <w:rsid w:val="00FE34B2"/>
    <w:rsid w:val="00FE46AA"/>
    <w:rsid w:val="00FE5802"/>
    <w:rsid w:val="00FE59E6"/>
    <w:rsid w:val="00FE608B"/>
    <w:rsid w:val="00FF3197"/>
    <w:rsid w:val="00FF3C97"/>
    <w:rsid w:val="00FF3E30"/>
    <w:rsid w:val="00FF5C87"/>
    <w:rsid w:val="00FF61FA"/>
    <w:rsid w:val="00FF6F06"/>
    <w:rsid w:val="00FF6F96"/>
    <w:rsid w:val="00FF7E0C"/>
    <w:rsid w:val="01137ECF"/>
    <w:rsid w:val="011D4062"/>
    <w:rsid w:val="012C687B"/>
    <w:rsid w:val="0137715B"/>
    <w:rsid w:val="01474EA6"/>
    <w:rsid w:val="01511039"/>
    <w:rsid w:val="0153673B"/>
    <w:rsid w:val="01572F42"/>
    <w:rsid w:val="01630F53"/>
    <w:rsid w:val="0166575B"/>
    <w:rsid w:val="01893391"/>
    <w:rsid w:val="018D1D97"/>
    <w:rsid w:val="01952A27"/>
    <w:rsid w:val="01C012ED"/>
    <w:rsid w:val="01C866F9"/>
    <w:rsid w:val="01EC5634"/>
    <w:rsid w:val="020E6E6E"/>
    <w:rsid w:val="023128A5"/>
    <w:rsid w:val="02316129"/>
    <w:rsid w:val="02485D4E"/>
    <w:rsid w:val="024C4754"/>
    <w:rsid w:val="025A3A6A"/>
    <w:rsid w:val="025D6BED"/>
    <w:rsid w:val="02653FF9"/>
    <w:rsid w:val="02765598"/>
    <w:rsid w:val="027F0426"/>
    <w:rsid w:val="028B1CBA"/>
    <w:rsid w:val="02990FD0"/>
    <w:rsid w:val="02AA4AEE"/>
    <w:rsid w:val="02EB5557"/>
    <w:rsid w:val="02F24EE2"/>
    <w:rsid w:val="02FE1FF9"/>
    <w:rsid w:val="03190625"/>
    <w:rsid w:val="032D0FE9"/>
    <w:rsid w:val="032D1844"/>
    <w:rsid w:val="033433CD"/>
    <w:rsid w:val="0338006F"/>
    <w:rsid w:val="03506580"/>
    <w:rsid w:val="0376513B"/>
    <w:rsid w:val="037D0349"/>
    <w:rsid w:val="03816D4F"/>
    <w:rsid w:val="0398271D"/>
    <w:rsid w:val="039D2DFC"/>
    <w:rsid w:val="03BC7E2E"/>
    <w:rsid w:val="03BD6164"/>
    <w:rsid w:val="03C06834"/>
    <w:rsid w:val="03C21D37"/>
    <w:rsid w:val="03C947DD"/>
    <w:rsid w:val="03D17DD3"/>
    <w:rsid w:val="03D8775E"/>
    <w:rsid w:val="03EF3B00"/>
    <w:rsid w:val="040B3430"/>
    <w:rsid w:val="04230AD7"/>
    <w:rsid w:val="04272D60"/>
    <w:rsid w:val="042C3965"/>
    <w:rsid w:val="04436E0D"/>
    <w:rsid w:val="044F06A2"/>
    <w:rsid w:val="0458352F"/>
    <w:rsid w:val="04654DC4"/>
    <w:rsid w:val="046F4189"/>
    <w:rsid w:val="04960E16"/>
    <w:rsid w:val="04965593"/>
    <w:rsid w:val="04A5362F"/>
    <w:rsid w:val="04B17441"/>
    <w:rsid w:val="04B96A4C"/>
    <w:rsid w:val="04C3735B"/>
    <w:rsid w:val="04CC7C6B"/>
    <w:rsid w:val="04D94D82"/>
    <w:rsid w:val="04F85637"/>
    <w:rsid w:val="05233EFD"/>
    <w:rsid w:val="05336716"/>
    <w:rsid w:val="05482E38"/>
    <w:rsid w:val="056501EA"/>
    <w:rsid w:val="05734F81"/>
    <w:rsid w:val="05762682"/>
    <w:rsid w:val="057C7E0F"/>
    <w:rsid w:val="05A37CCE"/>
    <w:rsid w:val="05B93636"/>
    <w:rsid w:val="05B943F0"/>
    <w:rsid w:val="05C86C09"/>
    <w:rsid w:val="05DE530E"/>
    <w:rsid w:val="05DF20B2"/>
    <w:rsid w:val="05E774BE"/>
    <w:rsid w:val="05F54255"/>
    <w:rsid w:val="05FC3BE0"/>
    <w:rsid w:val="061C6693"/>
    <w:rsid w:val="06256FA3"/>
    <w:rsid w:val="06262826"/>
    <w:rsid w:val="06443FD4"/>
    <w:rsid w:val="064707DC"/>
    <w:rsid w:val="065F2600"/>
    <w:rsid w:val="0677352A"/>
    <w:rsid w:val="06945058"/>
    <w:rsid w:val="069D0C9C"/>
    <w:rsid w:val="06A13342"/>
    <w:rsid w:val="06CB47C4"/>
    <w:rsid w:val="07537A15"/>
    <w:rsid w:val="07541C13"/>
    <w:rsid w:val="07545496"/>
    <w:rsid w:val="07572B98"/>
    <w:rsid w:val="076E6040"/>
    <w:rsid w:val="077956DC"/>
    <w:rsid w:val="078F6575"/>
    <w:rsid w:val="07AE35A7"/>
    <w:rsid w:val="07C264EE"/>
    <w:rsid w:val="07D02862"/>
    <w:rsid w:val="07D6476B"/>
    <w:rsid w:val="07E301FD"/>
    <w:rsid w:val="08251344"/>
    <w:rsid w:val="0828546F"/>
    <w:rsid w:val="082E7378"/>
    <w:rsid w:val="08331281"/>
    <w:rsid w:val="08346D03"/>
    <w:rsid w:val="08610ACC"/>
    <w:rsid w:val="089A0E0D"/>
    <w:rsid w:val="089E0931"/>
    <w:rsid w:val="08A84AC3"/>
    <w:rsid w:val="08B01ED0"/>
    <w:rsid w:val="08BA0261"/>
    <w:rsid w:val="08C21DEA"/>
    <w:rsid w:val="08C330EF"/>
    <w:rsid w:val="091266F1"/>
    <w:rsid w:val="091650F7"/>
    <w:rsid w:val="091E4702"/>
    <w:rsid w:val="09503FD7"/>
    <w:rsid w:val="09511A59"/>
    <w:rsid w:val="097B289D"/>
    <w:rsid w:val="09A56C35"/>
    <w:rsid w:val="09C25210"/>
    <w:rsid w:val="09D873B4"/>
    <w:rsid w:val="09E047C0"/>
    <w:rsid w:val="0A072481"/>
    <w:rsid w:val="0A3F5E5E"/>
    <w:rsid w:val="0A4679E7"/>
    <w:rsid w:val="0A482EEB"/>
    <w:rsid w:val="0A48720E"/>
    <w:rsid w:val="0A4A1C71"/>
    <w:rsid w:val="0A7140AF"/>
    <w:rsid w:val="0A95686D"/>
    <w:rsid w:val="0AA47A04"/>
    <w:rsid w:val="0AA53284"/>
    <w:rsid w:val="0AA76787"/>
    <w:rsid w:val="0ABA57A8"/>
    <w:rsid w:val="0AC637B9"/>
    <w:rsid w:val="0AFE7196"/>
    <w:rsid w:val="0B1F76CB"/>
    <w:rsid w:val="0B3243DF"/>
    <w:rsid w:val="0B393AF8"/>
    <w:rsid w:val="0B3D24FE"/>
    <w:rsid w:val="0B4B0D06"/>
    <w:rsid w:val="0B4C2B18"/>
    <w:rsid w:val="0B676BC5"/>
    <w:rsid w:val="0B7A2363"/>
    <w:rsid w:val="0B82196E"/>
    <w:rsid w:val="0B856A8B"/>
    <w:rsid w:val="0B8A6D7A"/>
    <w:rsid w:val="0BA666AA"/>
    <w:rsid w:val="0BA717DB"/>
    <w:rsid w:val="0BB721C8"/>
    <w:rsid w:val="0BB81E48"/>
    <w:rsid w:val="0BBC084E"/>
    <w:rsid w:val="0BBF5056"/>
    <w:rsid w:val="0BC536DC"/>
    <w:rsid w:val="0BCD436B"/>
    <w:rsid w:val="0BDA3681"/>
    <w:rsid w:val="0BE3650F"/>
    <w:rsid w:val="0BEC359B"/>
    <w:rsid w:val="0BF17A23"/>
    <w:rsid w:val="0BF4422B"/>
    <w:rsid w:val="0C183166"/>
    <w:rsid w:val="0C1A6669"/>
    <w:rsid w:val="0C281202"/>
    <w:rsid w:val="0C43782D"/>
    <w:rsid w:val="0C493935"/>
    <w:rsid w:val="0C5032C0"/>
    <w:rsid w:val="0C62485F"/>
    <w:rsid w:val="0C663265"/>
    <w:rsid w:val="0C8A5A23"/>
    <w:rsid w:val="0CAB5F58"/>
    <w:rsid w:val="0CB258D1"/>
    <w:rsid w:val="0CB877EC"/>
    <w:rsid w:val="0CBB296F"/>
    <w:rsid w:val="0D0E4978"/>
    <w:rsid w:val="0D1D4F92"/>
    <w:rsid w:val="0D246B1B"/>
    <w:rsid w:val="0D4E5761"/>
    <w:rsid w:val="0D53766A"/>
    <w:rsid w:val="0D55096F"/>
    <w:rsid w:val="0D5C2500"/>
    <w:rsid w:val="0D5C5D7C"/>
    <w:rsid w:val="0D670889"/>
    <w:rsid w:val="0D6A5091"/>
    <w:rsid w:val="0D6A62E0"/>
    <w:rsid w:val="0D826EB5"/>
    <w:rsid w:val="0D8A7B44"/>
    <w:rsid w:val="0D903C4C"/>
    <w:rsid w:val="0D9C32E2"/>
    <w:rsid w:val="0DB05806"/>
    <w:rsid w:val="0DCD3AB1"/>
    <w:rsid w:val="0DCF6FB4"/>
    <w:rsid w:val="0DE933E1"/>
    <w:rsid w:val="0DEE2B4B"/>
    <w:rsid w:val="0DFA4660"/>
    <w:rsid w:val="0E041A0C"/>
    <w:rsid w:val="0E072991"/>
    <w:rsid w:val="0E4259A9"/>
    <w:rsid w:val="0E4F2D85"/>
    <w:rsid w:val="0E837D5C"/>
    <w:rsid w:val="0E85325F"/>
    <w:rsid w:val="0E8D066C"/>
    <w:rsid w:val="0EA67017"/>
    <w:rsid w:val="0EA8251A"/>
    <w:rsid w:val="0EC82A4F"/>
    <w:rsid w:val="0ED30DE0"/>
    <w:rsid w:val="0EE15B77"/>
    <w:rsid w:val="0EF25E12"/>
    <w:rsid w:val="0EF56D96"/>
    <w:rsid w:val="0F075DB7"/>
    <w:rsid w:val="0F0A16BC"/>
    <w:rsid w:val="0F475035"/>
    <w:rsid w:val="0F534BB2"/>
    <w:rsid w:val="0F5D54C1"/>
    <w:rsid w:val="0F6251CC"/>
    <w:rsid w:val="0F6A47D7"/>
    <w:rsid w:val="0F732EE8"/>
    <w:rsid w:val="0F7A2873"/>
    <w:rsid w:val="0F8021FE"/>
    <w:rsid w:val="0FBE4261"/>
    <w:rsid w:val="0FC611FF"/>
    <w:rsid w:val="0FD30983"/>
    <w:rsid w:val="0FD41C88"/>
    <w:rsid w:val="0FD61908"/>
    <w:rsid w:val="0FD6518B"/>
    <w:rsid w:val="0FE850A5"/>
    <w:rsid w:val="1025078D"/>
    <w:rsid w:val="10280686"/>
    <w:rsid w:val="10293910"/>
    <w:rsid w:val="102D5B9A"/>
    <w:rsid w:val="10306B1E"/>
    <w:rsid w:val="10383F2B"/>
    <w:rsid w:val="1039481A"/>
    <w:rsid w:val="103B70AE"/>
    <w:rsid w:val="109777C7"/>
    <w:rsid w:val="10A100D7"/>
    <w:rsid w:val="10A46ADD"/>
    <w:rsid w:val="10EC6ED1"/>
    <w:rsid w:val="110754FD"/>
    <w:rsid w:val="110F2909"/>
    <w:rsid w:val="11185797"/>
    <w:rsid w:val="112812B5"/>
    <w:rsid w:val="11285A31"/>
    <w:rsid w:val="116E3FA7"/>
    <w:rsid w:val="118947D1"/>
    <w:rsid w:val="11915C91"/>
    <w:rsid w:val="119631A9"/>
    <w:rsid w:val="11B83122"/>
    <w:rsid w:val="11BE502B"/>
    <w:rsid w:val="11DB6B5A"/>
    <w:rsid w:val="11F27D69"/>
    <w:rsid w:val="12036C76"/>
    <w:rsid w:val="120F5D2F"/>
    <w:rsid w:val="1249138C"/>
    <w:rsid w:val="1250459A"/>
    <w:rsid w:val="128724F6"/>
    <w:rsid w:val="128A347A"/>
    <w:rsid w:val="12B90746"/>
    <w:rsid w:val="12CC7FD0"/>
    <w:rsid w:val="12DD5483"/>
    <w:rsid w:val="12E00606"/>
    <w:rsid w:val="12E3738C"/>
    <w:rsid w:val="12EA0CED"/>
    <w:rsid w:val="12F85CAD"/>
    <w:rsid w:val="1300693C"/>
    <w:rsid w:val="130F36D3"/>
    <w:rsid w:val="131A3751"/>
    <w:rsid w:val="13371015"/>
    <w:rsid w:val="13486D30"/>
    <w:rsid w:val="13995836"/>
    <w:rsid w:val="13A14F2C"/>
    <w:rsid w:val="13A670CA"/>
    <w:rsid w:val="13B2095E"/>
    <w:rsid w:val="13BA5D6B"/>
    <w:rsid w:val="13D34716"/>
    <w:rsid w:val="14250C9D"/>
    <w:rsid w:val="1428639F"/>
    <w:rsid w:val="143769B9"/>
    <w:rsid w:val="1439793E"/>
    <w:rsid w:val="143A53BF"/>
    <w:rsid w:val="149E1860"/>
    <w:rsid w:val="14B14FFE"/>
    <w:rsid w:val="14B35F82"/>
    <w:rsid w:val="14C15298"/>
    <w:rsid w:val="14FC07AC"/>
    <w:rsid w:val="15023B03"/>
    <w:rsid w:val="15027387"/>
    <w:rsid w:val="15127621"/>
    <w:rsid w:val="15200B35"/>
    <w:rsid w:val="153220D4"/>
    <w:rsid w:val="153A74E0"/>
    <w:rsid w:val="154C2C7E"/>
    <w:rsid w:val="15535E8C"/>
    <w:rsid w:val="15591F94"/>
    <w:rsid w:val="156C0FB4"/>
    <w:rsid w:val="158775E0"/>
    <w:rsid w:val="15961DF8"/>
    <w:rsid w:val="15C03A4F"/>
    <w:rsid w:val="15E215B3"/>
    <w:rsid w:val="161726D9"/>
    <w:rsid w:val="161810CD"/>
    <w:rsid w:val="162309D2"/>
    <w:rsid w:val="1630328A"/>
    <w:rsid w:val="165840B5"/>
    <w:rsid w:val="165B7221"/>
    <w:rsid w:val="167823EB"/>
    <w:rsid w:val="1680307B"/>
    <w:rsid w:val="16822CFB"/>
    <w:rsid w:val="1696199B"/>
    <w:rsid w:val="16B831D5"/>
    <w:rsid w:val="16BB08D6"/>
    <w:rsid w:val="16E00B16"/>
    <w:rsid w:val="16E31A9A"/>
    <w:rsid w:val="16E52D9F"/>
    <w:rsid w:val="16EB272A"/>
    <w:rsid w:val="16EE354D"/>
    <w:rsid w:val="17006E4C"/>
    <w:rsid w:val="171F3E7E"/>
    <w:rsid w:val="17416345"/>
    <w:rsid w:val="174C5C47"/>
    <w:rsid w:val="174D36C8"/>
    <w:rsid w:val="175A4F5C"/>
    <w:rsid w:val="17681CF4"/>
    <w:rsid w:val="176C3F7D"/>
    <w:rsid w:val="17A440D7"/>
    <w:rsid w:val="17AB1459"/>
    <w:rsid w:val="17AC4D67"/>
    <w:rsid w:val="17BC177E"/>
    <w:rsid w:val="17C771E9"/>
    <w:rsid w:val="17D23921"/>
    <w:rsid w:val="17D65BAB"/>
    <w:rsid w:val="17DC4231"/>
    <w:rsid w:val="18166027"/>
    <w:rsid w:val="183539C6"/>
    <w:rsid w:val="18477163"/>
    <w:rsid w:val="184B7D68"/>
    <w:rsid w:val="187334AB"/>
    <w:rsid w:val="187B413A"/>
    <w:rsid w:val="187D763D"/>
    <w:rsid w:val="189162DE"/>
    <w:rsid w:val="18947263"/>
    <w:rsid w:val="189C466F"/>
    <w:rsid w:val="189E7B72"/>
    <w:rsid w:val="18B0330F"/>
    <w:rsid w:val="18CB193B"/>
    <w:rsid w:val="18E32865"/>
    <w:rsid w:val="18EC56F3"/>
    <w:rsid w:val="18F5277F"/>
    <w:rsid w:val="19016592"/>
    <w:rsid w:val="191E3943"/>
    <w:rsid w:val="19201045"/>
    <w:rsid w:val="19443A4D"/>
    <w:rsid w:val="195C122A"/>
    <w:rsid w:val="19771A54"/>
    <w:rsid w:val="19782D58"/>
    <w:rsid w:val="19871CEE"/>
    <w:rsid w:val="199A0D0F"/>
    <w:rsid w:val="19C83DDC"/>
    <w:rsid w:val="19E8300C"/>
    <w:rsid w:val="19FA202D"/>
    <w:rsid w:val="19FE0A33"/>
    <w:rsid w:val="1A1041D0"/>
    <w:rsid w:val="1A4646AB"/>
    <w:rsid w:val="1A707A6D"/>
    <w:rsid w:val="1AB217DB"/>
    <w:rsid w:val="1AFD0956"/>
    <w:rsid w:val="1B217891"/>
    <w:rsid w:val="1B306F48"/>
    <w:rsid w:val="1B4F70DB"/>
    <w:rsid w:val="1B612879"/>
    <w:rsid w:val="1B8156FF"/>
    <w:rsid w:val="1B967850"/>
    <w:rsid w:val="1BAF61FB"/>
    <w:rsid w:val="1BC54B1C"/>
    <w:rsid w:val="1BCE322D"/>
    <w:rsid w:val="1BD276B4"/>
    <w:rsid w:val="1BDD3D46"/>
    <w:rsid w:val="1BDF56C5"/>
    <w:rsid w:val="1C1C2FAC"/>
    <w:rsid w:val="1C2403B8"/>
    <w:rsid w:val="1C2516BD"/>
    <w:rsid w:val="1C2C57C5"/>
    <w:rsid w:val="1C2D6AC9"/>
    <w:rsid w:val="1C322F51"/>
    <w:rsid w:val="1C71394B"/>
    <w:rsid w:val="1C725F39"/>
    <w:rsid w:val="1C8B6E63"/>
    <w:rsid w:val="1CB67927"/>
    <w:rsid w:val="1CB76508"/>
    <w:rsid w:val="1CC80EC6"/>
    <w:rsid w:val="1CD441A9"/>
    <w:rsid w:val="1CD61BA7"/>
    <w:rsid w:val="1CDA4664"/>
    <w:rsid w:val="1CDB5968"/>
    <w:rsid w:val="1CDD55E8"/>
    <w:rsid w:val="1CE44F73"/>
    <w:rsid w:val="1CEA6E7C"/>
    <w:rsid w:val="1CF60711"/>
    <w:rsid w:val="1D016AA2"/>
    <w:rsid w:val="1D104B3E"/>
    <w:rsid w:val="1D1125BF"/>
    <w:rsid w:val="1D2D666C"/>
    <w:rsid w:val="1D320E8A"/>
    <w:rsid w:val="1D3C3403"/>
    <w:rsid w:val="1D484C98"/>
    <w:rsid w:val="1D4C75FB"/>
    <w:rsid w:val="1D71005A"/>
    <w:rsid w:val="1D8879E9"/>
    <w:rsid w:val="1D931894"/>
    <w:rsid w:val="1DC0145E"/>
    <w:rsid w:val="1DEC1F22"/>
    <w:rsid w:val="1E2B58F9"/>
    <w:rsid w:val="1E2F4F95"/>
    <w:rsid w:val="1E5B385B"/>
    <w:rsid w:val="1E902DEF"/>
    <w:rsid w:val="1E9601BD"/>
    <w:rsid w:val="1E9A4645"/>
    <w:rsid w:val="1E9C42C4"/>
    <w:rsid w:val="1EA03E84"/>
    <w:rsid w:val="1EA1074C"/>
    <w:rsid w:val="1EA72655"/>
    <w:rsid w:val="1EA935DA"/>
    <w:rsid w:val="1ECD0317"/>
    <w:rsid w:val="1EDD63B3"/>
    <w:rsid w:val="1EF92460"/>
    <w:rsid w:val="1F1E3599"/>
    <w:rsid w:val="1F1F101A"/>
    <w:rsid w:val="1F3E5153"/>
    <w:rsid w:val="1F497C60"/>
    <w:rsid w:val="1F5B6C81"/>
    <w:rsid w:val="1F672A94"/>
    <w:rsid w:val="1F81363D"/>
    <w:rsid w:val="1F91275B"/>
    <w:rsid w:val="1F976502"/>
    <w:rsid w:val="1FB44D91"/>
    <w:rsid w:val="1FCB27B8"/>
    <w:rsid w:val="1FD0701B"/>
    <w:rsid w:val="1FE06EDA"/>
    <w:rsid w:val="1FEB7469"/>
    <w:rsid w:val="20074B9B"/>
    <w:rsid w:val="203543E6"/>
    <w:rsid w:val="2058589F"/>
    <w:rsid w:val="207109C7"/>
    <w:rsid w:val="20726449"/>
    <w:rsid w:val="207451CF"/>
    <w:rsid w:val="207573CE"/>
    <w:rsid w:val="209D2B10"/>
    <w:rsid w:val="20A63420"/>
    <w:rsid w:val="20AA65A3"/>
    <w:rsid w:val="20AE4FA9"/>
    <w:rsid w:val="20D451E9"/>
    <w:rsid w:val="20D564EE"/>
    <w:rsid w:val="20E06A7D"/>
    <w:rsid w:val="2118245A"/>
    <w:rsid w:val="21290176"/>
    <w:rsid w:val="21652559"/>
    <w:rsid w:val="21687C5B"/>
    <w:rsid w:val="217008EA"/>
    <w:rsid w:val="21793558"/>
    <w:rsid w:val="2185500C"/>
    <w:rsid w:val="21A57AC0"/>
    <w:rsid w:val="21AE03CF"/>
    <w:rsid w:val="21C24E71"/>
    <w:rsid w:val="21DB7F9A"/>
    <w:rsid w:val="21DE311D"/>
    <w:rsid w:val="21F8754A"/>
    <w:rsid w:val="220D61EA"/>
    <w:rsid w:val="220E74EF"/>
    <w:rsid w:val="2217457B"/>
    <w:rsid w:val="2222290C"/>
    <w:rsid w:val="222F54A5"/>
    <w:rsid w:val="224D4A55"/>
    <w:rsid w:val="2278111D"/>
    <w:rsid w:val="228F0D42"/>
    <w:rsid w:val="22937748"/>
    <w:rsid w:val="22A918EC"/>
    <w:rsid w:val="22AC65B5"/>
    <w:rsid w:val="22AD02F2"/>
    <w:rsid w:val="22B03475"/>
    <w:rsid w:val="22F92970"/>
    <w:rsid w:val="230C030B"/>
    <w:rsid w:val="231C3E29"/>
    <w:rsid w:val="233C68DC"/>
    <w:rsid w:val="2344756C"/>
    <w:rsid w:val="235D2694"/>
    <w:rsid w:val="236A6126"/>
    <w:rsid w:val="238002CA"/>
    <w:rsid w:val="238115CF"/>
    <w:rsid w:val="23AA2793"/>
    <w:rsid w:val="23AA6F10"/>
    <w:rsid w:val="23B76226"/>
    <w:rsid w:val="23C50DBF"/>
    <w:rsid w:val="23D22653"/>
    <w:rsid w:val="24231158"/>
    <w:rsid w:val="2445130D"/>
    <w:rsid w:val="244D0826"/>
    <w:rsid w:val="245109A3"/>
    <w:rsid w:val="246D02D3"/>
    <w:rsid w:val="248E2A06"/>
    <w:rsid w:val="2491720E"/>
    <w:rsid w:val="24924C8F"/>
    <w:rsid w:val="24A5262B"/>
    <w:rsid w:val="24C16567"/>
    <w:rsid w:val="24C3545E"/>
    <w:rsid w:val="24D456F9"/>
    <w:rsid w:val="24F95938"/>
    <w:rsid w:val="25315A92"/>
    <w:rsid w:val="2538541D"/>
    <w:rsid w:val="25413B2E"/>
    <w:rsid w:val="254A0BBB"/>
    <w:rsid w:val="25510545"/>
    <w:rsid w:val="2554491A"/>
    <w:rsid w:val="255A6C57"/>
    <w:rsid w:val="256A366E"/>
    <w:rsid w:val="25772983"/>
    <w:rsid w:val="257D0E06"/>
    <w:rsid w:val="25B305EA"/>
    <w:rsid w:val="25C01E7E"/>
    <w:rsid w:val="25CB240D"/>
    <w:rsid w:val="25D17B9A"/>
    <w:rsid w:val="25DE142E"/>
    <w:rsid w:val="25E71D3E"/>
    <w:rsid w:val="25EE16C9"/>
    <w:rsid w:val="25F51053"/>
    <w:rsid w:val="26185D90"/>
    <w:rsid w:val="264777D9"/>
    <w:rsid w:val="266F2F1B"/>
    <w:rsid w:val="26720A30"/>
    <w:rsid w:val="26811F3C"/>
    <w:rsid w:val="26897349"/>
    <w:rsid w:val="268F1252"/>
    <w:rsid w:val="26937C58"/>
    <w:rsid w:val="26960BDD"/>
    <w:rsid w:val="26A922FB"/>
    <w:rsid w:val="26CF423A"/>
    <w:rsid w:val="26D32C40"/>
    <w:rsid w:val="26F07FF2"/>
    <w:rsid w:val="26F61EFB"/>
    <w:rsid w:val="26F853FE"/>
    <w:rsid w:val="270F5023"/>
    <w:rsid w:val="272726CA"/>
    <w:rsid w:val="27447A7C"/>
    <w:rsid w:val="275356B2"/>
    <w:rsid w:val="27600F19"/>
    <w:rsid w:val="276734B3"/>
    <w:rsid w:val="276D2E3E"/>
    <w:rsid w:val="277272C6"/>
    <w:rsid w:val="2775024B"/>
    <w:rsid w:val="277E52D7"/>
    <w:rsid w:val="277F1DC6"/>
    <w:rsid w:val="27BF73C5"/>
    <w:rsid w:val="27CE415D"/>
    <w:rsid w:val="27ED6C10"/>
    <w:rsid w:val="27F4659B"/>
    <w:rsid w:val="2839380C"/>
    <w:rsid w:val="283B4790"/>
    <w:rsid w:val="283D7C94"/>
    <w:rsid w:val="283E1E92"/>
    <w:rsid w:val="286C2D61"/>
    <w:rsid w:val="28703966"/>
    <w:rsid w:val="28726E69"/>
    <w:rsid w:val="2874236C"/>
    <w:rsid w:val="287C2FFC"/>
    <w:rsid w:val="289A25AC"/>
    <w:rsid w:val="28A044B5"/>
    <w:rsid w:val="28D10507"/>
    <w:rsid w:val="28D14C84"/>
    <w:rsid w:val="28E30421"/>
    <w:rsid w:val="28E848A9"/>
    <w:rsid w:val="28EC32AF"/>
    <w:rsid w:val="28EF7AB7"/>
    <w:rsid w:val="290A02E1"/>
    <w:rsid w:val="293314A5"/>
    <w:rsid w:val="293933AF"/>
    <w:rsid w:val="294A494E"/>
    <w:rsid w:val="295377DC"/>
    <w:rsid w:val="295E5B6D"/>
    <w:rsid w:val="29672BF9"/>
    <w:rsid w:val="296E0005"/>
    <w:rsid w:val="296E2584"/>
    <w:rsid w:val="297B511D"/>
    <w:rsid w:val="29A617E4"/>
    <w:rsid w:val="29C25891"/>
    <w:rsid w:val="2A134397"/>
    <w:rsid w:val="2A1862A0"/>
    <w:rsid w:val="2A3732D1"/>
    <w:rsid w:val="2A3F06DE"/>
    <w:rsid w:val="2A673E21"/>
    <w:rsid w:val="2A694DA5"/>
    <w:rsid w:val="2A784A7C"/>
    <w:rsid w:val="2A827ECE"/>
    <w:rsid w:val="2AA9450A"/>
    <w:rsid w:val="2ABC352B"/>
    <w:rsid w:val="2AD51ED6"/>
    <w:rsid w:val="2B0513A0"/>
    <w:rsid w:val="2B0E422E"/>
    <w:rsid w:val="2B3012EB"/>
    <w:rsid w:val="2B467C0B"/>
    <w:rsid w:val="2B47568D"/>
    <w:rsid w:val="2B634FBD"/>
    <w:rsid w:val="2B6371BC"/>
    <w:rsid w:val="2B7C00E6"/>
    <w:rsid w:val="2B88197A"/>
    <w:rsid w:val="2BB01839"/>
    <w:rsid w:val="2BB51544"/>
    <w:rsid w:val="2BBD6C58"/>
    <w:rsid w:val="2BD12CFE"/>
    <w:rsid w:val="2C0B66D0"/>
    <w:rsid w:val="2C2E598B"/>
    <w:rsid w:val="2C2F1A6C"/>
    <w:rsid w:val="2C6538E6"/>
    <w:rsid w:val="2C6C546F"/>
    <w:rsid w:val="2C8D6075"/>
    <w:rsid w:val="2C9D3A40"/>
    <w:rsid w:val="2CB27BEA"/>
    <w:rsid w:val="2CCD678E"/>
    <w:rsid w:val="2CE341B5"/>
    <w:rsid w:val="2D4F716D"/>
    <w:rsid w:val="2D607001"/>
    <w:rsid w:val="2D657C06"/>
    <w:rsid w:val="2D7D0B30"/>
    <w:rsid w:val="2D98715B"/>
    <w:rsid w:val="2D9B00E0"/>
    <w:rsid w:val="2DA85453"/>
    <w:rsid w:val="2DB00085"/>
    <w:rsid w:val="2DC35A21"/>
    <w:rsid w:val="2DCF1834"/>
    <w:rsid w:val="2E0F261D"/>
    <w:rsid w:val="2E250044"/>
    <w:rsid w:val="2E2547C1"/>
    <w:rsid w:val="2E2C5010"/>
    <w:rsid w:val="2E521E0D"/>
    <w:rsid w:val="2E57641F"/>
    <w:rsid w:val="2E6C29B7"/>
    <w:rsid w:val="2E7C4040"/>
    <w:rsid w:val="2E8A57EA"/>
    <w:rsid w:val="2E942DF2"/>
    <w:rsid w:val="2EA30912"/>
    <w:rsid w:val="2EB17C28"/>
    <w:rsid w:val="2EB540B0"/>
    <w:rsid w:val="2EC830D0"/>
    <w:rsid w:val="2EC952CF"/>
    <w:rsid w:val="2ECA07D2"/>
    <w:rsid w:val="2EE62680"/>
    <w:rsid w:val="2EEF2F90"/>
    <w:rsid w:val="2EF31996"/>
    <w:rsid w:val="2F070637"/>
    <w:rsid w:val="2F326EFC"/>
    <w:rsid w:val="2F437197"/>
    <w:rsid w:val="2F627A4C"/>
    <w:rsid w:val="2F6354CD"/>
    <w:rsid w:val="2F64514D"/>
    <w:rsid w:val="2F6760D2"/>
    <w:rsid w:val="2F7431E9"/>
    <w:rsid w:val="2F79501C"/>
    <w:rsid w:val="2F952FD4"/>
    <w:rsid w:val="2FAA36C3"/>
    <w:rsid w:val="2FC32F68"/>
    <w:rsid w:val="2FC409EA"/>
    <w:rsid w:val="2FE0031A"/>
    <w:rsid w:val="2FEB66AB"/>
    <w:rsid w:val="2FFA4747"/>
    <w:rsid w:val="2FFF0BCF"/>
    <w:rsid w:val="30226805"/>
    <w:rsid w:val="3024558B"/>
    <w:rsid w:val="30327D25"/>
    <w:rsid w:val="30357A24"/>
    <w:rsid w:val="30486A45"/>
    <w:rsid w:val="3072568A"/>
    <w:rsid w:val="308455A5"/>
    <w:rsid w:val="308A2D31"/>
    <w:rsid w:val="30A14B55"/>
    <w:rsid w:val="30A203D8"/>
    <w:rsid w:val="30D675AD"/>
    <w:rsid w:val="30DE49BA"/>
    <w:rsid w:val="30ED4FD4"/>
    <w:rsid w:val="30F73365"/>
    <w:rsid w:val="310D6FB8"/>
    <w:rsid w:val="313A50D3"/>
    <w:rsid w:val="316C7AA1"/>
    <w:rsid w:val="31C64CB7"/>
    <w:rsid w:val="32067C9F"/>
    <w:rsid w:val="320E65BA"/>
    <w:rsid w:val="32136BCC"/>
    <w:rsid w:val="323B26F8"/>
    <w:rsid w:val="32491A0D"/>
    <w:rsid w:val="324D5E95"/>
    <w:rsid w:val="32513A83"/>
    <w:rsid w:val="32645ABA"/>
    <w:rsid w:val="327B56DF"/>
    <w:rsid w:val="32874D75"/>
    <w:rsid w:val="328F68FE"/>
    <w:rsid w:val="32930B88"/>
    <w:rsid w:val="329E499A"/>
    <w:rsid w:val="32AC1A0B"/>
    <w:rsid w:val="32D95A79"/>
    <w:rsid w:val="32F00F21"/>
    <w:rsid w:val="32F62E2B"/>
    <w:rsid w:val="330630C5"/>
    <w:rsid w:val="33196863"/>
    <w:rsid w:val="332848FF"/>
    <w:rsid w:val="332D0D86"/>
    <w:rsid w:val="33332C90"/>
    <w:rsid w:val="33365E13"/>
    <w:rsid w:val="33417A27"/>
    <w:rsid w:val="334376A7"/>
    <w:rsid w:val="3357327E"/>
    <w:rsid w:val="335E1555"/>
    <w:rsid w:val="33604A58"/>
    <w:rsid w:val="33616C57"/>
    <w:rsid w:val="33851415"/>
    <w:rsid w:val="3392652C"/>
    <w:rsid w:val="339A3939"/>
    <w:rsid w:val="33C40DF9"/>
    <w:rsid w:val="33F153DA"/>
    <w:rsid w:val="34006B60"/>
    <w:rsid w:val="340764EB"/>
    <w:rsid w:val="340C4B71"/>
    <w:rsid w:val="34184207"/>
    <w:rsid w:val="34242218"/>
    <w:rsid w:val="34313AAC"/>
    <w:rsid w:val="34336FAF"/>
    <w:rsid w:val="34357F34"/>
    <w:rsid w:val="345B0173"/>
    <w:rsid w:val="345D3677"/>
    <w:rsid w:val="347545A1"/>
    <w:rsid w:val="347A51A5"/>
    <w:rsid w:val="348114DF"/>
    <w:rsid w:val="349415D2"/>
    <w:rsid w:val="34941E16"/>
    <w:rsid w:val="34D039B6"/>
    <w:rsid w:val="34D545BA"/>
    <w:rsid w:val="34E5558C"/>
    <w:rsid w:val="34EA455F"/>
    <w:rsid w:val="34F77FF2"/>
    <w:rsid w:val="34F934F5"/>
    <w:rsid w:val="350D7F97"/>
    <w:rsid w:val="351B5A6B"/>
    <w:rsid w:val="351C27B0"/>
    <w:rsid w:val="351F3735"/>
    <w:rsid w:val="3537465F"/>
    <w:rsid w:val="35414F6E"/>
    <w:rsid w:val="35565E0D"/>
    <w:rsid w:val="3569702C"/>
    <w:rsid w:val="357850C8"/>
    <w:rsid w:val="358C62E7"/>
    <w:rsid w:val="35B74BAD"/>
    <w:rsid w:val="35BA13B5"/>
    <w:rsid w:val="35C273A3"/>
    <w:rsid w:val="35CA5DCC"/>
    <w:rsid w:val="35E7324A"/>
    <w:rsid w:val="35F9471D"/>
    <w:rsid w:val="35FC56A1"/>
    <w:rsid w:val="36170625"/>
    <w:rsid w:val="3624775F"/>
    <w:rsid w:val="362664E5"/>
    <w:rsid w:val="362A70EA"/>
    <w:rsid w:val="36362EFD"/>
    <w:rsid w:val="36414B11"/>
    <w:rsid w:val="365B0F3E"/>
    <w:rsid w:val="366C33D7"/>
    <w:rsid w:val="366F435B"/>
    <w:rsid w:val="36A857BA"/>
    <w:rsid w:val="36C066E4"/>
    <w:rsid w:val="36C21BE7"/>
    <w:rsid w:val="36CA11F2"/>
    <w:rsid w:val="36D030FB"/>
    <w:rsid w:val="36D9128A"/>
    <w:rsid w:val="36E94025"/>
    <w:rsid w:val="36EB4FAA"/>
    <w:rsid w:val="36F6333B"/>
    <w:rsid w:val="36FF03C7"/>
    <w:rsid w:val="37306998"/>
    <w:rsid w:val="3764396F"/>
    <w:rsid w:val="37676AF2"/>
    <w:rsid w:val="376F3EFE"/>
    <w:rsid w:val="37701980"/>
    <w:rsid w:val="37743C09"/>
    <w:rsid w:val="37AC3D63"/>
    <w:rsid w:val="37AE5990"/>
    <w:rsid w:val="37E31CBE"/>
    <w:rsid w:val="37F00FD4"/>
    <w:rsid w:val="37F5325E"/>
    <w:rsid w:val="38022573"/>
    <w:rsid w:val="382C33B7"/>
    <w:rsid w:val="385A2C02"/>
    <w:rsid w:val="3869321C"/>
    <w:rsid w:val="387D663A"/>
    <w:rsid w:val="388727CC"/>
    <w:rsid w:val="388B11D3"/>
    <w:rsid w:val="38B13611"/>
    <w:rsid w:val="38CA31B0"/>
    <w:rsid w:val="38D75A4F"/>
    <w:rsid w:val="38ED6BBF"/>
    <w:rsid w:val="38F378FD"/>
    <w:rsid w:val="392635CF"/>
    <w:rsid w:val="39284554"/>
    <w:rsid w:val="39297DD7"/>
    <w:rsid w:val="392F3772"/>
    <w:rsid w:val="393B7CF1"/>
    <w:rsid w:val="393C0FF6"/>
    <w:rsid w:val="3941767C"/>
    <w:rsid w:val="3952319A"/>
    <w:rsid w:val="395A27A5"/>
    <w:rsid w:val="396A04DF"/>
    <w:rsid w:val="39704948"/>
    <w:rsid w:val="398D3FDB"/>
    <w:rsid w:val="398E1CFA"/>
    <w:rsid w:val="398F13B6"/>
    <w:rsid w:val="39900A80"/>
    <w:rsid w:val="399D4513"/>
    <w:rsid w:val="399E1F94"/>
    <w:rsid w:val="39A673A1"/>
    <w:rsid w:val="39A86127"/>
    <w:rsid w:val="39C037CE"/>
    <w:rsid w:val="39C73159"/>
    <w:rsid w:val="39C9085A"/>
    <w:rsid w:val="39C940DD"/>
    <w:rsid w:val="39D01131"/>
    <w:rsid w:val="39D65971"/>
    <w:rsid w:val="39DF07FF"/>
    <w:rsid w:val="39E34C87"/>
    <w:rsid w:val="39F44F22"/>
    <w:rsid w:val="39F96C51"/>
    <w:rsid w:val="3A0045B7"/>
    <w:rsid w:val="3A4849AC"/>
    <w:rsid w:val="3A50783A"/>
    <w:rsid w:val="3A546240"/>
    <w:rsid w:val="3A630A59"/>
    <w:rsid w:val="3A6464DA"/>
    <w:rsid w:val="3A816D0A"/>
    <w:rsid w:val="3A8A671A"/>
    <w:rsid w:val="3AE73230"/>
    <w:rsid w:val="3B1254FB"/>
    <w:rsid w:val="3B246918"/>
    <w:rsid w:val="3B292DA0"/>
    <w:rsid w:val="3B3F16C0"/>
    <w:rsid w:val="3B5F4174"/>
    <w:rsid w:val="3B651900"/>
    <w:rsid w:val="3B692505"/>
    <w:rsid w:val="3B89083B"/>
    <w:rsid w:val="3B8B7644"/>
    <w:rsid w:val="3B980E56"/>
    <w:rsid w:val="3BB13F7E"/>
    <w:rsid w:val="3BBD5812"/>
    <w:rsid w:val="3BC5739B"/>
    <w:rsid w:val="3BCB12A4"/>
    <w:rsid w:val="3BD41BB4"/>
    <w:rsid w:val="3BFFC69F"/>
    <w:rsid w:val="3C086B8B"/>
    <w:rsid w:val="3C39515C"/>
    <w:rsid w:val="3C475F8B"/>
    <w:rsid w:val="3C6472A5"/>
    <w:rsid w:val="3C6B6C2F"/>
    <w:rsid w:val="3C790143"/>
    <w:rsid w:val="3C8B38E1"/>
    <w:rsid w:val="3C9E707E"/>
    <w:rsid w:val="3CAB1C76"/>
    <w:rsid w:val="3CEA16FC"/>
    <w:rsid w:val="3D1D5019"/>
    <w:rsid w:val="3D286FE2"/>
    <w:rsid w:val="3D2F21F1"/>
    <w:rsid w:val="3D485319"/>
    <w:rsid w:val="3D6C09D0"/>
    <w:rsid w:val="3D883B84"/>
    <w:rsid w:val="3D957616"/>
    <w:rsid w:val="3D98059B"/>
    <w:rsid w:val="3DA51E2F"/>
    <w:rsid w:val="3DB633CE"/>
    <w:rsid w:val="3DCE51F2"/>
    <w:rsid w:val="3E0A75D5"/>
    <w:rsid w:val="3E332998"/>
    <w:rsid w:val="3E6212E9"/>
    <w:rsid w:val="3E6B5444"/>
    <w:rsid w:val="3E7A698F"/>
    <w:rsid w:val="3E8B0E28"/>
    <w:rsid w:val="3E9052B0"/>
    <w:rsid w:val="3EA62CD7"/>
    <w:rsid w:val="3EB3456B"/>
    <w:rsid w:val="3EC07104"/>
    <w:rsid w:val="3EC47D75"/>
    <w:rsid w:val="3ECC5115"/>
    <w:rsid w:val="3EE250BA"/>
    <w:rsid w:val="3EE32B3C"/>
    <w:rsid w:val="3EE71542"/>
    <w:rsid w:val="3EFF6BE9"/>
    <w:rsid w:val="3F0142EA"/>
    <w:rsid w:val="3F026891"/>
    <w:rsid w:val="3F0355EF"/>
    <w:rsid w:val="3F2435A5"/>
    <w:rsid w:val="3F2C09B1"/>
    <w:rsid w:val="3F2D6433"/>
    <w:rsid w:val="3F4B1266"/>
    <w:rsid w:val="3F5617F6"/>
    <w:rsid w:val="3F595FFD"/>
    <w:rsid w:val="3F602105"/>
    <w:rsid w:val="3F661A90"/>
    <w:rsid w:val="3F9E326F"/>
    <w:rsid w:val="3FAA4B03"/>
    <w:rsid w:val="3FB10C0A"/>
    <w:rsid w:val="3FB70595"/>
    <w:rsid w:val="3FB9189A"/>
    <w:rsid w:val="3FBA731C"/>
    <w:rsid w:val="3FC03423"/>
    <w:rsid w:val="3FC6532D"/>
    <w:rsid w:val="3FD1113F"/>
    <w:rsid w:val="3FED6871"/>
    <w:rsid w:val="4009291E"/>
    <w:rsid w:val="400D1324"/>
    <w:rsid w:val="400E4827"/>
    <w:rsid w:val="400F22A9"/>
    <w:rsid w:val="4026444D"/>
    <w:rsid w:val="402A5051"/>
    <w:rsid w:val="402F14D9"/>
    <w:rsid w:val="403768E5"/>
    <w:rsid w:val="405E2028"/>
    <w:rsid w:val="40757A4F"/>
    <w:rsid w:val="407E4ADB"/>
    <w:rsid w:val="40834CE1"/>
    <w:rsid w:val="40946C7F"/>
    <w:rsid w:val="4099698A"/>
    <w:rsid w:val="40A236A9"/>
    <w:rsid w:val="40A538A2"/>
    <w:rsid w:val="40AB7342"/>
    <w:rsid w:val="40BC5C45"/>
    <w:rsid w:val="40C50F41"/>
    <w:rsid w:val="40E32281"/>
    <w:rsid w:val="40EC5FBF"/>
    <w:rsid w:val="410150B4"/>
    <w:rsid w:val="411F4664"/>
    <w:rsid w:val="4123306B"/>
    <w:rsid w:val="41282D76"/>
    <w:rsid w:val="41367B0D"/>
    <w:rsid w:val="4138778D"/>
    <w:rsid w:val="414A67AD"/>
    <w:rsid w:val="41651556"/>
    <w:rsid w:val="417B6F7C"/>
    <w:rsid w:val="417F5983"/>
    <w:rsid w:val="41A67DC1"/>
    <w:rsid w:val="41AE0A50"/>
    <w:rsid w:val="41B86DE1"/>
    <w:rsid w:val="41EA5032"/>
    <w:rsid w:val="41EE3A38"/>
    <w:rsid w:val="42025F5C"/>
    <w:rsid w:val="420970D6"/>
    <w:rsid w:val="42117470"/>
    <w:rsid w:val="421A7D7F"/>
    <w:rsid w:val="421E2009"/>
    <w:rsid w:val="42251994"/>
    <w:rsid w:val="424B3DD2"/>
    <w:rsid w:val="425424E3"/>
    <w:rsid w:val="42772697"/>
    <w:rsid w:val="4285742F"/>
    <w:rsid w:val="42952A23"/>
    <w:rsid w:val="42BC318C"/>
    <w:rsid w:val="42BE088D"/>
    <w:rsid w:val="42C4601A"/>
    <w:rsid w:val="432D21C6"/>
    <w:rsid w:val="433F0E43"/>
    <w:rsid w:val="43484F6E"/>
    <w:rsid w:val="434A3CF5"/>
    <w:rsid w:val="434D6E78"/>
    <w:rsid w:val="43554284"/>
    <w:rsid w:val="43605E98"/>
    <w:rsid w:val="4361391A"/>
    <w:rsid w:val="438276D2"/>
    <w:rsid w:val="43862855"/>
    <w:rsid w:val="438A6CDC"/>
    <w:rsid w:val="43AC0516"/>
    <w:rsid w:val="43B60E25"/>
    <w:rsid w:val="43CD6487"/>
    <w:rsid w:val="43D55E57"/>
    <w:rsid w:val="43F5418D"/>
    <w:rsid w:val="43F5638C"/>
    <w:rsid w:val="440C3DB3"/>
    <w:rsid w:val="441A52C7"/>
    <w:rsid w:val="442A5561"/>
    <w:rsid w:val="442C0C88"/>
    <w:rsid w:val="443261F1"/>
    <w:rsid w:val="44501024"/>
    <w:rsid w:val="446C184E"/>
    <w:rsid w:val="449A1098"/>
    <w:rsid w:val="44A6072E"/>
    <w:rsid w:val="44C06D59"/>
    <w:rsid w:val="44C84166"/>
    <w:rsid w:val="44D82202"/>
    <w:rsid w:val="44D91E82"/>
    <w:rsid w:val="44E24D0F"/>
    <w:rsid w:val="44EB7B9D"/>
    <w:rsid w:val="44ED6924"/>
    <w:rsid w:val="44F55F2E"/>
    <w:rsid w:val="451C590A"/>
    <w:rsid w:val="451F4B74"/>
    <w:rsid w:val="452C1C8C"/>
    <w:rsid w:val="453A31A0"/>
    <w:rsid w:val="4542602E"/>
    <w:rsid w:val="454702B7"/>
    <w:rsid w:val="45620AE1"/>
    <w:rsid w:val="459019B0"/>
    <w:rsid w:val="45917432"/>
    <w:rsid w:val="45A176CC"/>
    <w:rsid w:val="45B5636D"/>
    <w:rsid w:val="45B914F0"/>
    <w:rsid w:val="45DC07AB"/>
    <w:rsid w:val="45F33C53"/>
    <w:rsid w:val="4604196F"/>
    <w:rsid w:val="46105782"/>
    <w:rsid w:val="461F7F9A"/>
    <w:rsid w:val="46205A1C"/>
    <w:rsid w:val="46301EB1"/>
    <w:rsid w:val="465D1FFE"/>
    <w:rsid w:val="46780629"/>
    <w:rsid w:val="46783EAC"/>
    <w:rsid w:val="468034B7"/>
    <w:rsid w:val="468247BC"/>
    <w:rsid w:val="46A55C75"/>
    <w:rsid w:val="46B3080E"/>
    <w:rsid w:val="46C41FCD"/>
    <w:rsid w:val="46CE6E39"/>
    <w:rsid w:val="46DB614F"/>
    <w:rsid w:val="46F102F3"/>
    <w:rsid w:val="46F459F4"/>
    <w:rsid w:val="46F87C7E"/>
    <w:rsid w:val="46FC6684"/>
    <w:rsid w:val="47387782"/>
    <w:rsid w:val="47546D12"/>
    <w:rsid w:val="47602B25"/>
    <w:rsid w:val="477A6F52"/>
    <w:rsid w:val="47827BE2"/>
    <w:rsid w:val="47916B77"/>
    <w:rsid w:val="479C078C"/>
    <w:rsid w:val="479E3C8F"/>
    <w:rsid w:val="47AD2C24"/>
    <w:rsid w:val="47AD64A7"/>
    <w:rsid w:val="47BB57BD"/>
    <w:rsid w:val="47DF52C2"/>
    <w:rsid w:val="47F40E1A"/>
    <w:rsid w:val="480F7446"/>
    <w:rsid w:val="48112949"/>
    <w:rsid w:val="48185B57"/>
    <w:rsid w:val="481935D8"/>
    <w:rsid w:val="483B158F"/>
    <w:rsid w:val="484A762B"/>
    <w:rsid w:val="48516FB5"/>
    <w:rsid w:val="488E3597"/>
    <w:rsid w:val="489D5DB0"/>
    <w:rsid w:val="48C514F3"/>
    <w:rsid w:val="48C84676"/>
    <w:rsid w:val="48FD7FF1"/>
    <w:rsid w:val="49131272"/>
    <w:rsid w:val="491D5404"/>
    <w:rsid w:val="49202B06"/>
    <w:rsid w:val="49333D25"/>
    <w:rsid w:val="49375FAE"/>
    <w:rsid w:val="4942433F"/>
    <w:rsid w:val="49447842"/>
    <w:rsid w:val="494B7CEF"/>
    <w:rsid w:val="49896CB2"/>
    <w:rsid w:val="498E313A"/>
    <w:rsid w:val="499B5CD3"/>
    <w:rsid w:val="49A17BDC"/>
    <w:rsid w:val="49B123F5"/>
    <w:rsid w:val="49EC47D8"/>
    <w:rsid w:val="49F53DE3"/>
    <w:rsid w:val="49FB156F"/>
    <w:rsid w:val="4A0E6F0B"/>
    <w:rsid w:val="4A18529C"/>
    <w:rsid w:val="4A295537"/>
    <w:rsid w:val="4A4C0075"/>
    <w:rsid w:val="4A4C2273"/>
    <w:rsid w:val="4A5144FD"/>
    <w:rsid w:val="4A5B700A"/>
    <w:rsid w:val="4A626995"/>
    <w:rsid w:val="4A65319D"/>
    <w:rsid w:val="4A662E1D"/>
    <w:rsid w:val="4A7459B6"/>
    <w:rsid w:val="4A876BD5"/>
    <w:rsid w:val="4AAF2318"/>
    <w:rsid w:val="4AB11F98"/>
    <w:rsid w:val="4AB2329C"/>
    <w:rsid w:val="4AB30D1E"/>
    <w:rsid w:val="4AB5641F"/>
    <w:rsid w:val="4ABE12AD"/>
    <w:rsid w:val="4AD856DA"/>
    <w:rsid w:val="4B151CBC"/>
    <w:rsid w:val="4B15553F"/>
    <w:rsid w:val="4B45028D"/>
    <w:rsid w:val="4B4D5699"/>
    <w:rsid w:val="4B5F55B3"/>
    <w:rsid w:val="4B6F10D1"/>
    <w:rsid w:val="4B92038C"/>
    <w:rsid w:val="4B9D671D"/>
    <w:rsid w:val="4BAF6637"/>
    <w:rsid w:val="4BB11B3A"/>
    <w:rsid w:val="4BC42D59"/>
    <w:rsid w:val="4BE1398E"/>
    <w:rsid w:val="4BE72014"/>
    <w:rsid w:val="4BF5394C"/>
    <w:rsid w:val="4C380B1A"/>
    <w:rsid w:val="4C6251E1"/>
    <w:rsid w:val="4C657AFB"/>
    <w:rsid w:val="4C7279FA"/>
    <w:rsid w:val="4C827C94"/>
    <w:rsid w:val="4CAC0AD9"/>
    <w:rsid w:val="4CB052E1"/>
    <w:rsid w:val="4CC55583"/>
    <w:rsid w:val="4CD928A1"/>
    <w:rsid w:val="4CDC1628"/>
    <w:rsid w:val="4D0C06BA"/>
    <w:rsid w:val="4D1107FD"/>
    <w:rsid w:val="4D160508"/>
    <w:rsid w:val="4D34553A"/>
    <w:rsid w:val="4D3651B9"/>
    <w:rsid w:val="4D39613E"/>
    <w:rsid w:val="4D4322D1"/>
    <w:rsid w:val="4D536CE8"/>
    <w:rsid w:val="4D6C5694"/>
    <w:rsid w:val="4D99525E"/>
    <w:rsid w:val="4DBD720E"/>
    <w:rsid w:val="4DC0511E"/>
    <w:rsid w:val="4DD43DBE"/>
    <w:rsid w:val="4DE230D4"/>
    <w:rsid w:val="4DE41E5A"/>
    <w:rsid w:val="4DE74FDD"/>
    <w:rsid w:val="4DF46871"/>
    <w:rsid w:val="4DF66DDC"/>
    <w:rsid w:val="4E0F0720"/>
    <w:rsid w:val="4E19322E"/>
    <w:rsid w:val="4E545991"/>
    <w:rsid w:val="4E550E94"/>
    <w:rsid w:val="4E5D62A1"/>
    <w:rsid w:val="4E703C3C"/>
    <w:rsid w:val="4E760ECF"/>
    <w:rsid w:val="4E914171"/>
    <w:rsid w:val="4EB359AB"/>
    <w:rsid w:val="4EB4342C"/>
    <w:rsid w:val="4EB50EAE"/>
    <w:rsid w:val="4EC314C8"/>
    <w:rsid w:val="4ED04F5B"/>
    <w:rsid w:val="4ED626E7"/>
    <w:rsid w:val="4EF46414"/>
    <w:rsid w:val="4F1F055D"/>
    <w:rsid w:val="4F7F767D"/>
    <w:rsid w:val="4F943D9F"/>
    <w:rsid w:val="4FDB6712"/>
    <w:rsid w:val="4FEF31B4"/>
    <w:rsid w:val="5012466D"/>
    <w:rsid w:val="501D717B"/>
    <w:rsid w:val="50342624"/>
    <w:rsid w:val="505674EE"/>
    <w:rsid w:val="505C7F65"/>
    <w:rsid w:val="505E3468"/>
    <w:rsid w:val="50714687"/>
    <w:rsid w:val="50795316"/>
    <w:rsid w:val="507A7515"/>
    <w:rsid w:val="509D67D0"/>
    <w:rsid w:val="50B22EF2"/>
    <w:rsid w:val="50D21228"/>
    <w:rsid w:val="50EB0ACD"/>
    <w:rsid w:val="50F413DD"/>
    <w:rsid w:val="510E7D88"/>
    <w:rsid w:val="511D6814"/>
    <w:rsid w:val="513D08D8"/>
    <w:rsid w:val="516B0122"/>
    <w:rsid w:val="51785239"/>
    <w:rsid w:val="519C08F1"/>
    <w:rsid w:val="51AF7912"/>
    <w:rsid w:val="51C01DAA"/>
    <w:rsid w:val="51C20B31"/>
    <w:rsid w:val="51D442CE"/>
    <w:rsid w:val="51D5415B"/>
    <w:rsid w:val="51D67DB1"/>
    <w:rsid w:val="5223404D"/>
    <w:rsid w:val="5265033A"/>
    <w:rsid w:val="526770C0"/>
    <w:rsid w:val="527079D0"/>
    <w:rsid w:val="5277735B"/>
    <w:rsid w:val="527D59E1"/>
    <w:rsid w:val="5282529F"/>
    <w:rsid w:val="528775F5"/>
    <w:rsid w:val="52A41123"/>
    <w:rsid w:val="52B129B7"/>
    <w:rsid w:val="52C91423"/>
    <w:rsid w:val="52D67374"/>
    <w:rsid w:val="52E26A0A"/>
    <w:rsid w:val="52EB5004"/>
    <w:rsid w:val="52EC7319"/>
    <w:rsid w:val="52EF7E07"/>
    <w:rsid w:val="52FA40B1"/>
    <w:rsid w:val="530A434B"/>
    <w:rsid w:val="53171462"/>
    <w:rsid w:val="531E556A"/>
    <w:rsid w:val="53252976"/>
    <w:rsid w:val="532716FD"/>
    <w:rsid w:val="532F3286"/>
    <w:rsid w:val="534741B0"/>
    <w:rsid w:val="534A5134"/>
    <w:rsid w:val="535B2E50"/>
    <w:rsid w:val="538A011C"/>
    <w:rsid w:val="539677B2"/>
    <w:rsid w:val="53A81DB0"/>
    <w:rsid w:val="53D41815"/>
    <w:rsid w:val="53E36ED5"/>
    <w:rsid w:val="541D1728"/>
    <w:rsid w:val="5430412D"/>
    <w:rsid w:val="543350B2"/>
    <w:rsid w:val="54653303"/>
    <w:rsid w:val="54840334"/>
    <w:rsid w:val="54874B3C"/>
    <w:rsid w:val="54F55170"/>
    <w:rsid w:val="55226F39"/>
    <w:rsid w:val="55537708"/>
    <w:rsid w:val="55704ABA"/>
    <w:rsid w:val="55904808"/>
    <w:rsid w:val="55964CF9"/>
    <w:rsid w:val="55A15289"/>
    <w:rsid w:val="55A3400F"/>
    <w:rsid w:val="55B20DA6"/>
    <w:rsid w:val="55C135BF"/>
    <w:rsid w:val="55D36D5C"/>
    <w:rsid w:val="55DF2B6F"/>
    <w:rsid w:val="55E524FA"/>
    <w:rsid w:val="56052DAF"/>
    <w:rsid w:val="560817B5"/>
    <w:rsid w:val="56183FCE"/>
    <w:rsid w:val="565B7F3A"/>
    <w:rsid w:val="565C123F"/>
    <w:rsid w:val="566540CD"/>
    <w:rsid w:val="56A9133E"/>
    <w:rsid w:val="56AC22C3"/>
    <w:rsid w:val="56B95D55"/>
    <w:rsid w:val="56BF7C5F"/>
    <w:rsid w:val="56D34701"/>
    <w:rsid w:val="56DA628A"/>
    <w:rsid w:val="56E4241D"/>
    <w:rsid w:val="571F34FB"/>
    <w:rsid w:val="5728768E"/>
    <w:rsid w:val="572B4D8F"/>
    <w:rsid w:val="57304A9B"/>
    <w:rsid w:val="5732471A"/>
    <w:rsid w:val="574A5644"/>
    <w:rsid w:val="575326D1"/>
    <w:rsid w:val="57796194"/>
    <w:rsid w:val="57905DB9"/>
    <w:rsid w:val="579831C5"/>
    <w:rsid w:val="57A027D0"/>
    <w:rsid w:val="57B87DA9"/>
    <w:rsid w:val="57D83FAF"/>
    <w:rsid w:val="57E767C7"/>
    <w:rsid w:val="57ED4E4E"/>
    <w:rsid w:val="57F944E3"/>
    <w:rsid w:val="580A5802"/>
    <w:rsid w:val="581F309E"/>
    <w:rsid w:val="582662AC"/>
    <w:rsid w:val="58273D2E"/>
    <w:rsid w:val="583D5ED1"/>
    <w:rsid w:val="58545AF7"/>
    <w:rsid w:val="586A351D"/>
    <w:rsid w:val="5874602B"/>
    <w:rsid w:val="589136D6"/>
    <w:rsid w:val="589233DD"/>
    <w:rsid w:val="58951DE3"/>
    <w:rsid w:val="58AC780A"/>
    <w:rsid w:val="58B46E15"/>
    <w:rsid w:val="58B9329D"/>
    <w:rsid w:val="58D21C48"/>
    <w:rsid w:val="591304B3"/>
    <w:rsid w:val="5921524A"/>
    <w:rsid w:val="59317A63"/>
    <w:rsid w:val="593928F1"/>
    <w:rsid w:val="595D3DAB"/>
    <w:rsid w:val="59624E00"/>
    <w:rsid w:val="596A50AD"/>
    <w:rsid w:val="59774954"/>
    <w:rsid w:val="59810AE7"/>
    <w:rsid w:val="59826569"/>
    <w:rsid w:val="598361E9"/>
    <w:rsid w:val="59873015"/>
    <w:rsid w:val="59874BEF"/>
    <w:rsid w:val="599770AA"/>
    <w:rsid w:val="59DF051F"/>
    <w:rsid w:val="59E16582"/>
    <w:rsid w:val="59EE5898"/>
    <w:rsid w:val="5A0E034B"/>
    <w:rsid w:val="5A1B5462"/>
    <w:rsid w:val="5A1D63E7"/>
    <w:rsid w:val="5A3A7F15"/>
    <w:rsid w:val="5A4F2439"/>
    <w:rsid w:val="5A540ABF"/>
    <w:rsid w:val="5A6544C9"/>
    <w:rsid w:val="5A781F79"/>
    <w:rsid w:val="5AAA3A4D"/>
    <w:rsid w:val="5AAB4D51"/>
    <w:rsid w:val="5ABB1768"/>
    <w:rsid w:val="5AC5499A"/>
    <w:rsid w:val="5ACC3E3E"/>
    <w:rsid w:val="5AD2718F"/>
    <w:rsid w:val="5AF02819"/>
    <w:rsid w:val="5B0D5CEF"/>
    <w:rsid w:val="5B1765FF"/>
    <w:rsid w:val="5B253396"/>
    <w:rsid w:val="5B2A4F24"/>
    <w:rsid w:val="5B355BAF"/>
    <w:rsid w:val="5B425BAA"/>
    <w:rsid w:val="5B47134C"/>
    <w:rsid w:val="5B501C5C"/>
    <w:rsid w:val="5B7E72A8"/>
    <w:rsid w:val="5B8E5344"/>
    <w:rsid w:val="5BA57168"/>
    <w:rsid w:val="5BD844BF"/>
    <w:rsid w:val="5BD91F40"/>
    <w:rsid w:val="5BE921DB"/>
    <w:rsid w:val="5BE96957"/>
    <w:rsid w:val="5BF175E7"/>
    <w:rsid w:val="5BF86F72"/>
    <w:rsid w:val="5C3C0960"/>
    <w:rsid w:val="5C435D6C"/>
    <w:rsid w:val="5C4E40FD"/>
    <w:rsid w:val="5C56150A"/>
    <w:rsid w:val="5C5C6C96"/>
    <w:rsid w:val="5C852059"/>
    <w:rsid w:val="5C9522F3"/>
    <w:rsid w:val="5CA7000F"/>
    <w:rsid w:val="5CAA4817"/>
    <w:rsid w:val="5CB337F7"/>
    <w:rsid w:val="5CCE3752"/>
    <w:rsid w:val="5CD60B5E"/>
    <w:rsid w:val="5CDE5F6B"/>
    <w:rsid w:val="5CE24971"/>
    <w:rsid w:val="5D0C4BC1"/>
    <w:rsid w:val="5D207CD9"/>
    <w:rsid w:val="5D2A4D65"/>
    <w:rsid w:val="5D406F09"/>
    <w:rsid w:val="5D545BA9"/>
    <w:rsid w:val="5D820C77"/>
    <w:rsid w:val="5DA546AF"/>
    <w:rsid w:val="5DDC260A"/>
    <w:rsid w:val="5DDD390F"/>
    <w:rsid w:val="5DF20031"/>
    <w:rsid w:val="5E014DC8"/>
    <w:rsid w:val="5E2D1110"/>
    <w:rsid w:val="5E482FBE"/>
    <w:rsid w:val="5E4A64C2"/>
    <w:rsid w:val="5E515E4C"/>
    <w:rsid w:val="5E7B340D"/>
    <w:rsid w:val="5EA80A59"/>
    <w:rsid w:val="5ECA2293"/>
    <w:rsid w:val="5ED46B20"/>
    <w:rsid w:val="5ED75D25"/>
    <w:rsid w:val="5EEF11CE"/>
    <w:rsid w:val="5F125DF8"/>
    <w:rsid w:val="5F351942"/>
    <w:rsid w:val="5F3F2252"/>
    <w:rsid w:val="5F405755"/>
    <w:rsid w:val="5F4A27E1"/>
    <w:rsid w:val="5F51216C"/>
    <w:rsid w:val="5F517BED"/>
    <w:rsid w:val="5F57199D"/>
    <w:rsid w:val="5F713D25"/>
    <w:rsid w:val="5FC24A29"/>
    <w:rsid w:val="5FD92450"/>
    <w:rsid w:val="5FDF7E90"/>
    <w:rsid w:val="5FE813E6"/>
    <w:rsid w:val="5FEA48E9"/>
    <w:rsid w:val="5FEB5BEE"/>
    <w:rsid w:val="5FEF45F4"/>
    <w:rsid w:val="5FF564FD"/>
    <w:rsid w:val="60171F35"/>
    <w:rsid w:val="601A7636"/>
    <w:rsid w:val="602D40D8"/>
    <w:rsid w:val="60385CED"/>
    <w:rsid w:val="6066021D"/>
    <w:rsid w:val="606E2944"/>
    <w:rsid w:val="607544CD"/>
    <w:rsid w:val="608337E2"/>
    <w:rsid w:val="609008FA"/>
    <w:rsid w:val="60960285"/>
    <w:rsid w:val="60C60DD4"/>
    <w:rsid w:val="60CE03DF"/>
    <w:rsid w:val="60E24E4A"/>
    <w:rsid w:val="61017934"/>
    <w:rsid w:val="611E1462"/>
    <w:rsid w:val="613C4296"/>
    <w:rsid w:val="616A3AE0"/>
    <w:rsid w:val="617D727E"/>
    <w:rsid w:val="61883090"/>
    <w:rsid w:val="619D55B4"/>
    <w:rsid w:val="61A23C3A"/>
    <w:rsid w:val="61C379F2"/>
    <w:rsid w:val="61C60977"/>
    <w:rsid w:val="61D60C11"/>
    <w:rsid w:val="61DF7322"/>
    <w:rsid w:val="61E821B0"/>
    <w:rsid w:val="61F1723C"/>
    <w:rsid w:val="620713E0"/>
    <w:rsid w:val="622C3B9E"/>
    <w:rsid w:val="624102C0"/>
    <w:rsid w:val="6251055B"/>
    <w:rsid w:val="626A1485"/>
    <w:rsid w:val="626E7E8B"/>
    <w:rsid w:val="62731D94"/>
    <w:rsid w:val="62767495"/>
    <w:rsid w:val="629038C3"/>
    <w:rsid w:val="62D068AA"/>
    <w:rsid w:val="62D83CB7"/>
    <w:rsid w:val="62F12662"/>
    <w:rsid w:val="63057105"/>
    <w:rsid w:val="633F2762"/>
    <w:rsid w:val="637606BD"/>
    <w:rsid w:val="63A13CBF"/>
    <w:rsid w:val="63B55C23"/>
    <w:rsid w:val="63E42EEF"/>
    <w:rsid w:val="63F25A88"/>
    <w:rsid w:val="64156F42"/>
    <w:rsid w:val="641B0E4B"/>
    <w:rsid w:val="6425175A"/>
    <w:rsid w:val="642B10E5"/>
    <w:rsid w:val="644C161A"/>
    <w:rsid w:val="645038A3"/>
    <w:rsid w:val="6458542D"/>
    <w:rsid w:val="645C76B6"/>
    <w:rsid w:val="64760260"/>
    <w:rsid w:val="647B3267"/>
    <w:rsid w:val="64AE5E3B"/>
    <w:rsid w:val="64B941CC"/>
    <w:rsid w:val="64BD6456"/>
    <w:rsid w:val="64C612E4"/>
    <w:rsid w:val="64CD2E6D"/>
    <w:rsid w:val="64EA775D"/>
    <w:rsid w:val="64F2562B"/>
    <w:rsid w:val="65220379"/>
    <w:rsid w:val="652B6A8A"/>
    <w:rsid w:val="653E4426"/>
    <w:rsid w:val="655962D4"/>
    <w:rsid w:val="655F01DD"/>
    <w:rsid w:val="65680AED"/>
    <w:rsid w:val="656D07F8"/>
    <w:rsid w:val="65752381"/>
    <w:rsid w:val="65813C15"/>
    <w:rsid w:val="65B06CE3"/>
    <w:rsid w:val="65CE3D15"/>
    <w:rsid w:val="65E329B5"/>
    <w:rsid w:val="65F54093"/>
    <w:rsid w:val="660A60F8"/>
    <w:rsid w:val="6624042A"/>
    <w:rsid w:val="66344D3E"/>
    <w:rsid w:val="66426252"/>
    <w:rsid w:val="6648015B"/>
    <w:rsid w:val="664C6B61"/>
    <w:rsid w:val="665A015E"/>
    <w:rsid w:val="668E08CF"/>
    <w:rsid w:val="66A27570"/>
    <w:rsid w:val="66BB049A"/>
    <w:rsid w:val="66E97CE4"/>
    <w:rsid w:val="67107BA4"/>
    <w:rsid w:val="67236770"/>
    <w:rsid w:val="673F2C72"/>
    <w:rsid w:val="674412F8"/>
    <w:rsid w:val="6749577F"/>
    <w:rsid w:val="67547394"/>
    <w:rsid w:val="677D667D"/>
    <w:rsid w:val="67826BDE"/>
    <w:rsid w:val="678B52EF"/>
    <w:rsid w:val="67973300"/>
    <w:rsid w:val="67B1772D"/>
    <w:rsid w:val="67BC6533"/>
    <w:rsid w:val="67E433FF"/>
    <w:rsid w:val="68112FCA"/>
    <w:rsid w:val="68156BD4"/>
    <w:rsid w:val="682C7077"/>
    <w:rsid w:val="68326D82"/>
    <w:rsid w:val="6845219F"/>
    <w:rsid w:val="684734A4"/>
    <w:rsid w:val="685D7846"/>
    <w:rsid w:val="68696EDC"/>
    <w:rsid w:val="68752CEE"/>
    <w:rsid w:val="689F73B6"/>
    <w:rsid w:val="68A32539"/>
    <w:rsid w:val="68AF3DCD"/>
    <w:rsid w:val="68B946DC"/>
    <w:rsid w:val="68C42A6D"/>
    <w:rsid w:val="68E542A7"/>
    <w:rsid w:val="69010354"/>
    <w:rsid w:val="69031659"/>
    <w:rsid w:val="690B0C63"/>
    <w:rsid w:val="69136070"/>
    <w:rsid w:val="69143783"/>
    <w:rsid w:val="6922410C"/>
    <w:rsid w:val="692376AD"/>
    <w:rsid w:val="692B6F9A"/>
    <w:rsid w:val="69326925"/>
    <w:rsid w:val="69351AA8"/>
    <w:rsid w:val="693D6EB4"/>
    <w:rsid w:val="69756114"/>
    <w:rsid w:val="69783816"/>
    <w:rsid w:val="69811F27"/>
    <w:rsid w:val="69CB581E"/>
    <w:rsid w:val="69D06970"/>
    <w:rsid w:val="69D12FAB"/>
    <w:rsid w:val="69DE22C1"/>
    <w:rsid w:val="69EE4AD9"/>
    <w:rsid w:val="69F82E6A"/>
    <w:rsid w:val="6A075683"/>
    <w:rsid w:val="6A2C45BE"/>
    <w:rsid w:val="6A45374C"/>
    <w:rsid w:val="6A5012FB"/>
    <w:rsid w:val="6A6B7926"/>
    <w:rsid w:val="6A6E2AA9"/>
    <w:rsid w:val="6A6F632C"/>
    <w:rsid w:val="6A8F6861"/>
    <w:rsid w:val="6AD62685"/>
    <w:rsid w:val="6ADB0EDF"/>
    <w:rsid w:val="6B01111E"/>
    <w:rsid w:val="6B014E9A"/>
    <w:rsid w:val="6B0542A1"/>
    <w:rsid w:val="6B0B1A2E"/>
    <w:rsid w:val="6B0C16AE"/>
    <w:rsid w:val="6B0D712F"/>
    <w:rsid w:val="6B0F2632"/>
    <w:rsid w:val="6B7632DB"/>
    <w:rsid w:val="6BA63E2B"/>
    <w:rsid w:val="6BDF7488"/>
    <w:rsid w:val="6C3A689C"/>
    <w:rsid w:val="6C4C19E8"/>
    <w:rsid w:val="6C6509E5"/>
    <w:rsid w:val="6C946BA7"/>
    <w:rsid w:val="6CBB3973"/>
    <w:rsid w:val="6CC42F7D"/>
    <w:rsid w:val="6CC61D04"/>
    <w:rsid w:val="6CC85207"/>
    <w:rsid w:val="6CD15B16"/>
    <w:rsid w:val="6CF56FD0"/>
    <w:rsid w:val="6CFB475C"/>
    <w:rsid w:val="6CFF3162"/>
    <w:rsid w:val="6D0860A6"/>
    <w:rsid w:val="6D0D417B"/>
    <w:rsid w:val="6D0F7B79"/>
    <w:rsid w:val="6D193D0C"/>
    <w:rsid w:val="6D195F0B"/>
    <w:rsid w:val="6D275220"/>
    <w:rsid w:val="6D283B29"/>
    <w:rsid w:val="6D3B6481"/>
    <w:rsid w:val="6D4F63E5"/>
    <w:rsid w:val="6D661E07"/>
    <w:rsid w:val="6DD10F6F"/>
    <w:rsid w:val="6DD57146"/>
    <w:rsid w:val="6DDB184C"/>
    <w:rsid w:val="6DEF4C69"/>
    <w:rsid w:val="6DF67E77"/>
    <w:rsid w:val="6E1938AF"/>
    <w:rsid w:val="6E1F57B8"/>
    <w:rsid w:val="6E21673D"/>
    <w:rsid w:val="6E231C40"/>
    <w:rsid w:val="6E2F12D6"/>
    <w:rsid w:val="6E3034D4"/>
    <w:rsid w:val="6E372E5F"/>
    <w:rsid w:val="6E3D05EC"/>
    <w:rsid w:val="6E3D1350"/>
    <w:rsid w:val="6E4D5003"/>
    <w:rsid w:val="6E601AA5"/>
    <w:rsid w:val="6E675BAD"/>
    <w:rsid w:val="6EA66996"/>
    <w:rsid w:val="6EAC089F"/>
    <w:rsid w:val="6EC05342"/>
    <w:rsid w:val="6ED1305E"/>
    <w:rsid w:val="6EE060A1"/>
    <w:rsid w:val="6F116045"/>
    <w:rsid w:val="6F2567B7"/>
    <w:rsid w:val="6F3C490B"/>
    <w:rsid w:val="6F3D018E"/>
    <w:rsid w:val="6F755D6A"/>
    <w:rsid w:val="6F9817A2"/>
    <w:rsid w:val="6F9B2726"/>
    <w:rsid w:val="6FAB29C1"/>
    <w:rsid w:val="6FCB457A"/>
    <w:rsid w:val="6FD93890"/>
    <w:rsid w:val="70092D5A"/>
    <w:rsid w:val="701B1D7B"/>
    <w:rsid w:val="70400CB6"/>
    <w:rsid w:val="705D27E4"/>
    <w:rsid w:val="70707286"/>
    <w:rsid w:val="70792114"/>
    <w:rsid w:val="70992649"/>
    <w:rsid w:val="709F4552"/>
    <w:rsid w:val="70A906E5"/>
    <w:rsid w:val="70E33D42"/>
    <w:rsid w:val="710C4966"/>
    <w:rsid w:val="710E5E8B"/>
    <w:rsid w:val="710F390D"/>
    <w:rsid w:val="711C0290"/>
    <w:rsid w:val="715F12B6"/>
    <w:rsid w:val="7166029D"/>
    <w:rsid w:val="71967069"/>
    <w:rsid w:val="71C6563A"/>
    <w:rsid w:val="71D67E52"/>
    <w:rsid w:val="71D77AD2"/>
    <w:rsid w:val="71D85554"/>
    <w:rsid w:val="71EE54F9"/>
    <w:rsid w:val="71F1067C"/>
    <w:rsid w:val="72000C97"/>
    <w:rsid w:val="72070621"/>
    <w:rsid w:val="723E657D"/>
    <w:rsid w:val="72401A80"/>
    <w:rsid w:val="724211B7"/>
    <w:rsid w:val="72617A36"/>
    <w:rsid w:val="727453D2"/>
    <w:rsid w:val="72895378"/>
    <w:rsid w:val="72945CA0"/>
    <w:rsid w:val="72A417A5"/>
    <w:rsid w:val="72CA3BE3"/>
    <w:rsid w:val="72EC1B99"/>
    <w:rsid w:val="72ED761A"/>
    <w:rsid w:val="73065FC6"/>
    <w:rsid w:val="732F5B05"/>
    <w:rsid w:val="733D289D"/>
    <w:rsid w:val="734112A3"/>
    <w:rsid w:val="734B5436"/>
    <w:rsid w:val="735932CF"/>
    <w:rsid w:val="73636360"/>
    <w:rsid w:val="736B376C"/>
    <w:rsid w:val="736F5C2F"/>
    <w:rsid w:val="738B621F"/>
    <w:rsid w:val="739428F8"/>
    <w:rsid w:val="73977AB3"/>
    <w:rsid w:val="73AC41D5"/>
    <w:rsid w:val="73AC6754"/>
    <w:rsid w:val="73C053F4"/>
    <w:rsid w:val="73C70602"/>
    <w:rsid w:val="73D75019"/>
    <w:rsid w:val="73DE0228"/>
    <w:rsid w:val="73DF5CA9"/>
    <w:rsid w:val="73F26EC8"/>
    <w:rsid w:val="73F310C6"/>
    <w:rsid w:val="74003C5F"/>
    <w:rsid w:val="7408106C"/>
    <w:rsid w:val="740D54F4"/>
    <w:rsid w:val="740E2F75"/>
    <w:rsid w:val="741C7D0C"/>
    <w:rsid w:val="743B4D3E"/>
    <w:rsid w:val="744530CF"/>
    <w:rsid w:val="745201E6"/>
    <w:rsid w:val="748E25CA"/>
    <w:rsid w:val="74964153"/>
    <w:rsid w:val="74A17F65"/>
    <w:rsid w:val="74B46F86"/>
    <w:rsid w:val="74BE1A94"/>
    <w:rsid w:val="74D05231"/>
    <w:rsid w:val="74DF53AE"/>
    <w:rsid w:val="74E8615B"/>
    <w:rsid w:val="7506350D"/>
    <w:rsid w:val="75080C0F"/>
    <w:rsid w:val="75625E25"/>
    <w:rsid w:val="758075D4"/>
    <w:rsid w:val="7583635A"/>
    <w:rsid w:val="758827E2"/>
    <w:rsid w:val="75C65B4A"/>
    <w:rsid w:val="75EF348B"/>
    <w:rsid w:val="75F0310B"/>
    <w:rsid w:val="75FE2420"/>
    <w:rsid w:val="76384B84"/>
    <w:rsid w:val="764B5DA3"/>
    <w:rsid w:val="764E6D27"/>
    <w:rsid w:val="76517CAC"/>
    <w:rsid w:val="76764668"/>
    <w:rsid w:val="76D336FD"/>
    <w:rsid w:val="76DD5C10"/>
    <w:rsid w:val="76FE4817"/>
    <w:rsid w:val="77027AD0"/>
    <w:rsid w:val="770551D1"/>
    <w:rsid w:val="77166770"/>
    <w:rsid w:val="771976F5"/>
    <w:rsid w:val="77230004"/>
    <w:rsid w:val="77260F89"/>
    <w:rsid w:val="77380EA3"/>
    <w:rsid w:val="77632FEC"/>
    <w:rsid w:val="77B34070"/>
    <w:rsid w:val="77B72A76"/>
    <w:rsid w:val="784129DA"/>
    <w:rsid w:val="784513E1"/>
    <w:rsid w:val="7855167B"/>
    <w:rsid w:val="78861E4A"/>
    <w:rsid w:val="788778CC"/>
    <w:rsid w:val="78A60180"/>
    <w:rsid w:val="78A648FD"/>
    <w:rsid w:val="78AD7B0B"/>
    <w:rsid w:val="78B00A90"/>
    <w:rsid w:val="78C31CAF"/>
    <w:rsid w:val="78CA163A"/>
    <w:rsid w:val="78DB7356"/>
    <w:rsid w:val="78F9424F"/>
    <w:rsid w:val="78F96906"/>
    <w:rsid w:val="79121A2E"/>
    <w:rsid w:val="79306A60"/>
    <w:rsid w:val="79390690"/>
    <w:rsid w:val="793B4DF1"/>
    <w:rsid w:val="7968023E"/>
    <w:rsid w:val="796C6C45"/>
    <w:rsid w:val="79753CD1"/>
    <w:rsid w:val="797877E6"/>
    <w:rsid w:val="798961F5"/>
    <w:rsid w:val="799022FC"/>
    <w:rsid w:val="79917872"/>
    <w:rsid w:val="79B42F8A"/>
    <w:rsid w:val="79D06969"/>
    <w:rsid w:val="79D31AEC"/>
    <w:rsid w:val="79DC01FD"/>
    <w:rsid w:val="7A0B54C9"/>
    <w:rsid w:val="7A2D6D03"/>
    <w:rsid w:val="7A427BA1"/>
    <w:rsid w:val="7A4D17B6"/>
    <w:rsid w:val="7A5F16D0"/>
    <w:rsid w:val="7A96762C"/>
    <w:rsid w:val="7A9A18B5"/>
    <w:rsid w:val="7AB855E2"/>
    <w:rsid w:val="7AC62379"/>
    <w:rsid w:val="7ACB6801"/>
    <w:rsid w:val="7AE169D4"/>
    <w:rsid w:val="7AF741CD"/>
    <w:rsid w:val="7B0B2AA4"/>
    <w:rsid w:val="7B215011"/>
    <w:rsid w:val="7B303FA7"/>
    <w:rsid w:val="7B365EB0"/>
    <w:rsid w:val="7B396E35"/>
    <w:rsid w:val="7B4D1359"/>
    <w:rsid w:val="7B540CE3"/>
    <w:rsid w:val="7B5C397C"/>
    <w:rsid w:val="7B6F730F"/>
    <w:rsid w:val="7B882437"/>
    <w:rsid w:val="7BAA499E"/>
    <w:rsid w:val="7BBC740E"/>
    <w:rsid w:val="7BC73221"/>
    <w:rsid w:val="7BD90F3C"/>
    <w:rsid w:val="7BFE117C"/>
    <w:rsid w:val="7C0B2A10"/>
    <w:rsid w:val="7C106E98"/>
    <w:rsid w:val="7C245B39"/>
    <w:rsid w:val="7C272341"/>
    <w:rsid w:val="7C7B6547"/>
    <w:rsid w:val="7C8A0D60"/>
    <w:rsid w:val="7C95228E"/>
    <w:rsid w:val="7C964B73"/>
    <w:rsid w:val="7CA52C0F"/>
    <w:rsid w:val="7CAD001B"/>
    <w:rsid w:val="7CB00FA0"/>
    <w:rsid w:val="7CF84C17"/>
    <w:rsid w:val="7CFA4897"/>
    <w:rsid w:val="7D0B5E36"/>
    <w:rsid w:val="7D0E3538"/>
    <w:rsid w:val="7D133243"/>
    <w:rsid w:val="7D1641C7"/>
    <w:rsid w:val="7D1E37D2"/>
    <w:rsid w:val="7D2B08E9"/>
    <w:rsid w:val="7D5A1F78"/>
    <w:rsid w:val="7D5A5BB5"/>
    <w:rsid w:val="7D757A64"/>
    <w:rsid w:val="7D817FF3"/>
    <w:rsid w:val="7D830F78"/>
    <w:rsid w:val="7D883202"/>
    <w:rsid w:val="7DCA16EC"/>
    <w:rsid w:val="7DCC0473"/>
    <w:rsid w:val="7DD97789"/>
    <w:rsid w:val="7DE07113"/>
    <w:rsid w:val="7DE26D93"/>
    <w:rsid w:val="7DE65799"/>
    <w:rsid w:val="7DE91FA1"/>
    <w:rsid w:val="7DF173AE"/>
    <w:rsid w:val="7E2E6CC1"/>
    <w:rsid w:val="7E425EB3"/>
    <w:rsid w:val="7E481FBB"/>
    <w:rsid w:val="7E497A3C"/>
    <w:rsid w:val="7E4D1CC6"/>
    <w:rsid w:val="7E5A355A"/>
    <w:rsid w:val="7E8705BC"/>
    <w:rsid w:val="7E9214D5"/>
    <w:rsid w:val="7E9A6542"/>
    <w:rsid w:val="7EA271D1"/>
    <w:rsid w:val="7EBC7D7B"/>
    <w:rsid w:val="7ECD2214"/>
    <w:rsid w:val="7ED10C1A"/>
    <w:rsid w:val="7EDC282E"/>
    <w:rsid w:val="7EE60BBF"/>
    <w:rsid w:val="7EF43758"/>
    <w:rsid w:val="7EFF3CE8"/>
    <w:rsid w:val="7F222FA3"/>
    <w:rsid w:val="7F3279BA"/>
    <w:rsid w:val="7F32C2EB"/>
    <w:rsid w:val="7F536FF5"/>
    <w:rsid w:val="7F5C6600"/>
    <w:rsid w:val="7F5E5386"/>
    <w:rsid w:val="7F625F8B"/>
    <w:rsid w:val="7F691199"/>
    <w:rsid w:val="7F736225"/>
    <w:rsid w:val="7F74752A"/>
    <w:rsid w:val="7F754FAB"/>
    <w:rsid w:val="7F7D7E39"/>
    <w:rsid w:val="7F800DBE"/>
    <w:rsid w:val="7F9D28EC"/>
    <w:rsid w:val="7F9D7069"/>
    <w:rsid w:val="7FB80F18"/>
    <w:rsid w:val="7FD71F4F"/>
    <w:rsid w:val="7FDE1157"/>
    <w:rsid w:val="7FF83F00"/>
    <w:rsid w:val="7FFEEA3E"/>
    <w:rsid w:val="A1FB7414"/>
    <w:rsid w:val="AFFBDC84"/>
    <w:rsid w:val="B747EF1D"/>
    <w:rsid w:val="BDFD3547"/>
    <w:rsid w:val="BEFE9A5C"/>
    <w:rsid w:val="CABF8226"/>
    <w:rsid w:val="CFAF26BE"/>
    <w:rsid w:val="DFBD16BB"/>
    <w:rsid w:val="E4F3D20E"/>
    <w:rsid w:val="E7F57A12"/>
    <w:rsid w:val="F1FFFCA9"/>
    <w:rsid w:val="F4EF286C"/>
    <w:rsid w:val="F7F549B8"/>
    <w:rsid w:val="FA63DC4F"/>
    <w:rsid w:val="FBFBE988"/>
    <w:rsid w:val="FFF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line="360" w:lineRule="auto"/>
      <w:ind w:firstLine="141" w:firstLineChars="47"/>
      <w:outlineLvl w:val="0"/>
    </w:pPr>
    <w:rPr>
      <w:rFonts w:ascii="黑体" w:hAnsi="黑体" w:eastAsia="黑体"/>
      <w:bCs/>
      <w:color w:val="FF0000"/>
      <w:kern w:val="44"/>
      <w:sz w:val="30"/>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rPr>
      <w:rFonts w:ascii="Calibri" w:hAnsi="Calibri"/>
    </w:rPr>
  </w:style>
  <w:style w:type="paragraph" w:styleId="4">
    <w:name w:val="Body Text Indent"/>
    <w:basedOn w:val="1"/>
    <w:link w:val="21"/>
    <w:qFormat/>
    <w:uiPriority w:val="0"/>
    <w:pPr>
      <w:ind w:firstLine="560" w:firstLineChars="200"/>
    </w:pPr>
    <w:rPr>
      <w:rFonts w:ascii="宋体" w:hAnsi="宋体"/>
      <w:color w:val="000000"/>
      <w:sz w:val="28"/>
    </w:rPr>
  </w:style>
  <w:style w:type="paragraph" w:styleId="5">
    <w:name w:val="Plain Text"/>
    <w:basedOn w:val="1"/>
    <w:link w:val="24"/>
    <w:qFormat/>
    <w:uiPriority w:val="99"/>
    <w:rPr>
      <w:rFonts w:ascii="宋体" w:hAnsi="Courier New"/>
      <w:szCs w:val="20"/>
    </w:rPr>
  </w:style>
  <w:style w:type="paragraph" w:styleId="6">
    <w:name w:val="Body Text Indent 2"/>
    <w:basedOn w:val="1"/>
    <w:link w:val="17"/>
    <w:qFormat/>
    <w:uiPriority w:val="0"/>
    <w:pPr>
      <w:snapToGrid w:val="0"/>
      <w:spacing w:line="620" w:lineRule="exact"/>
      <w:ind w:firstLine="584" w:firstLineChars="200"/>
    </w:pPr>
    <w:rPr>
      <w:rFonts w:ascii="仿宋_GB2312" w:hAnsi="宋体" w:eastAsia="仿宋_GB2312"/>
      <w:spacing w:val="6"/>
      <w:sz w:val="28"/>
    </w:rPr>
  </w:style>
  <w:style w:type="paragraph" w:styleId="7">
    <w:name w:val="Balloon Text"/>
    <w:basedOn w:val="1"/>
    <w:link w:val="16"/>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600" w:lineRule="exact"/>
      <w:ind w:left="480"/>
    </w:pPr>
    <w:rPr>
      <w:rFonts w:ascii="楷体_GB2312" w:eastAsia="楷体_GB2312"/>
      <w:bCs/>
      <w:sz w:val="24"/>
    </w:rPr>
  </w:style>
  <w:style w:type="paragraph" w:styleId="11">
    <w:name w:val="annotation subject"/>
    <w:basedOn w:val="3"/>
    <w:next w:val="3"/>
    <w:link w:val="23"/>
    <w:qFormat/>
    <w:uiPriority w:val="0"/>
    <w:rPr>
      <w:b/>
      <w:bCs/>
    </w:rPr>
  </w:style>
  <w:style w:type="character" w:styleId="14">
    <w:name w:val="page number"/>
    <w:basedOn w:val="13"/>
    <w:qFormat/>
    <w:uiPriority w:val="0"/>
  </w:style>
  <w:style w:type="character" w:styleId="15">
    <w:name w:val="annotation reference"/>
    <w:qFormat/>
    <w:uiPriority w:val="0"/>
    <w:rPr>
      <w:sz w:val="21"/>
      <w:szCs w:val="21"/>
    </w:rPr>
  </w:style>
  <w:style w:type="character" w:customStyle="1" w:styleId="16">
    <w:name w:val="批注框文本 Char"/>
    <w:link w:val="7"/>
    <w:semiHidden/>
    <w:qFormat/>
    <w:uiPriority w:val="99"/>
    <w:rPr>
      <w:rFonts w:ascii="Times New Roman" w:hAnsi="Times New Roman"/>
      <w:kern w:val="2"/>
      <w:sz w:val="18"/>
      <w:szCs w:val="18"/>
    </w:rPr>
  </w:style>
  <w:style w:type="character" w:customStyle="1" w:styleId="17">
    <w:name w:val="正文文本缩进 2 Char"/>
    <w:link w:val="6"/>
    <w:qFormat/>
    <w:uiPriority w:val="0"/>
    <w:rPr>
      <w:rFonts w:ascii="仿宋_GB2312" w:hAnsi="宋体" w:eastAsia="仿宋_GB2312"/>
      <w:spacing w:val="6"/>
      <w:kern w:val="2"/>
      <w:sz w:val="28"/>
      <w:szCs w:val="24"/>
    </w:rPr>
  </w:style>
  <w:style w:type="character" w:customStyle="1" w:styleId="18">
    <w:name w:val="标题 1 Char2"/>
    <w:link w:val="2"/>
    <w:qFormat/>
    <w:uiPriority w:val="0"/>
    <w:rPr>
      <w:rFonts w:ascii="黑体" w:hAnsi="黑体" w:eastAsia="黑体"/>
      <w:bCs/>
      <w:color w:val="FF0000"/>
      <w:kern w:val="44"/>
      <w:sz w:val="30"/>
      <w:szCs w:val="30"/>
    </w:rPr>
  </w:style>
  <w:style w:type="character" w:customStyle="1" w:styleId="19">
    <w:name w:val="页脚 Char"/>
    <w:link w:val="8"/>
    <w:qFormat/>
    <w:uiPriority w:val="99"/>
    <w:rPr>
      <w:kern w:val="2"/>
      <w:sz w:val="18"/>
      <w:szCs w:val="18"/>
    </w:rPr>
  </w:style>
  <w:style w:type="character" w:customStyle="1" w:styleId="20">
    <w:name w:val="批注文字 Char"/>
    <w:link w:val="3"/>
    <w:qFormat/>
    <w:uiPriority w:val="0"/>
    <w:rPr>
      <w:kern w:val="2"/>
      <w:sz w:val="21"/>
      <w:szCs w:val="24"/>
    </w:rPr>
  </w:style>
  <w:style w:type="character" w:customStyle="1" w:styleId="21">
    <w:name w:val="正文文本缩进 Char"/>
    <w:link w:val="4"/>
    <w:qFormat/>
    <w:uiPriority w:val="0"/>
    <w:rPr>
      <w:rFonts w:ascii="宋体" w:hAnsi="宋体"/>
      <w:color w:val="000000"/>
      <w:kern w:val="2"/>
      <w:sz w:val="28"/>
      <w:szCs w:val="24"/>
    </w:rPr>
  </w:style>
  <w:style w:type="character" w:customStyle="1" w:styleId="22">
    <w:name w:val="标题 1 Char"/>
    <w:qFormat/>
    <w:uiPriority w:val="0"/>
    <w:rPr>
      <w:rFonts w:ascii="Times New Roman" w:hAnsi="Times New Roman" w:eastAsia="宋体" w:cs="Times New Roman"/>
      <w:b/>
      <w:bCs/>
      <w:kern w:val="44"/>
      <w:sz w:val="44"/>
      <w:szCs w:val="44"/>
    </w:rPr>
  </w:style>
  <w:style w:type="character" w:customStyle="1" w:styleId="23">
    <w:name w:val="批注主题 Char"/>
    <w:link w:val="11"/>
    <w:qFormat/>
    <w:uiPriority w:val="0"/>
    <w:rPr>
      <w:b/>
      <w:bCs/>
      <w:kern w:val="2"/>
      <w:sz w:val="21"/>
      <w:szCs w:val="24"/>
    </w:rPr>
  </w:style>
  <w:style w:type="character" w:customStyle="1" w:styleId="24">
    <w:name w:val="纯文本 Char"/>
    <w:link w:val="5"/>
    <w:qFormat/>
    <w:uiPriority w:val="99"/>
    <w:rPr>
      <w:rFonts w:ascii="宋体" w:hAnsi="Courier New"/>
      <w:kern w:val="2"/>
      <w:sz w:val="21"/>
    </w:rPr>
  </w:style>
  <w:style w:type="character" w:customStyle="1" w:styleId="25">
    <w:name w:val="标题 1 Char1"/>
    <w:qFormat/>
    <w:uiPriority w:val="0"/>
    <w:rPr>
      <w:b/>
      <w:bCs/>
      <w:kern w:val="44"/>
      <w:sz w:val="44"/>
      <w:szCs w:val="44"/>
    </w:rPr>
  </w:style>
  <w:style w:type="paragraph" w:customStyle="1" w:styleId="2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彩色底纹 - 强调文字颜色 11"/>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彩色列表 - 强调文字颜色 11"/>
    <w:basedOn w:val="1"/>
    <w:qFormat/>
    <w:uiPriority w:val="34"/>
    <w:pPr>
      <w:ind w:firstLine="420" w:firstLineChars="200"/>
    </w:pPr>
  </w:style>
  <w:style w:type="paragraph" w:customStyle="1" w:styleId="29">
    <w:name w:val="中等深浅网格 1 - 着色 21"/>
    <w:basedOn w:val="1"/>
    <w:qFormat/>
    <w:uiPriority w:val="34"/>
    <w:pPr>
      <w:ind w:firstLine="420" w:firstLineChars="200"/>
    </w:pPr>
  </w:style>
  <w:style w:type="paragraph" w:customStyle="1" w:styleId="30">
    <w:name w:val="p0"/>
    <w:basedOn w:val="1"/>
    <w:qFormat/>
    <w:uiPriority w:val="0"/>
    <w:pPr>
      <w:widowControl/>
    </w:pPr>
    <w:rPr>
      <w:rFonts w:ascii="等线" w:hAnsi="等线" w:eastAsia="等线" w:cs="宋体"/>
      <w:kern w:val="0"/>
      <w:szCs w:val="21"/>
    </w:rPr>
  </w:style>
  <w:style w:type="paragraph" w:customStyle="1" w:styleId="31">
    <w:name w:val="Char"/>
    <w:basedOn w:val="1"/>
    <w:semiHidden/>
    <w:qFormat/>
    <w:uiPriority w:val="0"/>
    <w:rPr>
      <w:rFonts w:eastAsia="仿宋_GB2312"/>
      <w:sz w:val="28"/>
    </w:rPr>
  </w:style>
  <w:style w:type="paragraph" w:customStyle="1" w:styleId="3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中等深浅列表 2 - 着色 21"/>
    <w:unhideWhenUsed/>
    <w:qFormat/>
    <w:uiPriority w:val="99"/>
    <w:rPr>
      <w:rFonts w:ascii="Times New Roman" w:hAnsi="Times New Roman" w:eastAsia="宋体" w:cs="Times New Roman"/>
      <w:kern w:val="2"/>
      <w:sz w:val="21"/>
      <w:szCs w:val="24"/>
      <w:lang w:val="en-US" w:eastAsia="zh-CN" w:bidi="ar-SA"/>
    </w:rPr>
  </w:style>
  <w:style w:type="paragraph" w:styleId="34">
    <w:name w:val="List Paragraph"/>
    <w:basedOn w:val="1"/>
    <w:qFormat/>
    <w:uiPriority w:val="34"/>
    <w:pPr>
      <w:ind w:firstLine="420" w:firstLineChars="200"/>
    </w:pPr>
    <w:rPr>
      <w:rFonts w:ascii="Calibri" w:hAnsi="Calibri"/>
      <w:szCs w:val="22"/>
    </w:rPr>
  </w:style>
  <w:style w:type="paragraph" w:customStyle="1" w:styleId="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正文文本缩进 2 字符"/>
    <w:qFormat/>
    <w:uiPriority w:val="0"/>
    <w:rPr>
      <w:rFonts w:ascii="仿宋_GB2312" w:hAnsi="宋体" w:eastAsia="仿宋_GB2312"/>
      <w:spacing w:val="6"/>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czb</Company>
  <Pages>42</Pages>
  <Words>21039</Words>
  <Characters>21748</Characters>
  <Lines>165</Lines>
  <Paragraphs>46</Paragraphs>
  <TotalTime>356</TotalTime>
  <ScaleCrop>false</ScaleCrop>
  <LinksUpToDate>false</LinksUpToDate>
  <CharactersWithSpaces>21861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2016-01-12T20:34:00Z</dcterms:created>
  <dc:creator>czb</dc:creator>
  <cp:lastModifiedBy>霞</cp:lastModifiedBy>
  <cp:lastPrinted>2019-11-23T20:31:00Z</cp:lastPrinted>
  <dcterms:modified xsi:type="dcterms:W3CDTF">2025-09-23T01:45:16Z</dcterms:modified>
  <dc:title>行政事业单位资产清查报表、基础表填报说明</dc:title>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AB9F3BEA04A94439B6A12DD4C07AB6A9_13</vt:lpwstr>
  </property>
  <property fmtid="{D5CDD505-2E9C-101B-9397-08002B2CF9AE}" pid="4" name="KSOTemplateDocerSaveRecord">
    <vt:lpwstr>eyJoZGlkIjoiOGI3NDFjN2IwMDYwMzA1OTE1NzY4ODkwMjQ1ODFhMWIiLCJ1c2VySWQiOiIyOTgyOTY4NzQifQ==</vt:lpwstr>
  </property>
</Properties>
</file>