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4CFB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2021年莆田市级财政评价报告公开说明</w:t>
      </w:r>
    </w:p>
    <w:p w14:paraId="0CBE582C">
      <w:pPr>
        <w:ind w:firstLine="640"/>
        <w:rPr>
          <w:rFonts w:hint="eastAsia" w:ascii="仿宋" w:hAnsi="仿宋" w:eastAsia="仿宋" w:cs="仿宋"/>
          <w:sz w:val="32"/>
          <w:szCs w:val="32"/>
        </w:rPr>
      </w:pPr>
    </w:p>
    <w:p w14:paraId="7AC465C2">
      <w:pPr>
        <w:ind w:firstLine="640"/>
        <w:rPr>
          <w:rFonts w:ascii="仿宋" w:hAnsi="仿宋" w:eastAsia="仿宋" w:cs="仿宋"/>
          <w:sz w:val="32"/>
          <w:szCs w:val="32"/>
        </w:rPr>
      </w:pPr>
      <w:r>
        <w:rPr>
          <w:rFonts w:hint="eastAsia" w:ascii="仿宋" w:hAnsi="仿宋" w:eastAsia="仿宋" w:cs="仿宋"/>
          <w:sz w:val="32"/>
          <w:szCs w:val="32"/>
        </w:rPr>
        <w:t>为进一步加强预算绩效管理，提高财政资金使用效益和管理水平，2021年市级财政评价共选取3个预算部门、1家市级国有企业、10个2020年度预算支出项目，涉及财政资金30.12亿元，比去年增长184.69%。</w:t>
      </w:r>
    </w:p>
    <w:p w14:paraId="4EFE1223">
      <w:pPr>
        <w:ind w:firstLine="640"/>
        <w:rPr>
          <w:rFonts w:ascii="仿宋" w:hAnsi="仿宋" w:eastAsia="仿宋" w:cs="仿宋"/>
          <w:sz w:val="32"/>
          <w:szCs w:val="32"/>
        </w:rPr>
      </w:pPr>
      <w:r>
        <w:rPr>
          <w:rFonts w:hint="eastAsia" w:ascii="仿宋" w:hAnsi="仿宋" w:eastAsia="仿宋" w:cs="仿宋"/>
          <w:sz w:val="32"/>
          <w:szCs w:val="32"/>
        </w:rPr>
        <w:t>2021年市级财政评价在2020年完成覆盖一般公共预算、政府性基金预算、社会保险基金预算和国有资本经营预算等四本预算要求的基础上，进一步拓展了评价范围、项目类型和评价内涵，从项目年度资金评价逐渐向中期阶段性政策实施效果评估、跨年度项目评价和部门整体支出评价转变。同时，为确保评价工作的独立、客观、公正，市级财政评价工作全部委托第三方机构独立开展。</w:t>
      </w:r>
    </w:p>
    <w:p w14:paraId="234DC36D">
      <w:pPr>
        <w:ind w:firstLine="640"/>
        <w:rPr>
          <w:rFonts w:ascii="仿宋" w:hAnsi="仿宋" w:eastAsia="仿宋" w:cs="仿宋"/>
          <w:sz w:val="32"/>
          <w:szCs w:val="32"/>
        </w:rPr>
      </w:pPr>
      <w:r>
        <w:rPr>
          <w:rFonts w:hint="eastAsia" w:ascii="仿宋" w:hAnsi="仿宋" w:eastAsia="仿宋" w:cs="仿宋"/>
          <w:sz w:val="32"/>
          <w:szCs w:val="32"/>
        </w:rPr>
        <w:t>根据第三方机构评价结果，列入2021年财政评价的14个评价项目中，评价等次为“优秀”的有10项，优秀率为71.43%，比去年提高了4.76个百分点；剩余4项均为“良好”。总体来看，14个项目的评价最终得分平均为89.9分，显示这些项目在预算管理方面还有较多提升空间。</w:t>
      </w:r>
    </w:p>
    <w:p w14:paraId="4A64C983">
      <w:pPr>
        <w:ind w:firstLine="640"/>
        <w:rPr>
          <w:rFonts w:ascii="仿宋" w:hAnsi="仿宋" w:eastAsia="仿宋" w:cs="仿宋"/>
          <w:sz w:val="32"/>
          <w:szCs w:val="32"/>
        </w:rPr>
      </w:pPr>
      <w:r>
        <w:rPr>
          <w:rFonts w:hint="eastAsia" w:ascii="仿宋" w:hAnsi="仿宋" w:eastAsia="仿宋" w:cs="仿宋"/>
          <w:sz w:val="32"/>
          <w:szCs w:val="32"/>
        </w:rPr>
        <w:t>现将2021年市级财政评价报告汇编成册并予以公开，接收社会监督。</w:t>
      </w:r>
    </w:p>
    <w:p w14:paraId="7C7A73D8">
      <w:pPr>
        <w:jc w:val="center"/>
        <w:rPr>
          <w:rFonts w:ascii="仿宋" w:hAnsi="仿宋" w:eastAsia="仿宋" w:cs="仿宋"/>
          <w:sz w:val="32"/>
          <w:szCs w:val="32"/>
        </w:rPr>
      </w:pPr>
      <w:r>
        <w:rPr>
          <w:rFonts w:hint="eastAsia" w:ascii="仿宋" w:hAnsi="仿宋" w:eastAsia="仿宋" w:cs="仿宋"/>
          <w:sz w:val="32"/>
          <w:szCs w:val="32"/>
        </w:rPr>
        <w:t xml:space="preserve">  </w:t>
      </w:r>
    </w:p>
    <w:p w14:paraId="753DEB44">
      <w:pPr>
        <w:jc w:val="center"/>
        <w:rPr>
          <w:rFonts w:ascii="仿宋" w:hAnsi="仿宋" w:eastAsia="仿宋" w:cs="仿宋"/>
          <w:sz w:val="32"/>
          <w:szCs w:val="32"/>
        </w:rPr>
      </w:pPr>
    </w:p>
    <w:p w14:paraId="0B773893">
      <w:pPr>
        <w:jc w:val="center"/>
        <w:rPr>
          <w:rFonts w:ascii="仿宋" w:hAnsi="仿宋" w:eastAsia="仿宋" w:cs="仿宋"/>
          <w:sz w:val="32"/>
          <w:szCs w:val="32"/>
        </w:rPr>
      </w:pPr>
    </w:p>
    <w:p w14:paraId="14974B96">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2021年财政评价项目情况表</w:t>
      </w:r>
    </w:p>
    <w:tbl>
      <w:tblPr>
        <w:tblStyle w:val="18"/>
        <w:tblpPr w:leftFromText="180" w:rightFromText="180" w:vertAnchor="text" w:tblpXSpec="center" w:tblpY="588"/>
        <w:tblOverlap w:val="never"/>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3489"/>
        <w:gridCol w:w="3135"/>
        <w:gridCol w:w="844"/>
        <w:gridCol w:w="876"/>
      </w:tblGrid>
      <w:tr w14:paraId="10B4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513" w:type="dxa"/>
            <w:vAlign w:val="center"/>
          </w:tcPr>
          <w:p w14:paraId="3ADDE0A0">
            <w:pPr>
              <w:spacing w:line="300" w:lineRule="exact"/>
              <w:jc w:val="center"/>
              <w:rPr>
                <w:rFonts w:ascii="宋体" w:hAnsi="宋体" w:eastAsia="宋体" w:cs="宋体"/>
                <w:b/>
                <w:bCs/>
                <w:sz w:val="24"/>
              </w:rPr>
            </w:pPr>
            <w:r>
              <w:rPr>
                <w:rFonts w:hint="eastAsia" w:ascii="宋体" w:hAnsi="宋体" w:eastAsia="宋体" w:cs="宋体"/>
                <w:b/>
                <w:bCs/>
                <w:sz w:val="24"/>
              </w:rPr>
              <w:t>序号</w:t>
            </w:r>
          </w:p>
        </w:tc>
        <w:tc>
          <w:tcPr>
            <w:tcW w:w="3489" w:type="dxa"/>
            <w:vAlign w:val="center"/>
          </w:tcPr>
          <w:p w14:paraId="54D5174F">
            <w:pPr>
              <w:spacing w:line="300" w:lineRule="exact"/>
              <w:jc w:val="center"/>
              <w:rPr>
                <w:rFonts w:ascii="宋体" w:hAnsi="宋体" w:eastAsia="宋体" w:cs="宋体"/>
                <w:b/>
                <w:bCs/>
                <w:sz w:val="24"/>
              </w:rPr>
            </w:pPr>
            <w:r>
              <w:rPr>
                <w:rFonts w:hint="eastAsia" w:ascii="宋体" w:hAnsi="宋体" w:eastAsia="宋体" w:cs="宋体"/>
                <w:b/>
                <w:bCs/>
                <w:sz w:val="24"/>
              </w:rPr>
              <w:t>项目名称</w:t>
            </w:r>
          </w:p>
        </w:tc>
        <w:tc>
          <w:tcPr>
            <w:tcW w:w="3135" w:type="dxa"/>
            <w:vAlign w:val="center"/>
          </w:tcPr>
          <w:p w14:paraId="37684C8B">
            <w:pPr>
              <w:spacing w:line="300" w:lineRule="exact"/>
              <w:jc w:val="center"/>
              <w:rPr>
                <w:rFonts w:ascii="宋体" w:hAnsi="宋体" w:eastAsia="宋体" w:cs="宋体"/>
                <w:b/>
                <w:bCs/>
                <w:sz w:val="24"/>
              </w:rPr>
            </w:pPr>
            <w:r>
              <w:rPr>
                <w:rFonts w:hint="eastAsia" w:ascii="宋体" w:hAnsi="宋体" w:eastAsia="宋体" w:cs="宋体"/>
                <w:b/>
                <w:bCs/>
                <w:sz w:val="24"/>
              </w:rPr>
              <w:t>主管部门</w:t>
            </w:r>
          </w:p>
        </w:tc>
        <w:tc>
          <w:tcPr>
            <w:tcW w:w="844" w:type="dxa"/>
            <w:vAlign w:val="center"/>
          </w:tcPr>
          <w:p w14:paraId="6A4F7CC5">
            <w:pPr>
              <w:spacing w:line="300" w:lineRule="exact"/>
              <w:jc w:val="center"/>
              <w:rPr>
                <w:rFonts w:ascii="宋体" w:hAnsi="宋体" w:eastAsia="宋体" w:cs="宋体"/>
                <w:b/>
                <w:bCs/>
                <w:sz w:val="24"/>
              </w:rPr>
            </w:pPr>
            <w:r>
              <w:rPr>
                <w:rFonts w:hint="eastAsia" w:ascii="宋体" w:hAnsi="宋体" w:eastAsia="宋体" w:cs="宋体"/>
                <w:b/>
                <w:bCs/>
                <w:sz w:val="24"/>
              </w:rPr>
              <w:t>评价得分</w:t>
            </w:r>
          </w:p>
        </w:tc>
        <w:tc>
          <w:tcPr>
            <w:tcW w:w="876" w:type="dxa"/>
            <w:vAlign w:val="center"/>
          </w:tcPr>
          <w:p w14:paraId="08BED647">
            <w:pPr>
              <w:spacing w:line="300" w:lineRule="exact"/>
              <w:jc w:val="center"/>
              <w:rPr>
                <w:rFonts w:ascii="宋体" w:hAnsi="宋体" w:eastAsia="宋体" w:cs="宋体"/>
                <w:b/>
                <w:bCs/>
                <w:sz w:val="24"/>
              </w:rPr>
            </w:pPr>
            <w:r>
              <w:rPr>
                <w:rFonts w:hint="eastAsia" w:ascii="宋体" w:hAnsi="宋体" w:eastAsia="宋体" w:cs="宋体"/>
                <w:b/>
                <w:bCs/>
                <w:sz w:val="24"/>
              </w:rPr>
              <w:t>绩效等次</w:t>
            </w:r>
          </w:p>
        </w:tc>
      </w:tr>
      <w:tr w14:paraId="23CE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3" w:type="dxa"/>
            <w:vAlign w:val="center"/>
          </w:tcPr>
          <w:p w14:paraId="6C57A535">
            <w:pPr>
              <w:spacing w:line="300" w:lineRule="exact"/>
              <w:jc w:val="center"/>
              <w:rPr>
                <w:rFonts w:ascii="宋体" w:hAnsi="宋体" w:eastAsia="宋体" w:cs="宋体"/>
                <w:sz w:val="24"/>
              </w:rPr>
            </w:pPr>
            <w:r>
              <w:rPr>
                <w:rFonts w:hint="eastAsia" w:ascii="宋体" w:hAnsi="宋体" w:eastAsia="宋体" w:cs="宋体"/>
                <w:sz w:val="24"/>
              </w:rPr>
              <w:t>1</w:t>
            </w:r>
          </w:p>
        </w:tc>
        <w:tc>
          <w:tcPr>
            <w:tcW w:w="3489" w:type="dxa"/>
            <w:vAlign w:val="center"/>
          </w:tcPr>
          <w:p w14:paraId="75814A43">
            <w:pPr>
              <w:spacing w:line="300" w:lineRule="exact"/>
              <w:rPr>
                <w:rFonts w:ascii="宋体" w:hAnsi="宋体" w:eastAsia="宋体" w:cs="宋体"/>
                <w:sz w:val="24"/>
              </w:rPr>
            </w:pPr>
            <w:r>
              <w:rPr>
                <w:rFonts w:hint="eastAsia" w:ascii="宋体" w:hAnsi="宋体" w:eastAsia="宋体" w:cs="宋体"/>
                <w:sz w:val="24"/>
              </w:rPr>
              <w:t>工业发展专项资金</w:t>
            </w:r>
          </w:p>
        </w:tc>
        <w:tc>
          <w:tcPr>
            <w:tcW w:w="3135" w:type="dxa"/>
            <w:vAlign w:val="center"/>
          </w:tcPr>
          <w:p w14:paraId="7EB712D2">
            <w:pPr>
              <w:spacing w:line="300" w:lineRule="exact"/>
              <w:rPr>
                <w:rFonts w:ascii="宋体" w:hAnsi="宋体" w:eastAsia="宋体" w:cs="宋体"/>
                <w:sz w:val="24"/>
              </w:rPr>
            </w:pPr>
            <w:r>
              <w:rPr>
                <w:rFonts w:hint="eastAsia" w:ascii="宋体" w:hAnsi="宋体" w:eastAsia="宋体" w:cs="宋体"/>
                <w:sz w:val="24"/>
              </w:rPr>
              <w:t>莆田市工业和信息化局</w:t>
            </w:r>
          </w:p>
        </w:tc>
        <w:tc>
          <w:tcPr>
            <w:tcW w:w="844" w:type="dxa"/>
            <w:vAlign w:val="center"/>
          </w:tcPr>
          <w:p w14:paraId="01D981FA">
            <w:pPr>
              <w:spacing w:line="300" w:lineRule="exact"/>
              <w:rPr>
                <w:rFonts w:ascii="宋体" w:hAnsi="宋体" w:eastAsia="宋体" w:cs="宋体"/>
                <w:sz w:val="24"/>
              </w:rPr>
            </w:pPr>
            <w:r>
              <w:rPr>
                <w:rFonts w:hint="eastAsia" w:ascii="宋体" w:hAnsi="宋体" w:eastAsia="宋体" w:cs="宋体"/>
                <w:sz w:val="24"/>
              </w:rPr>
              <w:t>90.50</w:t>
            </w:r>
          </w:p>
        </w:tc>
        <w:tc>
          <w:tcPr>
            <w:tcW w:w="876" w:type="dxa"/>
            <w:vAlign w:val="center"/>
          </w:tcPr>
          <w:p w14:paraId="65CEE21C">
            <w:pPr>
              <w:spacing w:line="300" w:lineRule="exact"/>
              <w:rPr>
                <w:rFonts w:ascii="宋体" w:hAnsi="宋体" w:eastAsia="宋体" w:cs="宋体"/>
                <w:sz w:val="24"/>
              </w:rPr>
            </w:pPr>
            <w:r>
              <w:rPr>
                <w:rFonts w:hint="eastAsia" w:ascii="宋体" w:hAnsi="宋体" w:eastAsia="宋体" w:cs="宋体"/>
                <w:sz w:val="24"/>
              </w:rPr>
              <w:t>优秀</w:t>
            </w:r>
          </w:p>
        </w:tc>
      </w:tr>
      <w:tr w14:paraId="391C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13" w:type="dxa"/>
            <w:vAlign w:val="center"/>
          </w:tcPr>
          <w:p w14:paraId="45F451E8">
            <w:pPr>
              <w:spacing w:line="300" w:lineRule="exact"/>
              <w:jc w:val="center"/>
              <w:rPr>
                <w:rFonts w:ascii="宋体" w:hAnsi="宋体" w:eastAsia="宋体" w:cs="宋体"/>
                <w:sz w:val="24"/>
              </w:rPr>
            </w:pPr>
            <w:r>
              <w:rPr>
                <w:rFonts w:hint="eastAsia" w:ascii="宋体" w:hAnsi="宋体" w:eastAsia="宋体" w:cs="宋体"/>
                <w:sz w:val="24"/>
              </w:rPr>
              <w:t>2</w:t>
            </w:r>
          </w:p>
        </w:tc>
        <w:tc>
          <w:tcPr>
            <w:tcW w:w="3489" w:type="dxa"/>
            <w:vAlign w:val="center"/>
          </w:tcPr>
          <w:p w14:paraId="6EF17751">
            <w:pPr>
              <w:spacing w:line="300" w:lineRule="exact"/>
              <w:rPr>
                <w:rFonts w:ascii="宋体" w:hAnsi="宋体" w:eastAsia="宋体" w:cs="宋体"/>
                <w:sz w:val="24"/>
              </w:rPr>
            </w:pPr>
            <w:r>
              <w:rPr>
                <w:rFonts w:hint="eastAsia" w:ascii="宋体" w:hAnsi="宋体" w:eastAsia="宋体" w:cs="宋体"/>
                <w:sz w:val="24"/>
              </w:rPr>
              <w:t>新冠病毒感染肺炎疫情防控经费</w:t>
            </w:r>
          </w:p>
        </w:tc>
        <w:tc>
          <w:tcPr>
            <w:tcW w:w="3135" w:type="dxa"/>
            <w:vAlign w:val="center"/>
          </w:tcPr>
          <w:p w14:paraId="76CC8834">
            <w:pPr>
              <w:spacing w:line="300" w:lineRule="exact"/>
              <w:rPr>
                <w:rFonts w:ascii="宋体" w:hAnsi="宋体" w:eastAsia="宋体" w:cs="宋体"/>
                <w:sz w:val="24"/>
              </w:rPr>
            </w:pPr>
            <w:r>
              <w:rPr>
                <w:rFonts w:hint="eastAsia" w:ascii="宋体" w:hAnsi="宋体" w:eastAsia="宋体" w:cs="宋体"/>
                <w:sz w:val="24"/>
              </w:rPr>
              <w:t>莆田市卫健委</w:t>
            </w:r>
          </w:p>
        </w:tc>
        <w:tc>
          <w:tcPr>
            <w:tcW w:w="844" w:type="dxa"/>
            <w:vAlign w:val="center"/>
          </w:tcPr>
          <w:p w14:paraId="00582F41">
            <w:pPr>
              <w:spacing w:line="300" w:lineRule="exact"/>
              <w:rPr>
                <w:rFonts w:ascii="宋体" w:hAnsi="宋体" w:eastAsia="宋体" w:cs="宋体"/>
                <w:sz w:val="24"/>
              </w:rPr>
            </w:pPr>
            <w:r>
              <w:rPr>
                <w:rFonts w:hint="eastAsia" w:ascii="宋体" w:hAnsi="宋体" w:eastAsia="宋体" w:cs="宋体"/>
                <w:sz w:val="24"/>
              </w:rPr>
              <w:t>92.32</w:t>
            </w:r>
          </w:p>
        </w:tc>
        <w:tc>
          <w:tcPr>
            <w:tcW w:w="876" w:type="dxa"/>
            <w:vAlign w:val="center"/>
          </w:tcPr>
          <w:p w14:paraId="733C15AF">
            <w:pPr>
              <w:spacing w:line="300" w:lineRule="exact"/>
              <w:rPr>
                <w:rFonts w:ascii="宋体" w:hAnsi="宋体" w:eastAsia="宋体" w:cs="宋体"/>
                <w:sz w:val="24"/>
              </w:rPr>
            </w:pPr>
            <w:r>
              <w:rPr>
                <w:rFonts w:hint="eastAsia" w:ascii="宋体" w:hAnsi="宋体" w:eastAsia="宋体" w:cs="宋体"/>
                <w:sz w:val="24"/>
              </w:rPr>
              <w:t>优秀</w:t>
            </w:r>
          </w:p>
        </w:tc>
      </w:tr>
      <w:tr w14:paraId="03FA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13" w:type="dxa"/>
            <w:vAlign w:val="center"/>
          </w:tcPr>
          <w:p w14:paraId="44763B0D">
            <w:pPr>
              <w:spacing w:line="300" w:lineRule="exact"/>
              <w:jc w:val="center"/>
              <w:rPr>
                <w:rFonts w:ascii="宋体" w:hAnsi="宋体" w:eastAsia="宋体" w:cs="宋体"/>
                <w:sz w:val="24"/>
              </w:rPr>
            </w:pPr>
            <w:r>
              <w:rPr>
                <w:rFonts w:hint="eastAsia" w:ascii="宋体" w:hAnsi="宋体" w:eastAsia="宋体" w:cs="宋体"/>
                <w:sz w:val="24"/>
              </w:rPr>
              <w:t>3</w:t>
            </w:r>
          </w:p>
        </w:tc>
        <w:tc>
          <w:tcPr>
            <w:tcW w:w="3489" w:type="dxa"/>
            <w:vAlign w:val="center"/>
          </w:tcPr>
          <w:p w14:paraId="58B9D1D8">
            <w:pPr>
              <w:spacing w:line="300" w:lineRule="exact"/>
              <w:rPr>
                <w:rFonts w:ascii="宋体" w:hAnsi="宋体" w:eastAsia="宋体" w:cs="宋体"/>
                <w:sz w:val="24"/>
              </w:rPr>
            </w:pPr>
            <w:r>
              <w:rPr>
                <w:rFonts w:hint="eastAsia" w:ascii="宋体" w:hAnsi="宋体" w:eastAsia="宋体" w:cs="宋体"/>
                <w:sz w:val="24"/>
              </w:rPr>
              <w:t>“全闽乐购”促消费资金</w:t>
            </w:r>
          </w:p>
        </w:tc>
        <w:tc>
          <w:tcPr>
            <w:tcW w:w="3135" w:type="dxa"/>
            <w:vAlign w:val="center"/>
          </w:tcPr>
          <w:p w14:paraId="1383C65B">
            <w:pPr>
              <w:spacing w:line="300" w:lineRule="exact"/>
              <w:rPr>
                <w:rFonts w:ascii="宋体" w:hAnsi="宋体" w:eastAsia="宋体" w:cs="宋体"/>
                <w:sz w:val="24"/>
              </w:rPr>
            </w:pPr>
            <w:r>
              <w:rPr>
                <w:rFonts w:hint="eastAsia" w:ascii="宋体" w:hAnsi="宋体" w:eastAsia="宋体" w:cs="宋体"/>
                <w:sz w:val="24"/>
              </w:rPr>
              <w:t>莆田市商务局</w:t>
            </w:r>
          </w:p>
        </w:tc>
        <w:tc>
          <w:tcPr>
            <w:tcW w:w="844" w:type="dxa"/>
            <w:vAlign w:val="center"/>
          </w:tcPr>
          <w:p w14:paraId="527F5F2C">
            <w:pPr>
              <w:spacing w:line="300" w:lineRule="exact"/>
              <w:rPr>
                <w:rFonts w:ascii="宋体" w:hAnsi="宋体" w:eastAsia="宋体" w:cs="宋体"/>
                <w:sz w:val="24"/>
              </w:rPr>
            </w:pPr>
            <w:r>
              <w:rPr>
                <w:rFonts w:hint="eastAsia" w:ascii="宋体" w:hAnsi="宋体" w:eastAsia="宋体" w:cs="宋体"/>
                <w:sz w:val="24"/>
              </w:rPr>
              <w:t>88.19</w:t>
            </w:r>
          </w:p>
        </w:tc>
        <w:tc>
          <w:tcPr>
            <w:tcW w:w="876" w:type="dxa"/>
            <w:vAlign w:val="center"/>
          </w:tcPr>
          <w:p w14:paraId="5931AF08">
            <w:pPr>
              <w:spacing w:line="300" w:lineRule="exact"/>
              <w:rPr>
                <w:rFonts w:ascii="宋体" w:hAnsi="宋体" w:eastAsia="宋体" w:cs="宋体"/>
                <w:sz w:val="24"/>
              </w:rPr>
            </w:pPr>
            <w:r>
              <w:rPr>
                <w:rFonts w:hint="eastAsia" w:ascii="宋体" w:hAnsi="宋体" w:eastAsia="宋体" w:cs="宋体"/>
                <w:sz w:val="24"/>
              </w:rPr>
              <w:t>良好</w:t>
            </w:r>
          </w:p>
        </w:tc>
      </w:tr>
      <w:tr w14:paraId="292F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3" w:type="dxa"/>
            <w:vAlign w:val="center"/>
          </w:tcPr>
          <w:p w14:paraId="4B6C036A">
            <w:pPr>
              <w:spacing w:line="300" w:lineRule="exact"/>
              <w:jc w:val="center"/>
              <w:rPr>
                <w:rFonts w:ascii="宋体" w:hAnsi="宋体" w:eastAsia="宋体" w:cs="宋体"/>
                <w:sz w:val="24"/>
              </w:rPr>
            </w:pPr>
            <w:r>
              <w:rPr>
                <w:rFonts w:hint="eastAsia" w:ascii="宋体" w:hAnsi="宋体" w:eastAsia="宋体" w:cs="宋体"/>
                <w:sz w:val="24"/>
              </w:rPr>
              <w:t>4</w:t>
            </w:r>
          </w:p>
        </w:tc>
        <w:tc>
          <w:tcPr>
            <w:tcW w:w="3489" w:type="dxa"/>
            <w:vAlign w:val="center"/>
          </w:tcPr>
          <w:p w14:paraId="6B165801">
            <w:pPr>
              <w:spacing w:line="300" w:lineRule="exact"/>
              <w:rPr>
                <w:rFonts w:ascii="宋体" w:hAnsi="宋体" w:eastAsia="宋体" w:cs="宋体"/>
                <w:sz w:val="24"/>
              </w:rPr>
            </w:pPr>
            <w:r>
              <w:rPr>
                <w:rFonts w:hint="eastAsia" w:ascii="宋体" w:hAnsi="宋体" w:eastAsia="宋体" w:cs="宋体"/>
                <w:sz w:val="24"/>
              </w:rPr>
              <w:t>基层网格化运营保障经费</w:t>
            </w:r>
          </w:p>
        </w:tc>
        <w:tc>
          <w:tcPr>
            <w:tcW w:w="3135" w:type="dxa"/>
            <w:vAlign w:val="center"/>
          </w:tcPr>
          <w:p w14:paraId="6D18FA05">
            <w:pPr>
              <w:spacing w:line="300" w:lineRule="exact"/>
              <w:rPr>
                <w:rFonts w:ascii="宋体" w:hAnsi="宋体" w:eastAsia="宋体" w:cs="宋体"/>
                <w:sz w:val="24"/>
              </w:rPr>
            </w:pPr>
            <w:r>
              <w:rPr>
                <w:rFonts w:hint="eastAsia" w:ascii="宋体" w:hAnsi="宋体" w:eastAsia="宋体" w:cs="宋体"/>
                <w:sz w:val="24"/>
              </w:rPr>
              <w:t>莆田市社会治理网格化中心</w:t>
            </w:r>
          </w:p>
        </w:tc>
        <w:tc>
          <w:tcPr>
            <w:tcW w:w="844" w:type="dxa"/>
            <w:vAlign w:val="center"/>
          </w:tcPr>
          <w:p w14:paraId="7E912954">
            <w:pPr>
              <w:spacing w:line="300" w:lineRule="exact"/>
              <w:rPr>
                <w:rFonts w:ascii="宋体" w:hAnsi="宋体" w:eastAsia="宋体" w:cs="宋体"/>
                <w:sz w:val="24"/>
              </w:rPr>
            </w:pPr>
            <w:r>
              <w:rPr>
                <w:rFonts w:hint="eastAsia" w:ascii="宋体" w:hAnsi="宋体" w:eastAsia="宋体" w:cs="宋体"/>
                <w:sz w:val="24"/>
              </w:rPr>
              <w:t>90.13</w:t>
            </w:r>
          </w:p>
        </w:tc>
        <w:tc>
          <w:tcPr>
            <w:tcW w:w="876" w:type="dxa"/>
            <w:vAlign w:val="center"/>
          </w:tcPr>
          <w:p w14:paraId="7D0AD4B2">
            <w:pPr>
              <w:spacing w:line="300" w:lineRule="exact"/>
              <w:rPr>
                <w:rFonts w:ascii="宋体" w:hAnsi="宋体" w:eastAsia="宋体" w:cs="宋体"/>
                <w:sz w:val="24"/>
              </w:rPr>
            </w:pPr>
            <w:r>
              <w:rPr>
                <w:rFonts w:hint="eastAsia" w:ascii="宋体" w:hAnsi="宋体" w:eastAsia="宋体" w:cs="宋体"/>
                <w:sz w:val="24"/>
              </w:rPr>
              <w:t>优秀</w:t>
            </w:r>
          </w:p>
        </w:tc>
      </w:tr>
      <w:tr w14:paraId="0239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3" w:type="dxa"/>
            <w:vAlign w:val="center"/>
          </w:tcPr>
          <w:p w14:paraId="4F42632D">
            <w:pPr>
              <w:spacing w:line="300" w:lineRule="exact"/>
              <w:jc w:val="center"/>
              <w:rPr>
                <w:rFonts w:ascii="宋体" w:hAnsi="宋体" w:eastAsia="宋体" w:cs="宋体"/>
                <w:sz w:val="24"/>
              </w:rPr>
            </w:pPr>
            <w:r>
              <w:rPr>
                <w:rFonts w:hint="eastAsia" w:ascii="宋体" w:hAnsi="宋体" w:eastAsia="宋体" w:cs="宋体"/>
                <w:sz w:val="24"/>
              </w:rPr>
              <w:t>5</w:t>
            </w:r>
          </w:p>
        </w:tc>
        <w:tc>
          <w:tcPr>
            <w:tcW w:w="3489" w:type="dxa"/>
            <w:vAlign w:val="center"/>
          </w:tcPr>
          <w:p w14:paraId="387E7108">
            <w:pPr>
              <w:spacing w:line="300" w:lineRule="exact"/>
              <w:rPr>
                <w:rFonts w:ascii="宋体" w:hAnsi="宋体" w:eastAsia="宋体" w:cs="宋体"/>
                <w:sz w:val="24"/>
              </w:rPr>
            </w:pPr>
            <w:r>
              <w:rPr>
                <w:rFonts w:hint="eastAsia" w:ascii="宋体" w:hAnsi="宋体" w:eastAsia="宋体" w:cs="宋体"/>
                <w:sz w:val="24"/>
              </w:rPr>
              <w:t>国有资本运营</w:t>
            </w:r>
          </w:p>
        </w:tc>
        <w:tc>
          <w:tcPr>
            <w:tcW w:w="3135" w:type="dxa"/>
            <w:vAlign w:val="center"/>
          </w:tcPr>
          <w:p w14:paraId="7CF0F815">
            <w:pPr>
              <w:spacing w:line="300" w:lineRule="exact"/>
              <w:rPr>
                <w:rFonts w:ascii="宋体" w:hAnsi="宋体" w:eastAsia="宋体" w:cs="宋体"/>
                <w:sz w:val="24"/>
              </w:rPr>
            </w:pPr>
            <w:r>
              <w:rPr>
                <w:rFonts w:hint="eastAsia" w:ascii="宋体" w:hAnsi="宋体" w:eastAsia="宋体" w:cs="宋体"/>
                <w:sz w:val="24"/>
              </w:rPr>
              <w:t>莆田市水务集团有限公司</w:t>
            </w:r>
          </w:p>
        </w:tc>
        <w:tc>
          <w:tcPr>
            <w:tcW w:w="844" w:type="dxa"/>
            <w:vAlign w:val="center"/>
          </w:tcPr>
          <w:p w14:paraId="500DF6DA">
            <w:pPr>
              <w:spacing w:line="300" w:lineRule="exact"/>
              <w:rPr>
                <w:rFonts w:ascii="宋体" w:hAnsi="宋体" w:eastAsia="宋体" w:cs="宋体"/>
                <w:sz w:val="24"/>
              </w:rPr>
            </w:pPr>
            <w:r>
              <w:rPr>
                <w:rFonts w:hint="eastAsia" w:ascii="宋体" w:hAnsi="宋体" w:eastAsia="宋体" w:cs="宋体"/>
                <w:sz w:val="24"/>
              </w:rPr>
              <w:t>91.67</w:t>
            </w:r>
          </w:p>
        </w:tc>
        <w:tc>
          <w:tcPr>
            <w:tcW w:w="876" w:type="dxa"/>
            <w:vAlign w:val="center"/>
          </w:tcPr>
          <w:p w14:paraId="419E0E6F">
            <w:pPr>
              <w:spacing w:line="300" w:lineRule="exact"/>
              <w:rPr>
                <w:rFonts w:ascii="宋体" w:hAnsi="宋体" w:eastAsia="宋体" w:cs="宋体"/>
                <w:sz w:val="24"/>
              </w:rPr>
            </w:pPr>
            <w:r>
              <w:rPr>
                <w:rFonts w:hint="eastAsia" w:ascii="宋体" w:hAnsi="宋体" w:eastAsia="宋体" w:cs="宋体"/>
                <w:sz w:val="24"/>
              </w:rPr>
              <w:t>优秀</w:t>
            </w:r>
          </w:p>
        </w:tc>
      </w:tr>
      <w:tr w14:paraId="023F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13" w:type="dxa"/>
            <w:vAlign w:val="center"/>
          </w:tcPr>
          <w:p w14:paraId="4FBFB405">
            <w:pPr>
              <w:spacing w:line="300" w:lineRule="exact"/>
              <w:jc w:val="center"/>
              <w:rPr>
                <w:rFonts w:ascii="宋体" w:hAnsi="宋体" w:eastAsia="宋体" w:cs="宋体"/>
                <w:sz w:val="24"/>
              </w:rPr>
            </w:pPr>
            <w:r>
              <w:rPr>
                <w:rFonts w:hint="eastAsia" w:ascii="宋体" w:hAnsi="宋体" w:eastAsia="宋体" w:cs="宋体"/>
                <w:sz w:val="24"/>
              </w:rPr>
              <w:t>6</w:t>
            </w:r>
          </w:p>
        </w:tc>
        <w:tc>
          <w:tcPr>
            <w:tcW w:w="3489" w:type="dxa"/>
            <w:vAlign w:val="center"/>
          </w:tcPr>
          <w:p w14:paraId="0CAEDA5A">
            <w:pPr>
              <w:spacing w:line="300" w:lineRule="exact"/>
              <w:rPr>
                <w:rFonts w:ascii="宋体" w:hAnsi="宋体" w:eastAsia="宋体" w:cs="宋体"/>
                <w:sz w:val="24"/>
              </w:rPr>
            </w:pPr>
            <w:r>
              <w:rPr>
                <w:rFonts w:hint="eastAsia" w:ascii="宋体" w:hAnsi="宋体" w:eastAsia="宋体" w:cs="宋体"/>
                <w:sz w:val="24"/>
              </w:rPr>
              <w:t>莆田市林业局部门整体支出</w:t>
            </w:r>
          </w:p>
        </w:tc>
        <w:tc>
          <w:tcPr>
            <w:tcW w:w="3135" w:type="dxa"/>
            <w:vAlign w:val="center"/>
          </w:tcPr>
          <w:p w14:paraId="3C3D149F">
            <w:pPr>
              <w:spacing w:line="300" w:lineRule="exact"/>
              <w:rPr>
                <w:rFonts w:ascii="宋体" w:hAnsi="宋体" w:eastAsia="宋体" w:cs="宋体"/>
                <w:sz w:val="24"/>
              </w:rPr>
            </w:pPr>
            <w:r>
              <w:rPr>
                <w:rFonts w:hint="eastAsia" w:ascii="宋体" w:hAnsi="宋体" w:eastAsia="宋体" w:cs="宋体"/>
                <w:sz w:val="24"/>
              </w:rPr>
              <w:t>莆田市林业局</w:t>
            </w:r>
          </w:p>
        </w:tc>
        <w:tc>
          <w:tcPr>
            <w:tcW w:w="844" w:type="dxa"/>
            <w:vAlign w:val="center"/>
          </w:tcPr>
          <w:p w14:paraId="6B68E2A1">
            <w:pPr>
              <w:spacing w:line="300" w:lineRule="exact"/>
              <w:rPr>
                <w:rFonts w:ascii="宋体" w:hAnsi="宋体" w:eastAsia="宋体" w:cs="宋体"/>
                <w:sz w:val="24"/>
              </w:rPr>
            </w:pPr>
            <w:r>
              <w:rPr>
                <w:rFonts w:hint="eastAsia" w:ascii="宋体" w:hAnsi="宋体" w:eastAsia="宋体" w:cs="宋体"/>
                <w:sz w:val="24"/>
              </w:rPr>
              <w:t>90.14</w:t>
            </w:r>
          </w:p>
        </w:tc>
        <w:tc>
          <w:tcPr>
            <w:tcW w:w="876" w:type="dxa"/>
            <w:vAlign w:val="center"/>
          </w:tcPr>
          <w:p w14:paraId="55D3CF25">
            <w:pPr>
              <w:spacing w:line="300" w:lineRule="exact"/>
              <w:rPr>
                <w:rFonts w:ascii="宋体" w:hAnsi="宋体" w:eastAsia="宋体" w:cs="宋体"/>
                <w:sz w:val="24"/>
              </w:rPr>
            </w:pPr>
            <w:r>
              <w:rPr>
                <w:rFonts w:hint="eastAsia" w:ascii="宋体" w:hAnsi="宋体" w:eastAsia="宋体" w:cs="宋体"/>
                <w:sz w:val="24"/>
              </w:rPr>
              <w:t>优秀</w:t>
            </w:r>
          </w:p>
        </w:tc>
      </w:tr>
      <w:tr w14:paraId="0ABD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13" w:type="dxa"/>
            <w:vAlign w:val="center"/>
          </w:tcPr>
          <w:p w14:paraId="39CF8623">
            <w:pPr>
              <w:spacing w:line="300" w:lineRule="exact"/>
              <w:jc w:val="center"/>
              <w:rPr>
                <w:rFonts w:ascii="宋体" w:hAnsi="宋体" w:eastAsia="宋体" w:cs="宋体"/>
                <w:sz w:val="24"/>
              </w:rPr>
            </w:pPr>
            <w:r>
              <w:rPr>
                <w:rFonts w:hint="eastAsia" w:ascii="宋体" w:hAnsi="宋体" w:eastAsia="宋体" w:cs="宋体"/>
                <w:sz w:val="24"/>
              </w:rPr>
              <w:t>7</w:t>
            </w:r>
          </w:p>
        </w:tc>
        <w:tc>
          <w:tcPr>
            <w:tcW w:w="3489" w:type="dxa"/>
            <w:vAlign w:val="center"/>
          </w:tcPr>
          <w:p w14:paraId="6D072177">
            <w:pPr>
              <w:spacing w:line="300" w:lineRule="exact"/>
              <w:rPr>
                <w:rFonts w:ascii="宋体" w:hAnsi="宋体" w:eastAsia="宋体" w:cs="宋体"/>
                <w:sz w:val="24"/>
              </w:rPr>
            </w:pPr>
            <w:r>
              <w:rPr>
                <w:rFonts w:hint="eastAsia" w:ascii="宋体" w:hAnsi="宋体" w:eastAsia="宋体" w:cs="宋体"/>
                <w:sz w:val="24"/>
              </w:rPr>
              <w:t>乡村振兴专项资金</w:t>
            </w:r>
          </w:p>
        </w:tc>
        <w:tc>
          <w:tcPr>
            <w:tcW w:w="3135" w:type="dxa"/>
            <w:vAlign w:val="center"/>
          </w:tcPr>
          <w:p w14:paraId="771BFAA4">
            <w:pPr>
              <w:spacing w:line="300" w:lineRule="exact"/>
              <w:rPr>
                <w:rFonts w:ascii="宋体" w:hAnsi="宋体" w:eastAsia="宋体" w:cs="宋体"/>
                <w:sz w:val="24"/>
              </w:rPr>
            </w:pPr>
            <w:r>
              <w:rPr>
                <w:rFonts w:hint="eastAsia" w:ascii="宋体" w:hAnsi="宋体" w:eastAsia="宋体" w:cs="宋体"/>
                <w:sz w:val="24"/>
              </w:rPr>
              <w:t>莆田市农业农村局</w:t>
            </w:r>
          </w:p>
        </w:tc>
        <w:tc>
          <w:tcPr>
            <w:tcW w:w="844" w:type="dxa"/>
            <w:vAlign w:val="center"/>
          </w:tcPr>
          <w:p w14:paraId="7C6A0078">
            <w:pPr>
              <w:spacing w:line="300" w:lineRule="exact"/>
              <w:rPr>
                <w:rFonts w:ascii="宋体" w:hAnsi="宋体" w:eastAsia="宋体" w:cs="宋体"/>
                <w:sz w:val="24"/>
              </w:rPr>
            </w:pPr>
            <w:r>
              <w:rPr>
                <w:rFonts w:hint="eastAsia" w:ascii="宋体" w:hAnsi="宋体" w:eastAsia="宋体" w:cs="宋体"/>
                <w:sz w:val="24"/>
              </w:rPr>
              <w:t>97.67</w:t>
            </w:r>
          </w:p>
        </w:tc>
        <w:tc>
          <w:tcPr>
            <w:tcW w:w="876" w:type="dxa"/>
            <w:vAlign w:val="center"/>
          </w:tcPr>
          <w:p w14:paraId="22809376">
            <w:pPr>
              <w:spacing w:line="300" w:lineRule="exact"/>
              <w:rPr>
                <w:rFonts w:ascii="宋体" w:hAnsi="宋体" w:eastAsia="宋体" w:cs="宋体"/>
                <w:sz w:val="24"/>
              </w:rPr>
            </w:pPr>
            <w:r>
              <w:rPr>
                <w:rFonts w:hint="eastAsia" w:ascii="宋体" w:hAnsi="宋体" w:eastAsia="宋体" w:cs="宋体"/>
                <w:sz w:val="24"/>
              </w:rPr>
              <w:t>优秀</w:t>
            </w:r>
          </w:p>
        </w:tc>
      </w:tr>
      <w:tr w14:paraId="1C7F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3" w:type="dxa"/>
            <w:vAlign w:val="center"/>
          </w:tcPr>
          <w:p w14:paraId="66DFBE4B">
            <w:pPr>
              <w:spacing w:line="300" w:lineRule="exact"/>
              <w:jc w:val="center"/>
              <w:rPr>
                <w:rFonts w:ascii="宋体" w:hAnsi="宋体" w:eastAsia="宋体" w:cs="宋体"/>
                <w:sz w:val="24"/>
              </w:rPr>
            </w:pPr>
            <w:r>
              <w:rPr>
                <w:rFonts w:hint="eastAsia" w:ascii="宋体" w:hAnsi="宋体" w:eastAsia="宋体" w:cs="宋体"/>
                <w:sz w:val="24"/>
              </w:rPr>
              <w:t>8</w:t>
            </w:r>
          </w:p>
        </w:tc>
        <w:tc>
          <w:tcPr>
            <w:tcW w:w="3489" w:type="dxa"/>
            <w:vAlign w:val="center"/>
          </w:tcPr>
          <w:p w14:paraId="204358AB">
            <w:pPr>
              <w:spacing w:line="300" w:lineRule="exact"/>
              <w:rPr>
                <w:rFonts w:ascii="宋体" w:hAnsi="宋体" w:eastAsia="宋体" w:cs="宋体"/>
                <w:sz w:val="24"/>
              </w:rPr>
            </w:pPr>
            <w:r>
              <w:rPr>
                <w:rFonts w:hint="eastAsia" w:ascii="宋体" w:hAnsi="宋体" w:eastAsia="宋体" w:cs="宋体"/>
                <w:sz w:val="24"/>
              </w:rPr>
              <w:t>项目前期经费</w:t>
            </w:r>
          </w:p>
        </w:tc>
        <w:tc>
          <w:tcPr>
            <w:tcW w:w="3135" w:type="dxa"/>
            <w:vAlign w:val="center"/>
          </w:tcPr>
          <w:p w14:paraId="6E04F11F">
            <w:pPr>
              <w:spacing w:line="300" w:lineRule="exact"/>
              <w:rPr>
                <w:rFonts w:ascii="宋体" w:hAnsi="宋体" w:eastAsia="宋体" w:cs="宋体"/>
                <w:sz w:val="24"/>
              </w:rPr>
            </w:pPr>
            <w:r>
              <w:rPr>
                <w:rFonts w:hint="eastAsia" w:ascii="宋体" w:hAnsi="宋体" w:eastAsia="宋体" w:cs="宋体"/>
                <w:sz w:val="24"/>
              </w:rPr>
              <w:t>莆田市发展和改革委员会</w:t>
            </w:r>
          </w:p>
        </w:tc>
        <w:tc>
          <w:tcPr>
            <w:tcW w:w="844" w:type="dxa"/>
            <w:vAlign w:val="center"/>
          </w:tcPr>
          <w:p w14:paraId="43B6BB49">
            <w:pPr>
              <w:spacing w:line="300" w:lineRule="exact"/>
              <w:rPr>
                <w:rFonts w:ascii="宋体" w:hAnsi="宋体" w:eastAsia="宋体" w:cs="宋体"/>
                <w:sz w:val="24"/>
              </w:rPr>
            </w:pPr>
            <w:r>
              <w:rPr>
                <w:rFonts w:hint="eastAsia" w:ascii="宋体" w:hAnsi="宋体" w:eastAsia="宋体" w:cs="宋体"/>
                <w:sz w:val="24"/>
              </w:rPr>
              <w:t>80.16</w:t>
            </w:r>
          </w:p>
        </w:tc>
        <w:tc>
          <w:tcPr>
            <w:tcW w:w="876" w:type="dxa"/>
            <w:vAlign w:val="center"/>
          </w:tcPr>
          <w:p w14:paraId="0F20FC0F">
            <w:pPr>
              <w:spacing w:line="300" w:lineRule="exact"/>
              <w:rPr>
                <w:rFonts w:ascii="宋体" w:hAnsi="宋体" w:eastAsia="宋体" w:cs="宋体"/>
                <w:sz w:val="24"/>
              </w:rPr>
            </w:pPr>
            <w:r>
              <w:rPr>
                <w:rFonts w:hint="eastAsia" w:ascii="宋体" w:hAnsi="宋体" w:eastAsia="宋体" w:cs="宋体"/>
                <w:sz w:val="24"/>
              </w:rPr>
              <w:t>良好</w:t>
            </w:r>
          </w:p>
        </w:tc>
      </w:tr>
      <w:tr w14:paraId="5753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3" w:type="dxa"/>
            <w:vAlign w:val="center"/>
          </w:tcPr>
          <w:p w14:paraId="0086A4F1">
            <w:pPr>
              <w:spacing w:line="300" w:lineRule="exact"/>
              <w:jc w:val="center"/>
              <w:rPr>
                <w:rFonts w:ascii="宋体" w:hAnsi="宋体" w:eastAsia="宋体" w:cs="宋体"/>
                <w:sz w:val="24"/>
              </w:rPr>
            </w:pPr>
            <w:r>
              <w:rPr>
                <w:rFonts w:hint="eastAsia" w:ascii="宋体" w:hAnsi="宋体" w:eastAsia="宋体" w:cs="宋体"/>
                <w:sz w:val="24"/>
              </w:rPr>
              <w:t>9</w:t>
            </w:r>
          </w:p>
        </w:tc>
        <w:tc>
          <w:tcPr>
            <w:tcW w:w="3489" w:type="dxa"/>
            <w:vAlign w:val="center"/>
          </w:tcPr>
          <w:p w14:paraId="17E1238B">
            <w:pPr>
              <w:spacing w:line="300" w:lineRule="exact"/>
              <w:rPr>
                <w:rFonts w:ascii="宋体" w:hAnsi="宋体" w:eastAsia="宋体" w:cs="宋体"/>
                <w:sz w:val="24"/>
              </w:rPr>
            </w:pPr>
            <w:r>
              <w:rPr>
                <w:rFonts w:hint="eastAsia" w:ascii="宋体" w:hAnsi="宋体" w:eastAsia="宋体" w:cs="宋体"/>
                <w:sz w:val="24"/>
              </w:rPr>
              <w:t>莆田市住房和城乡建设局部门整体支出</w:t>
            </w:r>
          </w:p>
        </w:tc>
        <w:tc>
          <w:tcPr>
            <w:tcW w:w="3135" w:type="dxa"/>
            <w:vAlign w:val="center"/>
          </w:tcPr>
          <w:p w14:paraId="361D3971">
            <w:pPr>
              <w:spacing w:line="300" w:lineRule="exact"/>
              <w:rPr>
                <w:rFonts w:ascii="宋体" w:hAnsi="宋体" w:eastAsia="宋体" w:cs="宋体"/>
                <w:sz w:val="24"/>
              </w:rPr>
            </w:pPr>
            <w:r>
              <w:rPr>
                <w:rFonts w:hint="eastAsia" w:ascii="宋体" w:hAnsi="宋体" w:eastAsia="宋体" w:cs="宋体"/>
                <w:sz w:val="24"/>
              </w:rPr>
              <w:t>莆田市住房和城乡建设局</w:t>
            </w:r>
          </w:p>
        </w:tc>
        <w:tc>
          <w:tcPr>
            <w:tcW w:w="844" w:type="dxa"/>
            <w:vAlign w:val="center"/>
          </w:tcPr>
          <w:p w14:paraId="52D14230">
            <w:pPr>
              <w:spacing w:line="300" w:lineRule="exact"/>
              <w:rPr>
                <w:rFonts w:ascii="宋体" w:hAnsi="宋体" w:eastAsia="宋体" w:cs="宋体"/>
                <w:sz w:val="24"/>
              </w:rPr>
            </w:pPr>
            <w:r>
              <w:rPr>
                <w:rFonts w:hint="eastAsia" w:ascii="宋体" w:hAnsi="宋体" w:eastAsia="宋体" w:cs="宋体"/>
                <w:sz w:val="24"/>
              </w:rPr>
              <w:t>91.80</w:t>
            </w:r>
          </w:p>
        </w:tc>
        <w:tc>
          <w:tcPr>
            <w:tcW w:w="876" w:type="dxa"/>
            <w:vAlign w:val="center"/>
          </w:tcPr>
          <w:p w14:paraId="5CE5A0AF">
            <w:pPr>
              <w:spacing w:line="300" w:lineRule="exact"/>
              <w:rPr>
                <w:rFonts w:ascii="宋体" w:hAnsi="宋体" w:eastAsia="宋体" w:cs="宋体"/>
                <w:sz w:val="24"/>
              </w:rPr>
            </w:pPr>
            <w:r>
              <w:rPr>
                <w:rFonts w:hint="eastAsia" w:ascii="宋体" w:hAnsi="宋体" w:eastAsia="宋体" w:cs="宋体"/>
                <w:sz w:val="24"/>
              </w:rPr>
              <w:t>优秀</w:t>
            </w:r>
          </w:p>
        </w:tc>
      </w:tr>
      <w:tr w14:paraId="4CDB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13" w:type="dxa"/>
            <w:vAlign w:val="center"/>
          </w:tcPr>
          <w:p w14:paraId="08A313CB">
            <w:pPr>
              <w:spacing w:line="300" w:lineRule="exact"/>
              <w:jc w:val="center"/>
              <w:rPr>
                <w:rFonts w:ascii="宋体" w:hAnsi="宋体" w:eastAsia="宋体" w:cs="宋体"/>
                <w:sz w:val="24"/>
              </w:rPr>
            </w:pPr>
            <w:r>
              <w:rPr>
                <w:rFonts w:hint="eastAsia" w:ascii="宋体" w:hAnsi="宋体" w:eastAsia="宋体" w:cs="宋体"/>
                <w:sz w:val="24"/>
              </w:rPr>
              <w:t>10</w:t>
            </w:r>
          </w:p>
        </w:tc>
        <w:tc>
          <w:tcPr>
            <w:tcW w:w="3489" w:type="dxa"/>
            <w:vAlign w:val="center"/>
          </w:tcPr>
          <w:p w14:paraId="3F68712A">
            <w:pPr>
              <w:spacing w:line="300" w:lineRule="exact"/>
              <w:rPr>
                <w:rFonts w:ascii="宋体" w:hAnsi="宋体" w:eastAsia="宋体" w:cs="宋体"/>
                <w:sz w:val="24"/>
              </w:rPr>
            </w:pPr>
            <w:r>
              <w:rPr>
                <w:rFonts w:hint="eastAsia" w:ascii="宋体" w:hAnsi="宋体" w:eastAsia="宋体" w:cs="宋体"/>
                <w:sz w:val="24"/>
              </w:rPr>
              <w:t>职业教育专项补助资金</w:t>
            </w:r>
          </w:p>
        </w:tc>
        <w:tc>
          <w:tcPr>
            <w:tcW w:w="3135" w:type="dxa"/>
            <w:vAlign w:val="center"/>
          </w:tcPr>
          <w:p w14:paraId="139692C7">
            <w:pPr>
              <w:spacing w:line="300" w:lineRule="exact"/>
              <w:rPr>
                <w:rFonts w:ascii="宋体" w:hAnsi="宋体" w:eastAsia="宋体" w:cs="宋体"/>
                <w:sz w:val="24"/>
              </w:rPr>
            </w:pPr>
            <w:r>
              <w:rPr>
                <w:rFonts w:hint="eastAsia" w:ascii="宋体" w:hAnsi="宋体" w:eastAsia="宋体" w:cs="宋体"/>
                <w:sz w:val="24"/>
              </w:rPr>
              <w:t>莆田市教育局</w:t>
            </w:r>
          </w:p>
        </w:tc>
        <w:tc>
          <w:tcPr>
            <w:tcW w:w="844" w:type="dxa"/>
            <w:vAlign w:val="center"/>
          </w:tcPr>
          <w:p w14:paraId="583F998E">
            <w:pPr>
              <w:spacing w:line="300" w:lineRule="exact"/>
              <w:rPr>
                <w:rFonts w:ascii="宋体" w:hAnsi="宋体" w:eastAsia="宋体" w:cs="宋体"/>
                <w:sz w:val="24"/>
              </w:rPr>
            </w:pPr>
            <w:r>
              <w:rPr>
                <w:rFonts w:hint="eastAsia" w:ascii="宋体" w:hAnsi="宋体" w:eastAsia="宋体" w:cs="宋体"/>
                <w:sz w:val="24"/>
              </w:rPr>
              <w:t>92.21</w:t>
            </w:r>
          </w:p>
        </w:tc>
        <w:tc>
          <w:tcPr>
            <w:tcW w:w="876" w:type="dxa"/>
            <w:vAlign w:val="center"/>
          </w:tcPr>
          <w:p w14:paraId="420EAB54">
            <w:pPr>
              <w:spacing w:line="300" w:lineRule="exact"/>
              <w:rPr>
                <w:rFonts w:ascii="宋体" w:hAnsi="宋体" w:eastAsia="宋体" w:cs="宋体"/>
                <w:sz w:val="24"/>
              </w:rPr>
            </w:pPr>
            <w:r>
              <w:rPr>
                <w:rFonts w:hint="eastAsia" w:ascii="宋体" w:hAnsi="宋体" w:eastAsia="宋体" w:cs="宋体"/>
                <w:sz w:val="24"/>
              </w:rPr>
              <w:t>优秀</w:t>
            </w:r>
          </w:p>
        </w:tc>
      </w:tr>
      <w:tr w14:paraId="2A17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13" w:type="dxa"/>
            <w:vAlign w:val="center"/>
          </w:tcPr>
          <w:p w14:paraId="07E03148">
            <w:pPr>
              <w:spacing w:line="300" w:lineRule="exact"/>
              <w:jc w:val="center"/>
              <w:rPr>
                <w:rFonts w:ascii="宋体" w:hAnsi="宋体" w:eastAsia="宋体" w:cs="宋体"/>
                <w:sz w:val="24"/>
              </w:rPr>
            </w:pPr>
            <w:r>
              <w:rPr>
                <w:rFonts w:hint="eastAsia" w:ascii="宋体" w:hAnsi="宋体" w:eastAsia="宋体" w:cs="宋体"/>
                <w:sz w:val="24"/>
              </w:rPr>
              <w:t>11</w:t>
            </w:r>
          </w:p>
        </w:tc>
        <w:tc>
          <w:tcPr>
            <w:tcW w:w="3489" w:type="dxa"/>
            <w:vAlign w:val="center"/>
          </w:tcPr>
          <w:p w14:paraId="45447854">
            <w:pPr>
              <w:spacing w:line="300" w:lineRule="exact"/>
              <w:rPr>
                <w:rFonts w:ascii="宋体" w:hAnsi="宋体" w:eastAsia="宋体" w:cs="宋体"/>
                <w:sz w:val="24"/>
              </w:rPr>
            </w:pPr>
            <w:r>
              <w:rPr>
                <w:rFonts w:hint="eastAsia" w:ascii="宋体" w:hAnsi="宋体" w:eastAsia="宋体" w:cs="宋体"/>
                <w:sz w:val="24"/>
              </w:rPr>
              <w:t>群众体育</w:t>
            </w:r>
          </w:p>
        </w:tc>
        <w:tc>
          <w:tcPr>
            <w:tcW w:w="3135" w:type="dxa"/>
            <w:vAlign w:val="center"/>
          </w:tcPr>
          <w:p w14:paraId="4FF481AE">
            <w:pPr>
              <w:spacing w:line="300" w:lineRule="exact"/>
              <w:rPr>
                <w:rFonts w:ascii="宋体" w:hAnsi="宋体" w:eastAsia="宋体" w:cs="宋体"/>
                <w:sz w:val="24"/>
              </w:rPr>
            </w:pPr>
            <w:r>
              <w:rPr>
                <w:rFonts w:hint="eastAsia" w:ascii="宋体" w:hAnsi="宋体" w:eastAsia="宋体" w:cs="宋体"/>
                <w:sz w:val="24"/>
              </w:rPr>
              <w:t>莆田市体育局</w:t>
            </w:r>
          </w:p>
        </w:tc>
        <w:tc>
          <w:tcPr>
            <w:tcW w:w="844" w:type="dxa"/>
            <w:vAlign w:val="center"/>
          </w:tcPr>
          <w:p w14:paraId="1F87BE35">
            <w:pPr>
              <w:spacing w:line="300" w:lineRule="exact"/>
              <w:rPr>
                <w:rFonts w:ascii="宋体" w:hAnsi="宋体" w:eastAsia="宋体" w:cs="宋体"/>
                <w:sz w:val="24"/>
              </w:rPr>
            </w:pPr>
            <w:r>
              <w:rPr>
                <w:rFonts w:hint="eastAsia" w:ascii="宋体" w:hAnsi="宋体" w:eastAsia="宋体" w:cs="宋体"/>
                <w:sz w:val="24"/>
              </w:rPr>
              <w:t>90.12</w:t>
            </w:r>
          </w:p>
        </w:tc>
        <w:tc>
          <w:tcPr>
            <w:tcW w:w="876" w:type="dxa"/>
            <w:vAlign w:val="center"/>
          </w:tcPr>
          <w:p w14:paraId="6F4654CC">
            <w:pPr>
              <w:spacing w:line="300" w:lineRule="exact"/>
              <w:rPr>
                <w:rFonts w:ascii="宋体" w:hAnsi="宋体" w:eastAsia="宋体" w:cs="宋体"/>
                <w:sz w:val="24"/>
              </w:rPr>
            </w:pPr>
            <w:r>
              <w:rPr>
                <w:rFonts w:hint="eastAsia" w:ascii="宋体" w:hAnsi="宋体" w:eastAsia="宋体" w:cs="宋体"/>
                <w:sz w:val="24"/>
              </w:rPr>
              <w:t>优秀</w:t>
            </w:r>
          </w:p>
        </w:tc>
      </w:tr>
      <w:tr w14:paraId="133B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3" w:type="dxa"/>
            <w:vAlign w:val="center"/>
          </w:tcPr>
          <w:p w14:paraId="34AEFA70">
            <w:pPr>
              <w:spacing w:line="300" w:lineRule="exact"/>
              <w:jc w:val="center"/>
              <w:rPr>
                <w:rFonts w:ascii="宋体" w:hAnsi="宋体" w:eastAsia="宋体" w:cs="宋体"/>
                <w:sz w:val="24"/>
              </w:rPr>
            </w:pPr>
            <w:r>
              <w:rPr>
                <w:rFonts w:hint="eastAsia" w:ascii="宋体" w:hAnsi="宋体" w:eastAsia="宋体" w:cs="宋体"/>
                <w:sz w:val="24"/>
              </w:rPr>
              <w:t>12</w:t>
            </w:r>
          </w:p>
        </w:tc>
        <w:tc>
          <w:tcPr>
            <w:tcW w:w="3489" w:type="dxa"/>
            <w:vAlign w:val="center"/>
          </w:tcPr>
          <w:p w14:paraId="5405FF24">
            <w:pPr>
              <w:spacing w:line="300" w:lineRule="exact"/>
              <w:rPr>
                <w:rFonts w:ascii="宋体" w:hAnsi="宋体" w:eastAsia="宋体" w:cs="宋体"/>
                <w:sz w:val="24"/>
              </w:rPr>
            </w:pPr>
            <w:r>
              <w:rPr>
                <w:rFonts w:hint="eastAsia" w:ascii="宋体" w:hAnsi="宋体" w:eastAsia="宋体" w:cs="宋体"/>
                <w:sz w:val="24"/>
              </w:rPr>
              <w:t>城乡居民基本医疗保险基金支出</w:t>
            </w:r>
          </w:p>
        </w:tc>
        <w:tc>
          <w:tcPr>
            <w:tcW w:w="3135" w:type="dxa"/>
            <w:vAlign w:val="center"/>
          </w:tcPr>
          <w:p w14:paraId="167DA611">
            <w:pPr>
              <w:spacing w:line="300" w:lineRule="exact"/>
              <w:rPr>
                <w:rFonts w:ascii="宋体" w:hAnsi="宋体" w:eastAsia="宋体" w:cs="宋体"/>
                <w:sz w:val="24"/>
              </w:rPr>
            </w:pPr>
            <w:r>
              <w:rPr>
                <w:rFonts w:hint="eastAsia" w:ascii="宋体" w:hAnsi="宋体" w:eastAsia="宋体" w:cs="宋体"/>
                <w:sz w:val="24"/>
              </w:rPr>
              <w:t>莆田市医疗保障基金中心</w:t>
            </w:r>
          </w:p>
        </w:tc>
        <w:tc>
          <w:tcPr>
            <w:tcW w:w="844" w:type="dxa"/>
            <w:vAlign w:val="center"/>
          </w:tcPr>
          <w:p w14:paraId="5B61533D">
            <w:pPr>
              <w:spacing w:line="300" w:lineRule="exact"/>
              <w:rPr>
                <w:rFonts w:ascii="宋体" w:hAnsi="宋体" w:eastAsia="宋体" w:cs="宋体"/>
                <w:sz w:val="24"/>
              </w:rPr>
            </w:pPr>
            <w:r>
              <w:rPr>
                <w:rFonts w:hint="eastAsia" w:ascii="宋体" w:hAnsi="宋体" w:eastAsia="宋体" w:cs="宋体"/>
                <w:sz w:val="24"/>
              </w:rPr>
              <w:t>91.75</w:t>
            </w:r>
          </w:p>
        </w:tc>
        <w:tc>
          <w:tcPr>
            <w:tcW w:w="876" w:type="dxa"/>
            <w:vAlign w:val="center"/>
          </w:tcPr>
          <w:p w14:paraId="352EA805">
            <w:pPr>
              <w:spacing w:line="300" w:lineRule="exact"/>
              <w:rPr>
                <w:rFonts w:ascii="宋体" w:hAnsi="宋体" w:eastAsia="宋体" w:cs="宋体"/>
                <w:sz w:val="24"/>
              </w:rPr>
            </w:pPr>
            <w:r>
              <w:rPr>
                <w:rFonts w:hint="eastAsia" w:ascii="宋体" w:hAnsi="宋体" w:eastAsia="宋体" w:cs="宋体"/>
                <w:sz w:val="24"/>
              </w:rPr>
              <w:t>优秀</w:t>
            </w:r>
          </w:p>
        </w:tc>
      </w:tr>
      <w:tr w14:paraId="0C01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3" w:type="dxa"/>
            <w:vAlign w:val="center"/>
          </w:tcPr>
          <w:p w14:paraId="294186A1">
            <w:pPr>
              <w:spacing w:line="300" w:lineRule="exact"/>
              <w:jc w:val="center"/>
              <w:rPr>
                <w:rFonts w:ascii="宋体" w:hAnsi="宋体" w:eastAsia="宋体" w:cs="宋体"/>
                <w:sz w:val="24"/>
              </w:rPr>
            </w:pPr>
            <w:r>
              <w:rPr>
                <w:rFonts w:hint="eastAsia" w:ascii="宋体" w:hAnsi="宋体" w:eastAsia="宋体" w:cs="宋体"/>
                <w:sz w:val="24"/>
              </w:rPr>
              <w:t>13</w:t>
            </w:r>
          </w:p>
        </w:tc>
        <w:tc>
          <w:tcPr>
            <w:tcW w:w="3489" w:type="dxa"/>
            <w:vAlign w:val="center"/>
          </w:tcPr>
          <w:p w14:paraId="38F2D1FE">
            <w:pPr>
              <w:spacing w:line="300" w:lineRule="exact"/>
              <w:rPr>
                <w:rFonts w:ascii="宋体" w:hAnsi="宋体" w:eastAsia="宋体" w:cs="宋体"/>
                <w:sz w:val="24"/>
              </w:rPr>
            </w:pPr>
            <w:r>
              <w:rPr>
                <w:rFonts w:hint="eastAsia" w:ascii="宋体" w:hAnsi="宋体" w:eastAsia="宋体" w:cs="宋体"/>
                <w:sz w:val="24"/>
              </w:rPr>
              <w:t>木兰溪防洪工程及配套项目</w:t>
            </w:r>
          </w:p>
        </w:tc>
        <w:tc>
          <w:tcPr>
            <w:tcW w:w="3135" w:type="dxa"/>
            <w:vAlign w:val="center"/>
          </w:tcPr>
          <w:p w14:paraId="4C899BF1">
            <w:pPr>
              <w:spacing w:line="300" w:lineRule="exact"/>
              <w:rPr>
                <w:rFonts w:ascii="宋体" w:hAnsi="宋体" w:eastAsia="宋体" w:cs="宋体"/>
                <w:sz w:val="24"/>
              </w:rPr>
            </w:pPr>
            <w:r>
              <w:rPr>
                <w:rFonts w:hint="eastAsia" w:ascii="宋体" w:hAnsi="宋体" w:eastAsia="宋体" w:cs="宋体"/>
                <w:sz w:val="24"/>
              </w:rPr>
              <w:t>莆田市木兰溪防洪工程建设管理处</w:t>
            </w:r>
          </w:p>
        </w:tc>
        <w:tc>
          <w:tcPr>
            <w:tcW w:w="844" w:type="dxa"/>
            <w:vAlign w:val="center"/>
          </w:tcPr>
          <w:p w14:paraId="53481CFA">
            <w:pPr>
              <w:spacing w:line="300" w:lineRule="exact"/>
              <w:rPr>
                <w:rFonts w:ascii="宋体" w:hAnsi="宋体" w:eastAsia="宋体" w:cs="宋体"/>
                <w:sz w:val="24"/>
              </w:rPr>
            </w:pPr>
            <w:r>
              <w:rPr>
                <w:rFonts w:hint="eastAsia" w:ascii="宋体" w:hAnsi="宋体" w:eastAsia="宋体" w:cs="宋体"/>
                <w:sz w:val="24"/>
              </w:rPr>
              <w:t>89.00</w:t>
            </w:r>
          </w:p>
        </w:tc>
        <w:tc>
          <w:tcPr>
            <w:tcW w:w="876" w:type="dxa"/>
            <w:vAlign w:val="center"/>
          </w:tcPr>
          <w:p w14:paraId="535E5E7C">
            <w:pPr>
              <w:spacing w:line="300" w:lineRule="exact"/>
              <w:rPr>
                <w:rFonts w:ascii="宋体" w:hAnsi="宋体" w:eastAsia="宋体" w:cs="宋体"/>
                <w:sz w:val="24"/>
              </w:rPr>
            </w:pPr>
            <w:r>
              <w:rPr>
                <w:rFonts w:hint="eastAsia" w:ascii="宋体" w:hAnsi="宋体" w:eastAsia="宋体" w:cs="宋体"/>
                <w:sz w:val="24"/>
              </w:rPr>
              <w:t>良好</w:t>
            </w:r>
          </w:p>
        </w:tc>
      </w:tr>
      <w:tr w14:paraId="628D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13" w:type="dxa"/>
            <w:vAlign w:val="center"/>
          </w:tcPr>
          <w:p w14:paraId="785F0B23">
            <w:pPr>
              <w:spacing w:line="300" w:lineRule="exact"/>
              <w:jc w:val="center"/>
              <w:rPr>
                <w:rFonts w:ascii="宋体" w:hAnsi="宋体" w:eastAsia="宋体" w:cs="宋体"/>
                <w:sz w:val="24"/>
              </w:rPr>
            </w:pPr>
            <w:r>
              <w:rPr>
                <w:rFonts w:hint="eastAsia" w:ascii="宋体" w:hAnsi="宋体" w:eastAsia="宋体" w:cs="宋体"/>
                <w:sz w:val="24"/>
              </w:rPr>
              <w:t>14</w:t>
            </w:r>
          </w:p>
        </w:tc>
        <w:tc>
          <w:tcPr>
            <w:tcW w:w="3489" w:type="dxa"/>
            <w:vAlign w:val="center"/>
          </w:tcPr>
          <w:p w14:paraId="3B5A4D8A">
            <w:pPr>
              <w:spacing w:line="300" w:lineRule="exact"/>
              <w:rPr>
                <w:rFonts w:ascii="宋体" w:hAnsi="宋体" w:eastAsia="宋体" w:cs="宋体"/>
                <w:sz w:val="24"/>
              </w:rPr>
            </w:pPr>
            <w:r>
              <w:rPr>
                <w:rFonts w:hint="eastAsia" w:ascii="宋体" w:hAnsi="宋体" w:eastAsia="宋体" w:cs="宋体"/>
                <w:sz w:val="24"/>
              </w:rPr>
              <w:t>莆田市海洋渔业局部门整体支出</w:t>
            </w:r>
          </w:p>
        </w:tc>
        <w:tc>
          <w:tcPr>
            <w:tcW w:w="3135" w:type="dxa"/>
            <w:vAlign w:val="center"/>
          </w:tcPr>
          <w:p w14:paraId="0B7DE464">
            <w:pPr>
              <w:spacing w:line="300" w:lineRule="exact"/>
              <w:rPr>
                <w:rFonts w:ascii="宋体" w:hAnsi="宋体" w:eastAsia="宋体" w:cs="宋体"/>
                <w:sz w:val="24"/>
              </w:rPr>
            </w:pPr>
            <w:r>
              <w:rPr>
                <w:rFonts w:hint="eastAsia" w:ascii="宋体" w:hAnsi="宋体" w:eastAsia="宋体" w:cs="宋体"/>
                <w:sz w:val="24"/>
              </w:rPr>
              <w:t>莆田市海洋渔业局</w:t>
            </w:r>
          </w:p>
        </w:tc>
        <w:tc>
          <w:tcPr>
            <w:tcW w:w="844" w:type="dxa"/>
            <w:vAlign w:val="center"/>
          </w:tcPr>
          <w:p w14:paraId="062E322E">
            <w:pPr>
              <w:spacing w:line="300" w:lineRule="exact"/>
              <w:rPr>
                <w:rFonts w:ascii="宋体" w:hAnsi="宋体" w:eastAsia="宋体" w:cs="宋体"/>
                <w:sz w:val="24"/>
              </w:rPr>
            </w:pPr>
            <w:r>
              <w:rPr>
                <w:rFonts w:hint="eastAsia" w:ascii="宋体" w:hAnsi="宋体" w:eastAsia="宋体" w:cs="宋体"/>
                <w:sz w:val="24"/>
              </w:rPr>
              <w:t>82.99</w:t>
            </w:r>
          </w:p>
        </w:tc>
        <w:tc>
          <w:tcPr>
            <w:tcW w:w="876" w:type="dxa"/>
            <w:vAlign w:val="center"/>
          </w:tcPr>
          <w:p w14:paraId="031937A4">
            <w:pPr>
              <w:spacing w:line="300" w:lineRule="exact"/>
              <w:rPr>
                <w:rFonts w:ascii="宋体" w:hAnsi="宋体" w:eastAsia="宋体" w:cs="宋体"/>
                <w:sz w:val="24"/>
              </w:rPr>
            </w:pPr>
            <w:r>
              <w:rPr>
                <w:rFonts w:hint="eastAsia" w:ascii="宋体" w:hAnsi="宋体" w:eastAsia="宋体" w:cs="宋体"/>
                <w:sz w:val="24"/>
              </w:rPr>
              <w:t>良好</w:t>
            </w:r>
          </w:p>
        </w:tc>
      </w:tr>
    </w:tbl>
    <w:p w14:paraId="65DB09E1">
      <w:pPr>
        <w:tabs>
          <w:tab w:val="left" w:pos="4457"/>
        </w:tabs>
        <w:ind w:firstLine="640"/>
        <w:rPr>
          <w:rFonts w:ascii="仿宋" w:hAnsi="仿宋" w:eastAsia="仿宋" w:cs="仿宋"/>
          <w:sz w:val="32"/>
          <w:szCs w:val="32"/>
        </w:rPr>
      </w:pPr>
      <w:r>
        <w:rPr>
          <w:rFonts w:hint="eastAsia" w:ascii="仿宋" w:hAnsi="仿宋" w:eastAsia="仿宋" w:cs="仿宋"/>
          <w:sz w:val="32"/>
          <w:szCs w:val="32"/>
        </w:rPr>
        <w:tab/>
      </w:r>
    </w:p>
    <w:p w14:paraId="5A10825E">
      <w:pPr>
        <w:ind w:firstLine="640"/>
        <w:rPr>
          <w:rFonts w:ascii="仿宋" w:hAnsi="仿宋" w:eastAsia="仿宋" w:cs="仿宋"/>
          <w:sz w:val="32"/>
          <w:szCs w:val="32"/>
        </w:rPr>
      </w:pPr>
    </w:p>
    <w:p w14:paraId="1FAB4DD9">
      <w:pPr>
        <w:jc w:val="center"/>
        <w:rPr>
          <w:rFonts w:ascii="仿宋" w:hAnsi="仿宋" w:eastAsia="仿宋" w:cs="仿宋"/>
          <w:sz w:val="32"/>
          <w:szCs w:val="32"/>
        </w:rPr>
      </w:pPr>
    </w:p>
    <w:sdt>
      <w:sdtPr>
        <w:rPr>
          <w:rFonts w:ascii="宋体" w:hAnsi="宋体" w:eastAsia="宋体"/>
        </w:rPr>
        <w:id w:val="147458857"/>
        <w:docPartObj>
          <w:docPartGallery w:val="Table of Contents"/>
          <w:docPartUnique/>
        </w:docPartObj>
      </w:sdtPr>
      <w:sdtEndPr>
        <w:rPr>
          <w:rFonts w:hint="eastAsia" w:ascii="仿宋" w:hAnsi="仿宋" w:eastAsia="仿宋" w:cs="仿宋"/>
          <w:szCs w:val="32"/>
        </w:rPr>
      </w:sdtEndPr>
      <w:sdtContent>
        <w:p w14:paraId="786B815A">
          <w:pPr>
            <w:jc w:val="center"/>
            <w:rPr>
              <w:rFonts w:ascii="宋体" w:hAnsi="宋体" w:eastAsia="宋体"/>
            </w:rPr>
          </w:pPr>
        </w:p>
        <w:p w14:paraId="23E10AD3">
          <w:pPr>
            <w:jc w:val="center"/>
            <w:rPr>
              <w:rFonts w:ascii="黑体" w:hAnsi="黑体" w:eastAsia="黑体" w:cs="黑体"/>
              <w:sz w:val="36"/>
              <w:szCs w:val="36"/>
            </w:rPr>
          </w:pPr>
          <w:r>
            <w:rPr>
              <w:rFonts w:hint="eastAsia" w:ascii="黑体" w:hAnsi="黑体" w:eastAsia="黑体" w:cs="黑体"/>
              <w:sz w:val="36"/>
              <w:szCs w:val="36"/>
            </w:rPr>
            <w:t>财政评价报告目录</w:t>
          </w:r>
        </w:p>
        <w:p w14:paraId="755B5C51">
          <w:pPr>
            <w:jc w:val="center"/>
            <w:rPr>
              <w:rFonts w:ascii="黑体" w:hAnsi="黑体" w:eastAsia="黑体" w:cs="黑体"/>
              <w:sz w:val="36"/>
              <w:szCs w:val="36"/>
            </w:rPr>
          </w:pPr>
        </w:p>
        <w:p w14:paraId="2DA60CC1">
          <w:pPr>
            <w:pStyle w:val="30"/>
            <w:tabs>
              <w:tab w:val="right" w:leader="dot" w:pos="9354"/>
            </w:tabs>
            <w:rPr>
              <w:rFonts w:ascii="宋体" w:hAnsi="宋体" w:eastAsia="宋体" w:cs="宋体"/>
              <w:sz w:val="24"/>
              <w:szCs w:val="24"/>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fldChar w:fldCharType="begin"/>
          </w:r>
          <w:r>
            <w:instrText xml:space="preserve"> HYPERLINK \l "_Toc7021" </w:instrText>
          </w:r>
          <w:r>
            <w:fldChar w:fldCharType="separate"/>
          </w:r>
          <w:r>
            <w:rPr>
              <w:rFonts w:hint="eastAsia" w:ascii="宋体" w:hAnsi="宋体" w:eastAsia="宋体" w:cs="宋体"/>
              <w:sz w:val="24"/>
              <w:szCs w:val="24"/>
            </w:rPr>
            <w:t>工业发展专项资金绩效评价报告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_Toc7021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780F8C3">
          <w:pPr>
            <w:pStyle w:val="30"/>
            <w:tabs>
              <w:tab w:val="right" w:leader="dot" w:pos="9354"/>
            </w:tabs>
            <w:rPr>
              <w:rFonts w:ascii="宋体" w:hAnsi="宋体" w:eastAsia="宋体" w:cs="宋体"/>
              <w:sz w:val="24"/>
              <w:szCs w:val="24"/>
            </w:rPr>
          </w:pPr>
        </w:p>
        <w:p w14:paraId="266841BB">
          <w:pPr>
            <w:pStyle w:val="30"/>
            <w:tabs>
              <w:tab w:val="right" w:leader="dot" w:pos="9354"/>
            </w:tabs>
            <w:rPr>
              <w:rFonts w:ascii="宋体" w:hAnsi="宋体" w:eastAsia="宋体" w:cs="宋体"/>
              <w:sz w:val="24"/>
              <w:szCs w:val="24"/>
            </w:rPr>
          </w:pPr>
          <w:r>
            <w:fldChar w:fldCharType="begin"/>
          </w:r>
          <w:r>
            <w:instrText xml:space="preserve"> HYPERLINK \l "_Toc18703" </w:instrText>
          </w:r>
          <w:r>
            <w:fldChar w:fldCharType="separate"/>
          </w:r>
          <w:r>
            <w:rPr>
              <w:rFonts w:hint="eastAsia" w:ascii="宋体" w:hAnsi="宋体" w:eastAsia="宋体" w:cs="宋体"/>
              <w:sz w:val="24"/>
              <w:szCs w:val="24"/>
            </w:rPr>
            <w:t>2020年新冠病毒感染肺炎疫情防控经费绩效评价报告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_Toc18703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F50BAD">
          <w:pPr>
            <w:pStyle w:val="30"/>
            <w:tabs>
              <w:tab w:val="right" w:leader="dot" w:pos="9354"/>
            </w:tabs>
            <w:rPr>
              <w:rFonts w:ascii="宋体" w:hAnsi="宋体" w:eastAsia="宋体" w:cs="宋体"/>
              <w:sz w:val="24"/>
              <w:szCs w:val="24"/>
            </w:rPr>
          </w:pPr>
        </w:p>
        <w:p w14:paraId="4BD35EE3">
          <w:pPr>
            <w:pStyle w:val="30"/>
            <w:tabs>
              <w:tab w:val="right" w:leader="dot" w:pos="9354"/>
            </w:tabs>
            <w:rPr>
              <w:rFonts w:ascii="宋体" w:hAnsi="宋体" w:eastAsia="宋体" w:cs="宋体"/>
              <w:sz w:val="24"/>
              <w:szCs w:val="24"/>
            </w:rPr>
          </w:pPr>
          <w:r>
            <w:fldChar w:fldCharType="begin"/>
          </w:r>
          <w:r>
            <w:instrText xml:space="preserve"> HYPERLINK \l "_Toc12734" </w:instrText>
          </w:r>
          <w:r>
            <w:fldChar w:fldCharType="separate"/>
          </w:r>
          <w:r>
            <w:rPr>
              <w:rFonts w:hint="eastAsia" w:ascii="宋体" w:hAnsi="宋体" w:eastAsia="宋体" w:cs="宋体"/>
              <w:sz w:val="24"/>
              <w:szCs w:val="24"/>
            </w:rPr>
            <w:t>“全闽乐购”促消费专项资金中期绩效评价报告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_Toc12734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9E68963">
          <w:pPr>
            <w:pStyle w:val="30"/>
            <w:tabs>
              <w:tab w:val="right" w:leader="dot" w:pos="9354"/>
            </w:tabs>
            <w:rPr>
              <w:rFonts w:ascii="宋体" w:hAnsi="宋体" w:eastAsia="宋体" w:cs="宋体"/>
              <w:sz w:val="24"/>
              <w:szCs w:val="24"/>
            </w:rPr>
          </w:pPr>
        </w:p>
        <w:p w14:paraId="3AE907B5">
          <w:pPr>
            <w:pStyle w:val="30"/>
            <w:tabs>
              <w:tab w:val="right" w:leader="dot" w:pos="9354"/>
            </w:tabs>
            <w:rPr>
              <w:rFonts w:ascii="宋体" w:hAnsi="宋体" w:eastAsia="宋体" w:cs="宋体"/>
              <w:sz w:val="24"/>
              <w:szCs w:val="24"/>
            </w:rPr>
          </w:pPr>
          <w:r>
            <w:fldChar w:fldCharType="begin"/>
          </w:r>
          <w:r>
            <w:instrText xml:space="preserve"> HYPERLINK \l "_Toc1113" </w:instrText>
          </w:r>
          <w:r>
            <w:fldChar w:fldCharType="separate"/>
          </w:r>
          <w:r>
            <w:rPr>
              <w:rFonts w:hint="eastAsia" w:ascii="宋体" w:hAnsi="宋体" w:eastAsia="宋体" w:cs="宋体"/>
              <w:sz w:val="24"/>
              <w:szCs w:val="24"/>
            </w:rPr>
            <w:t>2020年基层网格化运营保障经费（为民办实事）绩效评价报告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_Toc1113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06C4DD">
          <w:pPr>
            <w:pStyle w:val="30"/>
            <w:tabs>
              <w:tab w:val="right" w:leader="dot" w:pos="9354"/>
            </w:tabs>
            <w:rPr>
              <w:rFonts w:ascii="宋体" w:hAnsi="宋体" w:eastAsia="宋体" w:cs="宋体"/>
              <w:sz w:val="24"/>
              <w:szCs w:val="24"/>
            </w:rPr>
          </w:pPr>
        </w:p>
        <w:p w14:paraId="076506EE">
          <w:pPr>
            <w:pStyle w:val="30"/>
            <w:tabs>
              <w:tab w:val="right" w:leader="dot" w:pos="9354"/>
            </w:tabs>
            <w:rPr>
              <w:rFonts w:ascii="宋体" w:hAnsi="宋体" w:eastAsia="宋体" w:cs="宋体"/>
              <w:sz w:val="24"/>
              <w:szCs w:val="24"/>
            </w:rPr>
          </w:pPr>
          <w:r>
            <w:fldChar w:fldCharType="begin"/>
          </w:r>
          <w:r>
            <w:instrText xml:space="preserve"> HYPERLINK \l "_Toc27694" </w:instrText>
          </w:r>
          <w:r>
            <w:fldChar w:fldCharType="separate"/>
          </w:r>
          <w:r>
            <w:rPr>
              <w:rFonts w:hint="eastAsia" w:ascii="宋体" w:hAnsi="宋体" w:eastAsia="宋体" w:cs="宋体"/>
              <w:sz w:val="24"/>
              <w:szCs w:val="24"/>
            </w:rPr>
            <w:t>莆田市水务集团有限公司2020年度国有资本运营情况绩效评估报告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_Toc27694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DABEC8">
          <w:pPr>
            <w:pStyle w:val="30"/>
            <w:tabs>
              <w:tab w:val="right" w:leader="dot" w:pos="9354"/>
            </w:tabs>
            <w:rPr>
              <w:rFonts w:ascii="宋体" w:hAnsi="宋体" w:eastAsia="宋体" w:cs="宋体"/>
              <w:sz w:val="24"/>
              <w:szCs w:val="24"/>
            </w:rPr>
          </w:pPr>
        </w:p>
        <w:p w14:paraId="780FA051">
          <w:pPr>
            <w:pStyle w:val="30"/>
            <w:tabs>
              <w:tab w:val="right" w:leader="dot" w:pos="9354"/>
            </w:tabs>
            <w:rPr>
              <w:rFonts w:ascii="宋体" w:hAnsi="宋体" w:eastAsia="宋体" w:cs="宋体"/>
              <w:sz w:val="24"/>
              <w:szCs w:val="24"/>
            </w:rPr>
          </w:pPr>
          <w:r>
            <w:fldChar w:fldCharType="begin"/>
          </w:r>
          <w:r>
            <w:instrText xml:space="preserve"> HYPERLINK \l "_Toc9540" </w:instrText>
          </w:r>
          <w:r>
            <w:fldChar w:fldCharType="separate"/>
          </w:r>
          <w:r>
            <w:rPr>
              <w:rFonts w:hint="eastAsia" w:ascii="宋体" w:hAnsi="宋体" w:eastAsia="宋体" w:cs="宋体"/>
              <w:sz w:val="24"/>
              <w:szCs w:val="24"/>
            </w:rPr>
            <w:t>莆田市林业局2020年度部门整体支出绩效评价报告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_Toc9540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E304FDD">
          <w:pPr>
            <w:pStyle w:val="30"/>
            <w:tabs>
              <w:tab w:val="right" w:leader="dot" w:pos="9354"/>
            </w:tabs>
            <w:rPr>
              <w:rFonts w:ascii="宋体" w:hAnsi="宋体" w:eastAsia="宋体" w:cs="宋体"/>
              <w:sz w:val="24"/>
              <w:szCs w:val="24"/>
            </w:rPr>
          </w:pPr>
        </w:p>
        <w:p w14:paraId="28866E6B">
          <w:pPr>
            <w:pStyle w:val="30"/>
            <w:tabs>
              <w:tab w:val="right" w:leader="dot" w:pos="9354"/>
            </w:tabs>
            <w:rPr>
              <w:rFonts w:ascii="宋体" w:hAnsi="宋体" w:eastAsia="宋体" w:cs="宋体"/>
              <w:sz w:val="24"/>
              <w:szCs w:val="24"/>
            </w:rPr>
          </w:pPr>
          <w:r>
            <w:fldChar w:fldCharType="begin"/>
          </w:r>
          <w:r>
            <w:instrText xml:space="preserve"> HYPERLINK \l "_Toc14824" </w:instrText>
          </w:r>
          <w:r>
            <w:fldChar w:fldCharType="separate"/>
          </w:r>
          <w:r>
            <w:rPr>
              <w:rFonts w:hint="eastAsia" w:ascii="宋体" w:hAnsi="宋体" w:eastAsia="宋体" w:cs="宋体"/>
              <w:sz w:val="24"/>
              <w:szCs w:val="24"/>
            </w:rPr>
            <w:t>莆田市乡村振兴专项资金中期绩效评价报告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_Toc14824 \h </w:instrText>
          </w:r>
          <w:r>
            <w:rPr>
              <w:rFonts w:hint="eastAsia" w:ascii="宋体" w:hAnsi="宋体" w:eastAsia="宋体" w:cs="宋体"/>
              <w:sz w:val="24"/>
              <w:szCs w:val="24"/>
            </w:rPr>
            <w:fldChar w:fldCharType="separate"/>
          </w:r>
          <w:r>
            <w:rPr>
              <w:rFonts w:hint="eastAsia" w:ascii="宋体" w:hAnsi="宋体" w:eastAsia="宋体" w:cs="宋体"/>
              <w:sz w:val="24"/>
              <w:szCs w:val="24"/>
            </w:rPr>
            <w:t>81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E278C64">
          <w:pPr>
            <w:pStyle w:val="30"/>
            <w:tabs>
              <w:tab w:val="right" w:leader="dot" w:pos="9354"/>
            </w:tabs>
            <w:rPr>
              <w:rFonts w:ascii="宋体" w:hAnsi="宋体" w:eastAsia="宋体" w:cs="宋体"/>
              <w:sz w:val="24"/>
              <w:szCs w:val="24"/>
            </w:rPr>
          </w:pPr>
        </w:p>
        <w:p w14:paraId="58DD0F7E">
          <w:pPr>
            <w:pStyle w:val="30"/>
            <w:tabs>
              <w:tab w:val="right" w:leader="dot" w:pos="9354"/>
            </w:tabs>
            <w:rPr>
              <w:rFonts w:ascii="宋体" w:hAnsi="宋体" w:eastAsia="宋体" w:cs="宋体"/>
              <w:sz w:val="24"/>
              <w:szCs w:val="24"/>
            </w:rPr>
          </w:pPr>
          <w:r>
            <w:fldChar w:fldCharType="begin"/>
          </w:r>
          <w:r>
            <w:instrText xml:space="preserve"> HYPERLINK \l "_Toc4693" </w:instrText>
          </w:r>
          <w:r>
            <w:fldChar w:fldCharType="separate"/>
          </w:r>
          <w:r>
            <w:rPr>
              <w:rFonts w:hint="eastAsia" w:ascii="宋体" w:hAnsi="宋体" w:eastAsia="宋体" w:cs="宋体"/>
              <w:sz w:val="24"/>
              <w:szCs w:val="24"/>
            </w:rPr>
            <w:t>莆田市本级项目前期经费专项资金绩效评价报告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_Toc4693 \h </w:instrText>
          </w:r>
          <w:r>
            <w:rPr>
              <w:rFonts w:hint="eastAsia" w:ascii="宋体" w:hAnsi="宋体" w:eastAsia="宋体" w:cs="宋体"/>
              <w:sz w:val="24"/>
              <w:szCs w:val="24"/>
            </w:rPr>
            <w:fldChar w:fldCharType="separate"/>
          </w:r>
          <w:r>
            <w:rPr>
              <w:rFonts w:hint="eastAsia" w:ascii="宋体" w:hAnsi="宋体" w:eastAsia="宋体" w:cs="宋体"/>
              <w:sz w:val="24"/>
              <w:szCs w:val="24"/>
            </w:rPr>
            <w:t>99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7C2976A">
          <w:pPr>
            <w:pStyle w:val="30"/>
            <w:tabs>
              <w:tab w:val="right" w:leader="dot" w:pos="9354"/>
            </w:tabs>
            <w:rPr>
              <w:rFonts w:ascii="宋体" w:hAnsi="宋体" w:eastAsia="宋体" w:cs="宋体"/>
              <w:sz w:val="24"/>
              <w:szCs w:val="24"/>
            </w:rPr>
          </w:pPr>
        </w:p>
        <w:p w14:paraId="1EE3DBC2">
          <w:pPr>
            <w:pStyle w:val="30"/>
            <w:tabs>
              <w:tab w:val="right" w:leader="dot" w:pos="9354"/>
            </w:tabs>
            <w:rPr>
              <w:rFonts w:ascii="宋体" w:hAnsi="宋体" w:eastAsia="宋体" w:cs="宋体"/>
              <w:sz w:val="24"/>
              <w:szCs w:val="24"/>
            </w:rPr>
          </w:pPr>
          <w:r>
            <w:fldChar w:fldCharType="begin"/>
          </w:r>
          <w:r>
            <w:instrText xml:space="preserve"> HYPERLINK \l "_Toc12976" </w:instrText>
          </w:r>
          <w:r>
            <w:fldChar w:fldCharType="separate"/>
          </w:r>
          <w:r>
            <w:rPr>
              <w:rFonts w:hint="eastAsia" w:ascii="宋体" w:hAnsi="宋体" w:eastAsia="宋体" w:cs="宋体"/>
              <w:sz w:val="24"/>
              <w:szCs w:val="24"/>
            </w:rPr>
            <w:t>莆田市住房和城乡建设局2020年度部门整体支出绩效评价报告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_Toc12976 \h </w:instrText>
          </w:r>
          <w:r>
            <w:rPr>
              <w:rFonts w:hint="eastAsia" w:ascii="宋体" w:hAnsi="宋体" w:eastAsia="宋体" w:cs="宋体"/>
              <w:sz w:val="24"/>
              <w:szCs w:val="24"/>
            </w:rPr>
            <w:fldChar w:fldCharType="separate"/>
          </w:r>
          <w:r>
            <w:rPr>
              <w:rFonts w:hint="eastAsia" w:ascii="宋体" w:hAnsi="宋体" w:eastAsia="宋体" w:cs="宋体"/>
              <w:sz w:val="24"/>
              <w:szCs w:val="24"/>
            </w:rPr>
            <w:t>111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A7E57BA">
          <w:pPr>
            <w:pStyle w:val="30"/>
            <w:tabs>
              <w:tab w:val="right" w:leader="dot" w:pos="9354"/>
            </w:tabs>
            <w:rPr>
              <w:rFonts w:ascii="宋体" w:hAnsi="宋体" w:eastAsia="宋体" w:cs="宋体"/>
              <w:sz w:val="24"/>
              <w:szCs w:val="24"/>
            </w:rPr>
          </w:pPr>
        </w:p>
        <w:p w14:paraId="2A95F098">
          <w:pPr>
            <w:pStyle w:val="30"/>
            <w:tabs>
              <w:tab w:val="right" w:leader="dot" w:pos="9354"/>
            </w:tabs>
            <w:rPr>
              <w:rFonts w:ascii="宋体" w:hAnsi="宋体" w:eastAsia="宋体" w:cs="宋体"/>
              <w:sz w:val="24"/>
              <w:szCs w:val="24"/>
            </w:rPr>
          </w:pPr>
          <w:r>
            <w:fldChar w:fldCharType="begin"/>
          </w:r>
          <w:r>
            <w:instrText xml:space="preserve"> HYPERLINK \l "_Toc18119" </w:instrText>
          </w:r>
          <w:r>
            <w:fldChar w:fldCharType="separate"/>
          </w:r>
          <w:r>
            <w:rPr>
              <w:rFonts w:hint="eastAsia" w:ascii="宋体" w:hAnsi="宋体" w:eastAsia="宋体" w:cs="宋体"/>
              <w:sz w:val="24"/>
              <w:szCs w:val="24"/>
            </w:rPr>
            <w:t>职业教育专项补助资金绩效评价报告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_Toc18119 \h </w:instrText>
          </w:r>
          <w:r>
            <w:rPr>
              <w:rFonts w:hint="eastAsia" w:ascii="宋体" w:hAnsi="宋体" w:eastAsia="宋体" w:cs="宋体"/>
              <w:sz w:val="24"/>
              <w:szCs w:val="24"/>
            </w:rPr>
            <w:fldChar w:fldCharType="separate"/>
          </w:r>
          <w:r>
            <w:rPr>
              <w:rFonts w:hint="eastAsia" w:ascii="宋体" w:hAnsi="宋体" w:eastAsia="宋体" w:cs="宋体"/>
              <w:sz w:val="24"/>
              <w:szCs w:val="24"/>
            </w:rPr>
            <w:t>129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848A3BC">
          <w:pPr>
            <w:pStyle w:val="30"/>
            <w:tabs>
              <w:tab w:val="right" w:leader="dot" w:pos="9354"/>
            </w:tabs>
            <w:rPr>
              <w:rFonts w:ascii="宋体" w:hAnsi="宋体" w:eastAsia="宋体" w:cs="宋体"/>
              <w:sz w:val="24"/>
              <w:szCs w:val="24"/>
            </w:rPr>
          </w:pPr>
        </w:p>
        <w:p w14:paraId="26611775">
          <w:pPr>
            <w:pStyle w:val="30"/>
            <w:tabs>
              <w:tab w:val="right" w:leader="dot" w:pos="9354"/>
            </w:tabs>
            <w:rPr>
              <w:rFonts w:ascii="宋体" w:hAnsi="宋体" w:eastAsia="宋体" w:cs="宋体"/>
              <w:sz w:val="24"/>
              <w:szCs w:val="24"/>
            </w:rPr>
          </w:pPr>
          <w:r>
            <w:fldChar w:fldCharType="begin"/>
          </w:r>
          <w:r>
            <w:instrText xml:space="preserve"> HYPERLINK \l "_Toc14291" </w:instrText>
          </w:r>
          <w:r>
            <w:fldChar w:fldCharType="separate"/>
          </w:r>
          <w:r>
            <w:rPr>
              <w:rFonts w:hint="eastAsia" w:ascii="宋体" w:hAnsi="宋体" w:eastAsia="宋体" w:cs="宋体"/>
              <w:sz w:val="24"/>
              <w:szCs w:val="24"/>
            </w:rPr>
            <w:t>2020年群众体育项目绩效评价报告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_Toc14291 \h </w:instrText>
          </w:r>
          <w:r>
            <w:rPr>
              <w:rFonts w:hint="eastAsia" w:ascii="宋体" w:hAnsi="宋体" w:eastAsia="宋体" w:cs="宋体"/>
              <w:sz w:val="24"/>
              <w:szCs w:val="24"/>
            </w:rPr>
            <w:fldChar w:fldCharType="separate"/>
          </w:r>
          <w:r>
            <w:rPr>
              <w:rFonts w:hint="eastAsia" w:ascii="宋体" w:hAnsi="宋体" w:eastAsia="宋体" w:cs="宋体"/>
              <w:sz w:val="24"/>
              <w:szCs w:val="24"/>
            </w:rPr>
            <w:t>143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E8C513C">
          <w:pPr>
            <w:pStyle w:val="30"/>
            <w:tabs>
              <w:tab w:val="right" w:leader="dot" w:pos="9354"/>
            </w:tabs>
            <w:rPr>
              <w:rFonts w:ascii="宋体" w:hAnsi="宋体" w:eastAsia="宋体" w:cs="宋体"/>
              <w:sz w:val="24"/>
              <w:szCs w:val="24"/>
            </w:rPr>
          </w:pPr>
        </w:p>
        <w:p w14:paraId="53A52045">
          <w:pPr>
            <w:pStyle w:val="30"/>
            <w:tabs>
              <w:tab w:val="right" w:leader="dot" w:pos="9354"/>
            </w:tabs>
            <w:rPr>
              <w:rFonts w:ascii="宋体" w:hAnsi="宋体" w:eastAsia="宋体" w:cs="宋体"/>
              <w:sz w:val="24"/>
              <w:szCs w:val="24"/>
            </w:rPr>
          </w:pPr>
          <w:r>
            <w:fldChar w:fldCharType="begin"/>
          </w:r>
          <w:r>
            <w:instrText xml:space="preserve"> HYPERLINK \l "_Toc8486" </w:instrText>
          </w:r>
          <w:r>
            <w:fldChar w:fldCharType="separate"/>
          </w:r>
          <w:r>
            <w:rPr>
              <w:rFonts w:hint="eastAsia" w:ascii="宋体" w:hAnsi="宋体" w:eastAsia="宋体" w:cs="宋体"/>
              <w:sz w:val="24"/>
              <w:szCs w:val="24"/>
            </w:rPr>
            <w:t>2020年城乡居民基本医疗保险基金绩效评价报告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_Toc8486 \h </w:instrText>
          </w:r>
          <w:r>
            <w:rPr>
              <w:rFonts w:hint="eastAsia" w:ascii="宋体" w:hAnsi="宋体" w:eastAsia="宋体" w:cs="宋体"/>
              <w:sz w:val="24"/>
              <w:szCs w:val="24"/>
            </w:rPr>
            <w:fldChar w:fldCharType="separate"/>
          </w:r>
          <w:r>
            <w:rPr>
              <w:rFonts w:hint="eastAsia" w:ascii="宋体" w:hAnsi="宋体" w:eastAsia="宋体" w:cs="宋体"/>
              <w:sz w:val="24"/>
              <w:szCs w:val="24"/>
            </w:rPr>
            <w:t>154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18D38A6">
          <w:pPr>
            <w:pStyle w:val="30"/>
            <w:tabs>
              <w:tab w:val="right" w:leader="dot" w:pos="9354"/>
            </w:tabs>
            <w:rPr>
              <w:rFonts w:ascii="宋体" w:hAnsi="宋体" w:eastAsia="宋体" w:cs="宋体"/>
              <w:sz w:val="24"/>
              <w:szCs w:val="24"/>
            </w:rPr>
          </w:pPr>
        </w:p>
        <w:p w14:paraId="4029E21D">
          <w:pPr>
            <w:pStyle w:val="30"/>
            <w:tabs>
              <w:tab w:val="right" w:leader="dot" w:pos="9354"/>
            </w:tabs>
            <w:rPr>
              <w:rFonts w:ascii="宋体" w:hAnsi="宋体" w:eastAsia="宋体" w:cs="宋体"/>
              <w:sz w:val="24"/>
              <w:szCs w:val="24"/>
            </w:rPr>
          </w:pPr>
          <w:r>
            <w:fldChar w:fldCharType="begin"/>
          </w:r>
          <w:r>
            <w:instrText xml:space="preserve"> HYPERLINK \l "_Toc2506" </w:instrText>
          </w:r>
          <w:r>
            <w:fldChar w:fldCharType="separate"/>
          </w:r>
          <w:r>
            <w:rPr>
              <w:rFonts w:hint="eastAsia" w:ascii="宋体" w:hAnsi="宋体" w:eastAsia="宋体" w:cs="宋体"/>
              <w:sz w:val="24"/>
              <w:szCs w:val="24"/>
            </w:rPr>
            <w:t>2020年木兰溪防洪工程及配套（含安全生态水系建设）项目绩效评价报告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_Toc2506 \h </w:instrText>
          </w:r>
          <w:r>
            <w:rPr>
              <w:rFonts w:hint="eastAsia" w:ascii="宋体" w:hAnsi="宋体" w:eastAsia="宋体" w:cs="宋体"/>
              <w:sz w:val="24"/>
              <w:szCs w:val="24"/>
            </w:rPr>
            <w:fldChar w:fldCharType="separate"/>
          </w:r>
          <w:r>
            <w:rPr>
              <w:rFonts w:hint="eastAsia" w:ascii="宋体" w:hAnsi="宋体" w:eastAsia="宋体" w:cs="宋体"/>
              <w:sz w:val="24"/>
              <w:szCs w:val="24"/>
            </w:rPr>
            <w:t>162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744B8D7">
          <w:pPr>
            <w:pStyle w:val="30"/>
            <w:tabs>
              <w:tab w:val="right" w:leader="dot" w:pos="9354"/>
            </w:tabs>
            <w:rPr>
              <w:rFonts w:ascii="宋体" w:hAnsi="宋体" w:eastAsia="宋体" w:cs="宋体"/>
              <w:sz w:val="24"/>
              <w:szCs w:val="24"/>
            </w:rPr>
          </w:pPr>
        </w:p>
        <w:p w14:paraId="3AC15224">
          <w:pPr>
            <w:pStyle w:val="30"/>
            <w:tabs>
              <w:tab w:val="right" w:leader="dot" w:pos="9354"/>
            </w:tabs>
          </w:pPr>
          <w:r>
            <w:fldChar w:fldCharType="begin"/>
          </w:r>
          <w:r>
            <w:instrText xml:space="preserve"> HYPERLINK \l "_Toc19984" </w:instrText>
          </w:r>
          <w:r>
            <w:fldChar w:fldCharType="separate"/>
          </w:r>
          <w:r>
            <w:rPr>
              <w:rFonts w:hint="eastAsia" w:ascii="宋体" w:hAnsi="宋体" w:eastAsia="宋体" w:cs="宋体"/>
              <w:sz w:val="24"/>
              <w:szCs w:val="24"/>
            </w:rPr>
            <w:t>莆田市海洋与渔业局2020年度部门整体支出绩效评价报告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_Toc19984 \h </w:instrText>
          </w:r>
          <w:r>
            <w:rPr>
              <w:rFonts w:hint="eastAsia" w:ascii="宋体" w:hAnsi="宋体" w:eastAsia="宋体" w:cs="宋体"/>
              <w:sz w:val="24"/>
              <w:szCs w:val="24"/>
            </w:rPr>
            <w:fldChar w:fldCharType="separate"/>
          </w:r>
          <w:r>
            <w:rPr>
              <w:rFonts w:hint="eastAsia" w:ascii="宋体" w:hAnsi="宋体" w:eastAsia="宋体" w:cs="宋体"/>
              <w:sz w:val="24"/>
              <w:szCs w:val="24"/>
            </w:rPr>
            <w:t>176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87AC79">
          <w:pPr>
            <w:pStyle w:val="30"/>
            <w:tabs>
              <w:tab w:val="right" w:leader="dot" w:pos="9354"/>
            </w:tabs>
          </w:pPr>
        </w:p>
        <w:p w14:paraId="14CF5A73">
          <w:pPr>
            <w:ind w:firstLine="640"/>
            <w:rPr>
              <w:rFonts w:ascii="仿宋" w:hAnsi="仿宋" w:eastAsia="仿宋" w:cs="仿宋"/>
              <w:szCs w:val="32"/>
            </w:rPr>
            <w:sectPr>
              <w:footerReference r:id="rId3" w:type="default"/>
              <w:pgSz w:w="11906" w:h="16838"/>
              <w:pgMar w:top="1134" w:right="1134" w:bottom="1134" w:left="1418" w:header="851" w:footer="992" w:gutter="0"/>
              <w:pgNumType w:start="1"/>
              <w:cols w:space="425" w:num="1"/>
              <w:docGrid w:type="lines" w:linePitch="312" w:charSpace="0"/>
            </w:sectPr>
          </w:pPr>
          <w:r>
            <w:rPr>
              <w:rFonts w:hint="eastAsia" w:ascii="仿宋" w:hAnsi="仿宋" w:eastAsia="仿宋" w:cs="仿宋"/>
              <w:szCs w:val="32"/>
            </w:rPr>
            <w:fldChar w:fldCharType="end"/>
          </w:r>
        </w:p>
      </w:sdtContent>
    </w:sdt>
    <w:p w14:paraId="527BA673">
      <w:pPr>
        <w:pStyle w:val="2"/>
        <w:jc w:val="center"/>
      </w:pPr>
      <w:bookmarkStart w:id="0" w:name="_Toc30136"/>
      <w:bookmarkStart w:id="1" w:name="_Toc7021"/>
      <w:bookmarkStart w:id="2" w:name="_Toc2622"/>
      <w:bookmarkStart w:id="3" w:name="_Toc24643"/>
      <w:bookmarkStart w:id="4" w:name="_Toc16623"/>
      <w:bookmarkStart w:id="5" w:name="_Toc17948"/>
      <w:bookmarkStart w:id="6" w:name="_Toc263436189"/>
      <w:bookmarkStart w:id="7" w:name="_Toc263436240"/>
      <w:bookmarkStart w:id="8" w:name="_Toc263433452"/>
      <w:bookmarkStart w:id="9" w:name="_Toc263433233"/>
      <w:r>
        <w:rPr>
          <w:rFonts w:hint="eastAsia"/>
        </w:rPr>
        <w:t>工业发展专项资金绩效评价报告</w:t>
      </w:r>
      <w:bookmarkEnd w:id="0"/>
      <w:bookmarkEnd w:id="1"/>
      <w:bookmarkEnd w:id="2"/>
      <w:bookmarkEnd w:id="3"/>
      <w:bookmarkEnd w:id="4"/>
      <w:bookmarkEnd w:id="5"/>
    </w:p>
    <w:p w14:paraId="2F26D101">
      <w:pPr>
        <w:ind w:firstLine="420" w:firstLineChars="200"/>
        <w:outlineLvl w:val="0"/>
      </w:pPr>
      <w:bookmarkStart w:id="10" w:name="_Toc515964272"/>
      <w:bookmarkStart w:id="11" w:name="_Toc15229"/>
      <w:bookmarkStart w:id="12" w:name="_Toc11325"/>
      <w:bookmarkStart w:id="13" w:name="_Toc23337"/>
      <w:bookmarkStart w:id="14" w:name="_Toc23090"/>
      <w:bookmarkStart w:id="15" w:name="_Toc23852"/>
      <w:bookmarkStart w:id="16" w:name="_Toc15784"/>
      <w:r>
        <w:rPr>
          <w:rFonts w:hint="eastAsia"/>
        </w:rPr>
        <w:t>一、</w:t>
      </w:r>
      <w:bookmarkEnd w:id="6"/>
      <w:bookmarkEnd w:id="7"/>
      <w:bookmarkEnd w:id="8"/>
      <w:bookmarkEnd w:id="9"/>
      <w:bookmarkStart w:id="17" w:name="_Toc22772"/>
      <w:r>
        <w:rPr>
          <w:rFonts w:hint="eastAsia"/>
        </w:rPr>
        <w:t>项</w:t>
      </w:r>
      <w:bookmarkEnd w:id="17"/>
      <w:bookmarkStart w:id="18" w:name="_Toc28113"/>
      <w:r>
        <w:rPr>
          <w:rFonts w:hint="eastAsia"/>
        </w:rPr>
        <w:t>目基本情况</w:t>
      </w:r>
      <w:bookmarkEnd w:id="10"/>
      <w:bookmarkEnd w:id="11"/>
      <w:bookmarkEnd w:id="12"/>
      <w:bookmarkEnd w:id="13"/>
      <w:bookmarkEnd w:id="14"/>
      <w:bookmarkEnd w:id="15"/>
      <w:bookmarkEnd w:id="16"/>
      <w:bookmarkEnd w:id="18"/>
    </w:p>
    <w:p w14:paraId="5405E6E4">
      <w:pPr>
        <w:ind w:firstLine="420" w:firstLineChars="200"/>
      </w:pPr>
      <w:bookmarkStart w:id="19" w:name="_Toc21152"/>
      <w:bookmarkStart w:id="20" w:name="_Toc28283"/>
      <w:bookmarkStart w:id="21" w:name="_Toc19213"/>
      <w:bookmarkStart w:id="22" w:name="_Toc12464"/>
      <w:bookmarkStart w:id="23" w:name="_Toc263436190"/>
      <w:bookmarkStart w:id="24" w:name="_Toc263436241"/>
      <w:bookmarkStart w:id="25" w:name="_Toc263433025"/>
      <w:bookmarkStart w:id="26" w:name="_Toc263433453"/>
      <w:bookmarkStart w:id="27" w:name="_Toc263433234"/>
      <w:r>
        <w:rPr>
          <w:rFonts w:hint="eastAsia"/>
        </w:rPr>
        <w:t>（一）项目概况</w:t>
      </w:r>
      <w:bookmarkEnd w:id="19"/>
      <w:bookmarkEnd w:id="20"/>
      <w:bookmarkEnd w:id="21"/>
      <w:bookmarkEnd w:id="22"/>
      <w:bookmarkStart w:id="28" w:name="_Toc31814"/>
    </w:p>
    <w:p w14:paraId="7EAAE911">
      <w:pPr>
        <w:ind w:firstLine="420" w:firstLineChars="200"/>
      </w:pPr>
      <w:bookmarkStart w:id="29" w:name="_Toc9959"/>
      <w:bookmarkStart w:id="30" w:name="_Toc7841"/>
      <w:r>
        <w:rPr>
          <w:rFonts w:hint="eastAsia"/>
        </w:rPr>
        <w:t>根据《莆田市“十三五”工业转型升级专项规划》（闵政办〔2016〕121号）和《 中共莆田市委莆田市人民政府关于加快工业发展的若干意见》（闵政办〔2008〕15号）的要求，为扶持企业转型升级，促进现代服务业和信息产业发展，2020年度工业发展专项资金项目支出年初预算安排8000万元，因疫情影响，调整1413万元为抗疫国债资金，故工业发展专项资金预算安排6583万元。项目的概况如下：</w:t>
      </w:r>
    </w:p>
    <w:p w14:paraId="72ADDB63">
      <w:pPr>
        <w:ind w:firstLine="420" w:firstLineChars="200"/>
      </w:pPr>
      <w:r>
        <w:rPr>
          <w:rFonts w:hint="eastAsia"/>
        </w:rPr>
        <w:t>（1）支持工业企业技术创新和技术改造，推进产业转型升级；</w:t>
      </w:r>
    </w:p>
    <w:p w14:paraId="5A1DD3D7">
      <w:pPr>
        <w:ind w:firstLine="420" w:firstLineChars="200"/>
      </w:pPr>
      <w:r>
        <w:rPr>
          <w:rFonts w:hint="eastAsia"/>
        </w:rPr>
        <w:t>（2）支持电子信息产业和新能源汽车产业发展和应用推广，促进重点产业发展壮大；</w:t>
      </w:r>
    </w:p>
    <w:p w14:paraId="69102FE5">
      <w:pPr>
        <w:ind w:firstLine="420" w:firstLineChars="200"/>
      </w:pPr>
      <w:r>
        <w:rPr>
          <w:rFonts w:hint="eastAsia"/>
        </w:rPr>
        <w:t>（3）支持鞋业、服装业改造提升、技术研发、平台建设、品牌创建、宣传推广、人才培训等，推进鞋业转型升级，提升产业发展水平；</w:t>
      </w:r>
    </w:p>
    <w:p w14:paraId="2182568F">
      <w:pPr>
        <w:ind w:firstLine="420" w:firstLineChars="200"/>
      </w:pPr>
      <w:r>
        <w:rPr>
          <w:rFonts w:hint="eastAsia"/>
        </w:rPr>
        <w:t>（4）支持节能、清洁生产和循环经济发展，促进资源节约利用；</w:t>
      </w:r>
    </w:p>
    <w:p w14:paraId="1C797781">
      <w:pPr>
        <w:ind w:firstLine="420" w:firstLineChars="200"/>
      </w:pPr>
      <w:r>
        <w:rPr>
          <w:rFonts w:hint="eastAsia"/>
        </w:rPr>
        <w:t>（5）支持工业化和信息化深度融合，推进信息经济加快发展；</w:t>
      </w:r>
    </w:p>
    <w:p w14:paraId="536917B1">
      <w:pPr>
        <w:ind w:firstLine="420" w:firstLineChars="200"/>
      </w:pPr>
      <w:r>
        <w:rPr>
          <w:rFonts w:hint="eastAsia"/>
        </w:rPr>
        <w:t>（6）扶持现代物流业，促进物流业发展；</w:t>
      </w:r>
    </w:p>
    <w:p w14:paraId="57BEF2C2">
      <w:pPr>
        <w:ind w:firstLine="420" w:firstLineChars="200"/>
      </w:pPr>
      <w:r>
        <w:rPr>
          <w:rFonts w:hint="eastAsia"/>
        </w:rPr>
        <w:t>（7）集中财力培育行业公共平台，在鞋业、工艺美术、数字家庭示范村等重点产业建设中扶持公共平台建设；</w:t>
      </w:r>
    </w:p>
    <w:p w14:paraId="2E7C8851">
      <w:pPr>
        <w:ind w:firstLine="420" w:firstLineChars="200"/>
      </w:pPr>
      <w:r>
        <w:rPr>
          <w:rFonts w:hint="eastAsia"/>
        </w:rPr>
        <w:t>（8）资产开展检测评估、课题研究、规划设计、标准制定等优化工业和信息化发展环境的项目。</w:t>
      </w:r>
    </w:p>
    <w:p w14:paraId="2623F6E2">
      <w:pPr>
        <w:ind w:firstLine="420" w:firstLineChars="200"/>
      </w:pPr>
      <w:r>
        <w:rPr>
          <w:rFonts w:hint="eastAsia"/>
        </w:rPr>
        <w:t>（二）项目实施情况</w:t>
      </w:r>
      <w:bookmarkEnd w:id="28"/>
      <w:bookmarkEnd w:id="29"/>
      <w:bookmarkEnd w:id="30"/>
    </w:p>
    <w:p w14:paraId="110ECBD4">
      <w:pPr>
        <w:ind w:firstLine="420" w:firstLineChars="200"/>
      </w:pPr>
      <w:r>
        <w:rPr>
          <w:rFonts w:hint="eastAsia"/>
        </w:rPr>
        <w:t>项目实施的情况。2020年安排工业发展专项资金6583万元，其中：鞋业转型升级2749.5万元；鞋业生产能力改造提升补助、企业技术中心认定等1720万元；复工复产企业奖励、补助资金，新能源汽车应用推广补助等2113.5万元。</w:t>
      </w:r>
    </w:p>
    <w:p w14:paraId="2CDC401D">
      <w:pPr>
        <w:ind w:firstLine="420" w:firstLineChars="200"/>
      </w:pPr>
      <w:r>
        <w:rPr>
          <w:rFonts w:hint="eastAsia"/>
        </w:rPr>
        <w:t>项目资金投向。根据《中共莆田市委莆田市人民政府关于加快工业发展的若干意见》（莆委发〔2008〕15号），下达工业发展专项资金6583万元，其中：鞋业转型升级2749.5万元；鞋业生产能力改造提升补助、企业技术中心认定等1720万元；复工复产企业奖励、补助资金，新能源汽车应用推广补助等2113.5万元。</w:t>
      </w:r>
    </w:p>
    <w:p w14:paraId="4DD1B233">
      <w:pPr>
        <w:ind w:firstLine="420" w:firstLineChars="200"/>
      </w:pPr>
      <w:r>
        <w:rPr>
          <w:rFonts w:hint="eastAsia"/>
        </w:rPr>
        <w:t>项目开始时间。2018年3月15日，市财政局和市经信委联合制定了《莆田市市级工业科技发展专项资金管理办法》（莆财企〔2018〕26号），为规范市级工业科技发展专项资金的管理，提高资金使用效益。</w:t>
      </w:r>
    </w:p>
    <w:p w14:paraId="1D097F49">
      <w:pPr>
        <w:ind w:firstLine="420" w:firstLineChars="200"/>
      </w:pPr>
      <w:bookmarkStart w:id="31" w:name="_Toc914"/>
      <w:bookmarkStart w:id="32" w:name="_Toc9057"/>
      <w:bookmarkStart w:id="33" w:name="_Toc1442"/>
      <w:bookmarkStart w:id="34" w:name="_Toc19987"/>
      <w:bookmarkStart w:id="35" w:name="_Toc515964273"/>
      <w:r>
        <w:rPr>
          <w:rFonts w:hint="eastAsia"/>
        </w:rPr>
        <w:t>项目资金来源和使用情况</w:t>
      </w:r>
      <w:bookmarkEnd w:id="31"/>
      <w:bookmarkEnd w:id="32"/>
      <w:bookmarkEnd w:id="33"/>
      <w:bookmarkEnd w:id="34"/>
    </w:p>
    <w:p w14:paraId="33ED09DF">
      <w:pPr>
        <w:ind w:firstLine="420" w:firstLineChars="200"/>
      </w:pPr>
      <w:r>
        <w:rPr>
          <w:rFonts w:hint="eastAsia"/>
        </w:rPr>
        <w:t>2020年度工业发展专项资金项目支出年初预算安排8000万元，因疫情影响，调整1413万元为抗疫国债资金，故工业发展专项资金预算安排6583万元，具体如下：</w:t>
      </w:r>
    </w:p>
    <w:p w14:paraId="338E6C8A">
      <w:pPr>
        <w:ind w:firstLine="420" w:firstLineChars="200"/>
      </w:pPr>
      <w:r>
        <w:rPr>
          <w:rFonts w:hint="eastAsia"/>
        </w:rPr>
        <w:t>根据《中共莆田市委莆田市人民政府关于加快工业发展的若干意见》（莆委发〔2008〕15号），下达工业发展专项资金6583万元，其中：鞋业转型升级2749.5万元；鞋业生产能力改造提升补助、企业技术中心认定等1720万元；复工复产企业奖励、补助资金，新能源汽车应用推广补助等2113.5万元。</w:t>
      </w:r>
    </w:p>
    <w:p w14:paraId="405A7C03">
      <w:pPr>
        <w:ind w:firstLine="420" w:firstLineChars="200"/>
      </w:pPr>
      <w:bookmarkStart w:id="36" w:name="_Toc5647"/>
      <w:bookmarkStart w:id="37" w:name="_Toc5754"/>
      <w:bookmarkStart w:id="38" w:name="_Toc20238"/>
      <w:r>
        <w:rPr>
          <w:rFonts w:hint="eastAsia"/>
        </w:rPr>
        <w:t>（四）项目绩效目标</w:t>
      </w:r>
      <w:bookmarkEnd w:id="36"/>
      <w:bookmarkEnd w:id="37"/>
      <w:bookmarkEnd w:id="38"/>
    </w:p>
    <w:p w14:paraId="241C2DC3">
      <w:pPr>
        <w:ind w:firstLine="420" w:firstLineChars="200"/>
      </w:pPr>
      <w:r>
        <w:rPr>
          <w:rFonts w:hint="eastAsia"/>
        </w:rPr>
        <w:t>通过财政补助，加快工业发展建设，确保2020年底全市实施成本目标鞋业转型升级项目补助额不超过3000万元，企业技术设备改造项目补助不超过1600万元、两节稳定运行奖励资金不超过450万元、其他需要兑现的工业资金不超过850万元；数量目标企业技术改造项目10个、实施鞋业转型升级18个、补助平台经济项目1个。</w:t>
      </w:r>
    </w:p>
    <w:bookmarkEnd w:id="23"/>
    <w:bookmarkEnd w:id="24"/>
    <w:bookmarkEnd w:id="25"/>
    <w:bookmarkEnd w:id="26"/>
    <w:bookmarkEnd w:id="27"/>
    <w:bookmarkEnd w:id="35"/>
    <w:p w14:paraId="776B0CBC">
      <w:pPr>
        <w:ind w:firstLine="420" w:firstLineChars="200"/>
        <w:outlineLvl w:val="0"/>
      </w:pPr>
      <w:bookmarkStart w:id="39" w:name="_Toc17845"/>
      <w:bookmarkStart w:id="40" w:name="_Toc10782"/>
      <w:bookmarkStart w:id="41" w:name="_Toc20145"/>
      <w:bookmarkStart w:id="42" w:name="_Toc2960"/>
      <w:bookmarkStart w:id="43" w:name="_Toc19624"/>
      <w:bookmarkStart w:id="44" w:name="_Toc985"/>
      <w:bookmarkStart w:id="45" w:name="_Toc4480"/>
      <w:bookmarkStart w:id="46" w:name="_Toc263436242"/>
      <w:r>
        <w:rPr>
          <w:rFonts w:hint="eastAsia"/>
        </w:rPr>
        <w:t>二、绩效评价的组织实施情况</w:t>
      </w:r>
      <w:bookmarkEnd w:id="39"/>
      <w:bookmarkEnd w:id="40"/>
      <w:bookmarkEnd w:id="41"/>
      <w:bookmarkEnd w:id="42"/>
      <w:bookmarkEnd w:id="43"/>
      <w:bookmarkEnd w:id="44"/>
      <w:bookmarkEnd w:id="45"/>
    </w:p>
    <w:p w14:paraId="6D8BA0B8">
      <w:pPr>
        <w:ind w:firstLine="420" w:firstLineChars="200"/>
      </w:pPr>
      <w:bookmarkStart w:id="47" w:name="_Toc6180"/>
      <w:bookmarkStart w:id="48" w:name="_Toc2225"/>
      <w:bookmarkStart w:id="49" w:name="_Toc2034"/>
      <w:r>
        <w:rPr>
          <w:rFonts w:hint="eastAsia"/>
        </w:rPr>
        <w:t>（一）绩效评价目的</w:t>
      </w:r>
      <w:bookmarkEnd w:id="47"/>
      <w:bookmarkEnd w:id="48"/>
      <w:bookmarkEnd w:id="49"/>
    </w:p>
    <w:p w14:paraId="00EC9519">
      <w:pPr>
        <w:ind w:firstLine="420" w:firstLineChars="200"/>
      </w:pPr>
      <w:r>
        <w:rPr>
          <w:rFonts w:hint="eastAsia"/>
        </w:rPr>
        <w:t>调研莆田市工业发展专项资金支出情况，拟定莆田市2020年度工业发展专项资金绩效评价指标体系，评价莆田市2020年度工业发展专项资金绩效目标完成情况，剖析莆田市工业发展专项资金在预算、管理及项目实施过程中存在的问题，并探究其可能的原因，最后提出相应的解决对策，为提优化莆田市工业发展专项资金的使用效果提供参考依据。</w:t>
      </w:r>
    </w:p>
    <w:bookmarkEnd w:id="46"/>
    <w:p w14:paraId="3DFD384F">
      <w:pPr>
        <w:ind w:firstLine="420" w:firstLineChars="200"/>
      </w:pPr>
      <w:bookmarkStart w:id="50" w:name="_Toc30389"/>
      <w:bookmarkStart w:id="51" w:name="_Toc24721"/>
      <w:bookmarkStart w:id="52" w:name="_Toc515964274"/>
      <w:bookmarkStart w:id="53" w:name="_Toc22155"/>
      <w:bookmarkStart w:id="54" w:name="_Toc11982"/>
      <w:bookmarkStart w:id="55" w:name="_Toc21539"/>
      <w:r>
        <w:rPr>
          <w:rFonts w:hint="eastAsia"/>
        </w:rPr>
        <w:t>（二）绩效评价实施过程</w:t>
      </w:r>
      <w:bookmarkEnd w:id="50"/>
      <w:bookmarkEnd w:id="51"/>
      <w:bookmarkEnd w:id="52"/>
      <w:bookmarkEnd w:id="53"/>
      <w:bookmarkEnd w:id="54"/>
      <w:bookmarkEnd w:id="55"/>
    </w:p>
    <w:p w14:paraId="3DB44520">
      <w:pPr>
        <w:ind w:firstLine="420" w:firstLineChars="200"/>
      </w:pPr>
      <w:r>
        <w:rPr>
          <w:rFonts w:hint="eastAsia"/>
        </w:rPr>
        <w:t>莆田市2020年度工业发展专项资金绩效评价工作包括六个阶段：</w:t>
      </w:r>
    </w:p>
    <w:p w14:paraId="4C22D994">
      <w:pPr>
        <w:ind w:firstLine="420" w:firstLineChars="200"/>
      </w:pPr>
      <w:r>
        <w:rPr>
          <w:rFonts w:hint="eastAsia"/>
        </w:rPr>
        <w:t>第一阶段：成立评价工作小组。莆田学院财政绩效管理研究中心根据项目实际情况，结合评价人员专业特长、专业素养和工作需要，确定评价工作小组的成员构成和分工，成立评价小组，负责拟定评价工作方案和评价工作的具体实施。</w:t>
      </w:r>
    </w:p>
    <w:p w14:paraId="64A453B2">
      <w:pPr>
        <w:ind w:firstLine="420" w:firstLineChars="200"/>
      </w:pPr>
      <w:r>
        <w:rPr>
          <w:rFonts w:hint="eastAsia"/>
        </w:rPr>
        <w:t>第二阶段：制定绩效评价方案，评价小组根据评价项目的性质和特点，就评价指标体系和评价工作的组织实施等拟定绩效评价工作方案，为评价实施提供工作指引和具体安排。</w:t>
      </w:r>
    </w:p>
    <w:p w14:paraId="7A9A3C54">
      <w:pPr>
        <w:ind w:firstLine="420" w:firstLineChars="200"/>
      </w:pPr>
      <w:r>
        <w:rPr>
          <w:rFonts w:hint="eastAsia"/>
        </w:rPr>
        <w:t>第三阶段：收集绩效评价相关材料。评价工作小组根据评价对象的特点和评价内容及工作需要，分赴项目资金使用单位及其财政管理部门，收集绩效评价相关材料。</w:t>
      </w:r>
    </w:p>
    <w:p w14:paraId="2181AAF6">
      <w:pPr>
        <w:ind w:firstLine="420" w:firstLineChars="200"/>
      </w:pPr>
      <w:r>
        <w:rPr>
          <w:rFonts w:hint="eastAsia"/>
        </w:rPr>
        <w:t>第四阶段：审核相关评价材料。评价小组根据所取得的相关材料，采用恰当的评价指标体系、评价标准和评价方法，对评价对象绩效目标实施程度等绩效情况进行全面分析和综合评价，形成初步评价结论。</w:t>
      </w:r>
    </w:p>
    <w:p w14:paraId="257138C6">
      <w:pPr>
        <w:ind w:firstLine="420" w:firstLineChars="200"/>
      </w:pPr>
      <w:r>
        <w:rPr>
          <w:rFonts w:hint="eastAsia"/>
        </w:rPr>
        <w:t>第五阶段：撰写绩效评价报告。根据评价小组评价结论等相关材料，归纳问题，分析原因，提出对策，形成并提交评价报告。</w:t>
      </w:r>
    </w:p>
    <w:p w14:paraId="00EDB262">
      <w:pPr>
        <w:ind w:firstLine="420" w:firstLineChars="200"/>
      </w:pPr>
      <w:r>
        <w:rPr>
          <w:rFonts w:hint="eastAsia"/>
        </w:rPr>
        <w:t>第六阶段：建立绩效评价档案。评价小组完成绩效评价工作后，根据评价工作路径，整理、保管工作底稿和评价有关资料，建立绩效评价档案并移交给相关部门。</w:t>
      </w:r>
    </w:p>
    <w:p w14:paraId="498D8EAF">
      <w:pPr>
        <w:ind w:firstLine="420" w:firstLineChars="200"/>
      </w:pPr>
      <w:bookmarkStart w:id="56" w:name="_Toc21519"/>
      <w:bookmarkStart w:id="57" w:name="_Toc23812"/>
      <w:bookmarkStart w:id="58" w:name="_Toc190"/>
      <w:bookmarkStart w:id="59" w:name="_Toc22222"/>
      <w:bookmarkStart w:id="60" w:name="_Toc19248"/>
      <w:r>
        <w:rPr>
          <w:rFonts w:hint="eastAsia"/>
        </w:rPr>
        <w:t>（三）绩效评价依据</w:t>
      </w:r>
      <w:bookmarkEnd w:id="56"/>
      <w:bookmarkEnd w:id="57"/>
      <w:r>
        <w:rPr>
          <w:rFonts w:hint="eastAsia"/>
        </w:rPr>
        <w:t>及原则</w:t>
      </w:r>
      <w:bookmarkEnd w:id="58"/>
      <w:bookmarkEnd w:id="59"/>
      <w:bookmarkEnd w:id="60"/>
    </w:p>
    <w:p w14:paraId="4C87050B">
      <w:pPr>
        <w:ind w:firstLine="420" w:firstLineChars="200"/>
      </w:pPr>
      <w:r>
        <w:rPr>
          <w:rFonts w:hint="eastAsia"/>
        </w:rPr>
        <w:t>依据中共莆田市委、市政府《关于全面实施预算绩效管理的实施意见》（莆委发〔2019〕2号）和《项目支出绩效评价管理办法》（莆财绩〔2020〕2号）的相关规定，按照《莆田市财政局关于开展2020年度预算项目和部门整体支出绩效财政评价的通知》（莆财绩函〔2021〕14号）的文件要求，遵循“科学性、规范性、客观性和公正性”的原则。</w:t>
      </w:r>
    </w:p>
    <w:p w14:paraId="67108C2F">
      <w:pPr>
        <w:ind w:firstLine="420" w:firstLineChars="200"/>
        <w:outlineLvl w:val="0"/>
      </w:pPr>
      <w:bookmarkStart w:id="61" w:name="_Toc1351"/>
      <w:bookmarkStart w:id="62" w:name="_Toc10737"/>
      <w:bookmarkStart w:id="63" w:name="_Toc10747"/>
      <w:bookmarkStart w:id="64" w:name="_Toc1527"/>
      <w:bookmarkStart w:id="65" w:name="_Toc1861"/>
      <w:bookmarkStart w:id="66" w:name="_Toc22042"/>
      <w:r>
        <w:rPr>
          <w:rFonts w:hint="eastAsia"/>
        </w:rPr>
        <w:t>三、</w:t>
      </w:r>
      <w:bookmarkStart w:id="67" w:name="_Toc1924"/>
      <w:r>
        <w:rPr>
          <w:rFonts w:hint="eastAsia"/>
        </w:rPr>
        <w:t>项目</w:t>
      </w:r>
      <w:bookmarkEnd w:id="67"/>
      <w:r>
        <w:rPr>
          <w:rFonts w:hint="eastAsia"/>
        </w:rPr>
        <w:t>绩效评价指标体系、评价标准和评价方法</w:t>
      </w:r>
      <w:bookmarkEnd w:id="61"/>
      <w:bookmarkEnd w:id="62"/>
      <w:bookmarkEnd w:id="63"/>
      <w:bookmarkEnd w:id="64"/>
      <w:bookmarkEnd w:id="65"/>
      <w:bookmarkEnd w:id="66"/>
    </w:p>
    <w:p w14:paraId="082A8B2C">
      <w:pPr>
        <w:ind w:firstLine="420" w:firstLineChars="200"/>
      </w:pPr>
      <w:bookmarkStart w:id="68" w:name="_Toc15451"/>
      <w:bookmarkStart w:id="69" w:name="_Toc14346"/>
      <w:bookmarkStart w:id="70" w:name="_Toc20890"/>
      <w:bookmarkStart w:id="71" w:name="_Toc29460"/>
      <w:r>
        <w:rPr>
          <w:rFonts w:hint="eastAsia"/>
        </w:rPr>
        <w:t>（一）绩效评价指标体系的设定原则及具体内容</w:t>
      </w:r>
      <w:bookmarkEnd w:id="68"/>
      <w:bookmarkEnd w:id="69"/>
      <w:bookmarkEnd w:id="70"/>
      <w:bookmarkEnd w:id="71"/>
    </w:p>
    <w:p w14:paraId="4584F6A7">
      <w:pPr>
        <w:ind w:firstLine="420" w:firstLineChars="200"/>
      </w:pPr>
      <w:r>
        <w:rPr>
          <w:rFonts w:hint="eastAsia"/>
        </w:rPr>
        <w:t>1.服务大局：为深入贯彻落实科学发展观，加快产业结构优化升级，促进经济增长方式转变，推进新型工业化进程，根据《中共莆田市委 莆田市人民政府关于加快工业发展的若干意见》，坚持稳中求进工作总基调，坚持新发展理念，坚持以供给侧结构性改革为主线，紧扣“突出开放招商、强化项目带动”中心任务，强化招商、聚焦项目、提升服务、优化平台、稳定增长，以扎实的工作成效推动高质量发展落实赶超，确保全市工业和信息化工作保持健康发展，为全面建成小康社会和“十三五”规划圆满收官提供支撑和保障；</w:t>
      </w:r>
    </w:p>
    <w:p w14:paraId="38C50533">
      <w:pPr>
        <w:ind w:firstLine="420" w:firstLineChars="200"/>
      </w:pPr>
      <w:r>
        <w:rPr>
          <w:rFonts w:hint="eastAsia"/>
        </w:rPr>
        <w:t>2.规范实施：按照《文件名称》等文件的规定，以及财政部门关于2020年部门预算批复的有关要求，规范开展工作；</w:t>
      </w:r>
    </w:p>
    <w:p w14:paraId="6D159EE6">
      <w:pPr>
        <w:ind w:firstLine="420" w:firstLineChars="200"/>
      </w:pPr>
      <w:r>
        <w:rPr>
          <w:rFonts w:hint="eastAsia"/>
        </w:rPr>
        <w:t>3.科学客观：紧密围绕工业发展专项资金战略定位和目标，制定符合工业发展专项资金特点的绩效评价指标；采用科学方法进行调查分析，实事求是工业发展专项资金的绩效；尊重第三方评估机构评价的独立性，客观得出评价结论。不断优化完善绩效评价指标，为全面开展工业发展专项资金绩效评价工作奠定良好基础；</w:t>
      </w:r>
    </w:p>
    <w:p w14:paraId="74BE0A9D">
      <w:pPr>
        <w:ind w:firstLine="420" w:firstLineChars="200"/>
      </w:pPr>
      <w:r>
        <w:rPr>
          <w:rFonts w:hint="eastAsia"/>
        </w:rPr>
        <w:t>4.高效透明：结合现有项目管理流程和管理机制，充分利用已有信息，以抽样访谈调研评价等措施，建立常态化、高效率的工业发展专项资金绩效评价工作机制；</w:t>
      </w:r>
    </w:p>
    <w:p w14:paraId="3CCFCD94">
      <w:pPr>
        <w:ind w:firstLine="420" w:firstLineChars="200"/>
      </w:pPr>
      <w:r>
        <w:rPr>
          <w:rFonts w:hint="eastAsia"/>
        </w:rPr>
        <w:t>5.注重实效：切实发挥绩效评价在支持工业发展专项资金决策、优化项目管理流程、提高管理服务质量等方面的作用，不断提升工业发展专项资金资助与管理的绩效水平。</w:t>
      </w:r>
    </w:p>
    <w:p w14:paraId="13CBE451">
      <w:pPr>
        <w:ind w:firstLine="420" w:firstLineChars="200"/>
      </w:pPr>
      <w:bookmarkStart w:id="72" w:name="_Toc1293"/>
      <w:bookmarkStart w:id="73" w:name="_Toc2590"/>
      <w:bookmarkStart w:id="74" w:name="_Toc497"/>
      <w:bookmarkStart w:id="75" w:name="_Toc14371"/>
      <w:r>
        <w:rPr>
          <w:rFonts w:hint="eastAsia"/>
        </w:rPr>
        <w:t>（二）项目绩效评价的具体标准及评价的具体方法</w:t>
      </w:r>
      <w:bookmarkEnd w:id="72"/>
      <w:bookmarkEnd w:id="73"/>
      <w:bookmarkEnd w:id="74"/>
      <w:bookmarkEnd w:id="75"/>
    </w:p>
    <w:p w14:paraId="1EF06D8D">
      <w:pPr>
        <w:ind w:firstLine="420" w:firstLineChars="200"/>
      </w:pPr>
      <w:r>
        <w:rPr>
          <w:rFonts w:hint="eastAsia"/>
        </w:rPr>
        <w:t>项目绩效评价工作小组根据莆田市财政局绩效评价管理办法的要求，依据相关性、重要性、可比性、系统性及经济性原则，参考2020年莆田市工业发展专项资金绩效评价自评表和项目绩效监控情况，围绕绩效目标项目决策、项目管理和项目绩效等三个方面设计绩效评价指标以及评分标准、分值和权重。指标体系共设置3个一级指标、9个二级指标、27个三级指标。指标体系按满分100分设定，其中“项目决策”20分，主要体现项目立项的合理性和项目资金落实；“项目管理”20分，主要体现财务管理和业务管理；“项目绩效”60分，主要体现项目数量指标、质量指标、成本指标、社会效益指标和服务对象满意度指标。基于第三方评价的特点和要求，指标设置和评分标准力求可行性、客观性、科学性与简明性。具体指标体系和评分标准如表2所示。</w:t>
      </w:r>
    </w:p>
    <w:p w14:paraId="6D65BB3D">
      <w:pPr>
        <w:ind w:firstLine="420" w:firstLineChars="200"/>
      </w:pPr>
      <w:r>
        <w:rPr>
          <w:rFonts w:hint="eastAsia"/>
        </w:rPr>
        <w:t>表2  2020年度工业发展专项资金绩效评价指标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097"/>
        <w:gridCol w:w="1304"/>
        <w:gridCol w:w="3015"/>
        <w:gridCol w:w="2980"/>
      </w:tblGrid>
      <w:tr w14:paraId="4BCD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blHeader/>
        </w:trPr>
        <w:tc>
          <w:tcPr>
            <w:tcW w:w="9571" w:type="dxa"/>
            <w:gridSpan w:val="5"/>
            <w:vAlign w:val="center"/>
          </w:tcPr>
          <w:p w14:paraId="15991C60">
            <w:pPr>
              <w:spacing w:line="240" w:lineRule="exact"/>
              <w:jc w:val="center"/>
            </w:pPr>
            <w:r>
              <w:t>20</w:t>
            </w:r>
            <w:r>
              <w:rPr>
                <w:rFonts w:hint="eastAsia"/>
              </w:rPr>
              <w:t>20年度工业发展专项资金绩效评价指标体系</w:t>
            </w:r>
          </w:p>
        </w:tc>
      </w:tr>
      <w:tr w14:paraId="6B31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blHeader/>
        </w:trPr>
        <w:tc>
          <w:tcPr>
            <w:tcW w:w="1175" w:type="dxa"/>
            <w:vAlign w:val="center"/>
          </w:tcPr>
          <w:p w14:paraId="6283E2E1">
            <w:pPr>
              <w:spacing w:line="240" w:lineRule="exact"/>
              <w:jc w:val="center"/>
            </w:pPr>
            <w:r>
              <w:rPr>
                <w:rFonts w:hint="eastAsia"/>
              </w:rPr>
              <w:t>一级指标</w:t>
            </w:r>
          </w:p>
        </w:tc>
        <w:tc>
          <w:tcPr>
            <w:tcW w:w="1097" w:type="dxa"/>
            <w:vAlign w:val="center"/>
          </w:tcPr>
          <w:p w14:paraId="2512EDA4">
            <w:pPr>
              <w:spacing w:line="240" w:lineRule="exact"/>
            </w:pPr>
            <w:r>
              <w:rPr>
                <w:rFonts w:hint="eastAsia"/>
              </w:rPr>
              <w:t>二级指标</w:t>
            </w:r>
          </w:p>
        </w:tc>
        <w:tc>
          <w:tcPr>
            <w:tcW w:w="1304" w:type="dxa"/>
            <w:vAlign w:val="center"/>
          </w:tcPr>
          <w:p w14:paraId="1CE66BF1">
            <w:pPr>
              <w:spacing w:line="240" w:lineRule="exact"/>
            </w:pPr>
            <w:r>
              <w:rPr>
                <w:rFonts w:hint="eastAsia"/>
              </w:rPr>
              <w:t>三级指标</w:t>
            </w:r>
          </w:p>
        </w:tc>
        <w:tc>
          <w:tcPr>
            <w:tcW w:w="3015" w:type="dxa"/>
            <w:vAlign w:val="center"/>
          </w:tcPr>
          <w:p w14:paraId="59BD28B5">
            <w:pPr>
              <w:spacing w:line="240" w:lineRule="exact"/>
            </w:pPr>
            <w:r>
              <w:rPr>
                <w:rFonts w:hint="eastAsia"/>
              </w:rPr>
              <w:t>指标说明</w:t>
            </w:r>
          </w:p>
        </w:tc>
        <w:tc>
          <w:tcPr>
            <w:tcW w:w="2980" w:type="dxa"/>
            <w:vAlign w:val="center"/>
          </w:tcPr>
          <w:p w14:paraId="2EEDB07A">
            <w:pPr>
              <w:spacing w:line="240" w:lineRule="exact"/>
            </w:pPr>
            <w:r>
              <w:rPr>
                <w:rFonts w:hint="eastAsia"/>
              </w:rPr>
              <w:t>评分标准</w:t>
            </w:r>
          </w:p>
        </w:tc>
      </w:tr>
      <w:tr w14:paraId="48E0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restart"/>
            <w:vAlign w:val="center"/>
          </w:tcPr>
          <w:p w14:paraId="669D989C">
            <w:pPr>
              <w:spacing w:line="240" w:lineRule="exact"/>
              <w:ind w:firstLine="420" w:firstLineChars="200"/>
            </w:pPr>
            <w:bookmarkStart w:id="76" w:name="_Toc39601310"/>
            <w:r>
              <w:rPr>
                <w:rFonts w:hint="eastAsia"/>
              </w:rPr>
              <w:t>项目决策</w:t>
            </w:r>
            <w:bookmarkEnd w:id="76"/>
          </w:p>
          <w:p w14:paraId="7DD004FF">
            <w:pPr>
              <w:spacing w:line="240" w:lineRule="exact"/>
              <w:ind w:firstLine="420" w:firstLineChars="200"/>
            </w:pPr>
            <w:r>
              <w:rPr>
                <w:rFonts w:hint="eastAsia"/>
              </w:rPr>
              <w:t>20分</w:t>
            </w:r>
          </w:p>
        </w:tc>
        <w:tc>
          <w:tcPr>
            <w:tcW w:w="1097" w:type="dxa"/>
            <w:vMerge w:val="restart"/>
            <w:vAlign w:val="center"/>
          </w:tcPr>
          <w:p w14:paraId="1CA9E456">
            <w:pPr>
              <w:spacing w:line="240" w:lineRule="exact"/>
            </w:pPr>
            <w:bookmarkStart w:id="77" w:name="_Toc39601311"/>
            <w:r>
              <w:rPr>
                <w:rFonts w:hint="eastAsia"/>
              </w:rPr>
              <w:t>立项合理性</w:t>
            </w:r>
            <w:bookmarkEnd w:id="77"/>
            <w:r>
              <w:rPr>
                <w:rFonts w:hint="eastAsia"/>
              </w:rPr>
              <w:t>10分</w:t>
            </w:r>
          </w:p>
        </w:tc>
        <w:tc>
          <w:tcPr>
            <w:tcW w:w="1304" w:type="dxa"/>
            <w:vAlign w:val="center"/>
          </w:tcPr>
          <w:p w14:paraId="0BC7E5CC">
            <w:pPr>
              <w:spacing w:line="240" w:lineRule="exact"/>
              <w:ind w:firstLine="420" w:firstLineChars="200"/>
            </w:pPr>
            <w:r>
              <w:rPr>
                <w:rFonts w:hint="eastAsia"/>
              </w:rPr>
              <w:t>项目立项的</w:t>
            </w:r>
          </w:p>
          <w:p w14:paraId="161B8B7F">
            <w:pPr>
              <w:spacing w:line="240" w:lineRule="exact"/>
              <w:ind w:firstLine="420" w:firstLineChars="200"/>
            </w:pPr>
            <w:r>
              <w:rPr>
                <w:rFonts w:hint="eastAsia"/>
              </w:rPr>
              <w:t>规范性</w:t>
            </w:r>
          </w:p>
        </w:tc>
        <w:tc>
          <w:tcPr>
            <w:tcW w:w="3015" w:type="dxa"/>
            <w:vAlign w:val="center"/>
          </w:tcPr>
          <w:p w14:paraId="669047A1">
            <w:pPr>
              <w:spacing w:line="240" w:lineRule="exact"/>
            </w:pPr>
            <w:bookmarkStart w:id="78" w:name="_Toc39601312"/>
            <w:r>
              <w:rPr>
                <w:rFonts w:hint="eastAsia"/>
              </w:rPr>
              <w:t>项目的申请、实施过程是否符合相关要求，立项资料是否齐全，用以反映和考核项目立项的规范情况。</w:t>
            </w:r>
            <w:bookmarkEnd w:id="78"/>
          </w:p>
        </w:tc>
        <w:tc>
          <w:tcPr>
            <w:tcW w:w="2980" w:type="dxa"/>
            <w:vAlign w:val="center"/>
          </w:tcPr>
          <w:p w14:paraId="7CB30A95">
            <w:pPr>
              <w:spacing w:line="240" w:lineRule="exact"/>
              <w:ind w:firstLine="420" w:firstLineChars="200"/>
            </w:pPr>
            <w:r>
              <w:rPr>
                <w:rFonts w:hint="eastAsia"/>
              </w:rPr>
              <w:t>①项目是否按照规定的程序申请立项；</w:t>
            </w:r>
          </w:p>
          <w:p w14:paraId="22039F1F">
            <w:pPr>
              <w:spacing w:line="240" w:lineRule="exact"/>
              <w:ind w:firstLine="420" w:firstLineChars="200"/>
            </w:pPr>
            <w:r>
              <w:rPr>
                <w:rFonts w:hint="eastAsia"/>
              </w:rPr>
              <w:t>②申报项目是否合理；</w:t>
            </w:r>
          </w:p>
          <w:p w14:paraId="117C1F03">
            <w:pPr>
              <w:spacing w:line="240" w:lineRule="exact"/>
              <w:ind w:firstLine="420" w:firstLineChars="200"/>
            </w:pPr>
            <w:r>
              <w:rPr>
                <w:rFonts w:hint="eastAsia"/>
              </w:rPr>
              <w:t>③项目实施过程是否制定实施意见。</w:t>
            </w:r>
          </w:p>
          <w:p w14:paraId="2A5362D7">
            <w:pPr>
              <w:spacing w:line="240" w:lineRule="exact"/>
              <w:ind w:firstLine="420" w:firstLineChars="200"/>
            </w:pPr>
            <w:r>
              <w:rPr>
                <w:rFonts w:hint="eastAsia"/>
              </w:rPr>
              <w:t>符合要求得3分，不符合要求，一项扣1分，扣完为止</w:t>
            </w:r>
          </w:p>
        </w:tc>
      </w:tr>
      <w:tr w14:paraId="42BA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14:paraId="0CF03D17">
            <w:pPr>
              <w:spacing w:line="240" w:lineRule="exact"/>
            </w:pPr>
          </w:p>
        </w:tc>
        <w:tc>
          <w:tcPr>
            <w:tcW w:w="1097" w:type="dxa"/>
            <w:vMerge w:val="continue"/>
            <w:vAlign w:val="center"/>
          </w:tcPr>
          <w:p w14:paraId="69AC2F5B">
            <w:pPr>
              <w:spacing w:line="240" w:lineRule="exact"/>
            </w:pPr>
          </w:p>
        </w:tc>
        <w:tc>
          <w:tcPr>
            <w:tcW w:w="1304" w:type="dxa"/>
            <w:vAlign w:val="center"/>
          </w:tcPr>
          <w:p w14:paraId="3D76285B">
            <w:pPr>
              <w:spacing w:line="240" w:lineRule="exact"/>
              <w:ind w:firstLine="420" w:firstLineChars="200"/>
            </w:pPr>
            <w:r>
              <w:rPr>
                <w:rFonts w:hint="eastAsia"/>
              </w:rPr>
              <w:t>立项依据的</w:t>
            </w:r>
          </w:p>
          <w:p w14:paraId="2DA3400C">
            <w:pPr>
              <w:spacing w:line="240" w:lineRule="exact"/>
              <w:ind w:firstLine="420" w:firstLineChars="200"/>
            </w:pPr>
            <w:r>
              <w:rPr>
                <w:rFonts w:hint="eastAsia"/>
              </w:rPr>
              <w:t>充分性</w:t>
            </w:r>
          </w:p>
        </w:tc>
        <w:tc>
          <w:tcPr>
            <w:tcW w:w="3015" w:type="dxa"/>
            <w:vAlign w:val="center"/>
          </w:tcPr>
          <w:p w14:paraId="7548F7CE">
            <w:pPr>
              <w:spacing w:line="240" w:lineRule="exact"/>
            </w:pPr>
            <w:bookmarkStart w:id="79" w:name="_Toc39601313"/>
            <w:r>
              <w:rPr>
                <w:rFonts w:hint="eastAsia"/>
              </w:rPr>
              <w:t>项目立项是否有充分的依据。</w:t>
            </w:r>
            <w:bookmarkEnd w:id="79"/>
          </w:p>
        </w:tc>
        <w:tc>
          <w:tcPr>
            <w:tcW w:w="2980" w:type="dxa"/>
            <w:vAlign w:val="center"/>
          </w:tcPr>
          <w:p w14:paraId="09F41EA8">
            <w:pPr>
              <w:spacing w:line="240" w:lineRule="exact"/>
            </w:pPr>
            <w:r>
              <w:rPr>
                <w:rFonts w:hint="eastAsia"/>
              </w:rPr>
              <w:t>符合要求得2分，未达标准此项不得分。</w:t>
            </w:r>
          </w:p>
        </w:tc>
      </w:tr>
      <w:tr w14:paraId="338C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14:paraId="77C5BFF6">
            <w:pPr>
              <w:spacing w:line="240" w:lineRule="exact"/>
            </w:pPr>
          </w:p>
        </w:tc>
        <w:tc>
          <w:tcPr>
            <w:tcW w:w="1097" w:type="dxa"/>
            <w:vMerge w:val="continue"/>
            <w:vAlign w:val="center"/>
          </w:tcPr>
          <w:p w14:paraId="322A414F">
            <w:pPr>
              <w:spacing w:line="240" w:lineRule="exact"/>
            </w:pPr>
          </w:p>
        </w:tc>
        <w:tc>
          <w:tcPr>
            <w:tcW w:w="1304" w:type="dxa"/>
            <w:vAlign w:val="center"/>
          </w:tcPr>
          <w:p w14:paraId="6D28C70B">
            <w:pPr>
              <w:spacing w:line="240" w:lineRule="exact"/>
              <w:ind w:firstLine="420" w:firstLineChars="200"/>
            </w:pPr>
            <w:r>
              <w:rPr>
                <w:rFonts w:hint="eastAsia"/>
              </w:rPr>
              <w:t>绩效目标的</w:t>
            </w:r>
          </w:p>
          <w:p w14:paraId="4FE676F5">
            <w:pPr>
              <w:spacing w:line="240" w:lineRule="exact"/>
              <w:ind w:firstLine="420" w:firstLineChars="200"/>
            </w:pPr>
            <w:r>
              <w:rPr>
                <w:rFonts w:hint="eastAsia"/>
              </w:rPr>
              <w:t>合理性</w:t>
            </w:r>
          </w:p>
        </w:tc>
        <w:tc>
          <w:tcPr>
            <w:tcW w:w="3015" w:type="dxa"/>
            <w:vAlign w:val="center"/>
          </w:tcPr>
          <w:p w14:paraId="7466CB17">
            <w:pPr>
              <w:spacing w:line="240" w:lineRule="exact"/>
            </w:pPr>
            <w:bookmarkStart w:id="80" w:name="_Toc39601314"/>
            <w:r>
              <w:rPr>
                <w:rFonts w:hint="eastAsia"/>
              </w:rPr>
              <w:t>项目所设定的绩效目标是否依据充分，是否符合客观实际，用以反映和考核项目绩效目标与项目实施的相符情况。</w:t>
            </w:r>
            <w:bookmarkEnd w:id="80"/>
          </w:p>
        </w:tc>
        <w:tc>
          <w:tcPr>
            <w:tcW w:w="2980" w:type="dxa"/>
            <w:vAlign w:val="center"/>
          </w:tcPr>
          <w:p w14:paraId="666376B7">
            <w:pPr>
              <w:spacing w:line="240" w:lineRule="exact"/>
              <w:ind w:firstLine="420" w:firstLineChars="200"/>
            </w:pPr>
            <w:r>
              <w:rPr>
                <w:rFonts w:hint="eastAsia"/>
              </w:rPr>
              <w:t>①是否符合国家相关法律法规和党委政府决策；</w:t>
            </w:r>
          </w:p>
          <w:p w14:paraId="30C7823F">
            <w:pPr>
              <w:spacing w:line="240" w:lineRule="exact"/>
              <w:ind w:firstLine="420" w:firstLineChars="200"/>
            </w:pPr>
            <w:r>
              <w:rPr>
                <w:rFonts w:hint="eastAsia"/>
              </w:rPr>
              <w:t>②是否与项目实施单位职责密切相关。</w:t>
            </w:r>
          </w:p>
          <w:p w14:paraId="56AE5902">
            <w:pPr>
              <w:spacing w:line="240" w:lineRule="exact"/>
              <w:ind w:firstLine="420" w:firstLineChars="200"/>
            </w:pPr>
            <w:r>
              <w:rPr>
                <w:rFonts w:hint="eastAsia"/>
              </w:rPr>
              <w:t>符合要求得3分，不符合要求，一项扣1.5分，扣完为止</w:t>
            </w:r>
          </w:p>
        </w:tc>
      </w:tr>
      <w:tr w14:paraId="726E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14:paraId="649E5D67">
            <w:pPr>
              <w:spacing w:line="240" w:lineRule="exact"/>
            </w:pPr>
          </w:p>
        </w:tc>
        <w:tc>
          <w:tcPr>
            <w:tcW w:w="1097" w:type="dxa"/>
            <w:vMerge w:val="continue"/>
            <w:vAlign w:val="center"/>
          </w:tcPr>
          <w:p w14:paraId="1A372BE0">
            <w:pPr>
              <w:spacing w:line="240" w:lineRule="exact"/>
            </w:pPr>
          </w:p>
        </w:tc>
        <w:tc>
          <w:tcPr>
            <w:tcW w:w="1304" w:type="dxa"/>
            <w:vAlign w:val="center"/>
          </w:tcPr>
          <w:p w14:paraId="19316BBB">
            <w:pPr>
              <w:spacing w:line="240" w:lineRule="exact"/>
              <w:ind w:firstLine="420" w:firstLineChars="200"/>
            </w:pPr>
            <w:r>
              <w:rPr>
                <w:rFonts w:hint="eastAsia"/>
              </w:rPr>
              <w:t>绩效指标</w:t>
            </w:r>
          </w:p>
          <w:p w14:paraId="5CD80468">
            <w:pPr>
              <w:spacing w:line="240" w:lineRule="exact"/>
              <w:ind w:firstLine="420" w:firstLineChars="200"/>
            </w:pPr>
            <w:r>
              <w:rPr>
                <w:rFonts w:hint="eastAsia"/>
              </w:rPr>
              <w:t>明确性</w:t>
            </w:r>
          </w:p>
        </w:tc>
        <w:tc>
          <w:tcPr>
            <w:tcW w:w="3015" w:type="dxa"/>
            <w:vAlign w:val="center"/>
          </w:tcPr>
          <w:p w14:paraId="478EE8F4">
            <w:pPr>
              <w:spacing w:line="240" w:lineRule="exact"/>
            </w:pPr>
            <w:bookmarkStart w:id="81" w:name="_Toc39601315"/>
            <w:r>
              <w:rPr>
                <w:rFonts w:hint="eastAsia"/>
              </w:rPr>
              <w:t>依据绩效目标设定的绩效指标是否清晰、细化、可衡量等，用以反映和考核项目绩效目标与项目实施的相符情况。</w:t>
            </w:r>
            <w:bookmarkEnd w:id="81"/>
          </w:p>
        </w:tc>
        <w:tc>
          <w:tcPr>
            <w:tcW w:w="2980" w:type="dxa"/>
            <w:vAlign w:val="center"/>
          </w:tcPr>
          <w:p w14:paraId="60656BC2">
            <w:pPr>
              <w:spacing w:line="240" w:lineRule="exact"/>
              <w:ind w:firstLine="420" w:firstLineChars="200"/>
            </w:pPr>
            <w:r>
              <w:rPr>
                <w:rFonts w:hint="eastAsia"/>
              </w:rPr>
              <w:t>①是否将项目绩效目标细化分解为具体的绩效指标；</w:t>
            </w:r>
          </w:p>
          <w:p w14:paraId="01394900">
            <w:pPr>
              <w:spacing w:line="240" w:lineRule="exact"/>
              <w:ind w:firstLine="420" w:firstLineChars="200"/>
            </w:pPr>
            <w:r>
              <w:rPr>
                <w:rFonts w:hint="eastAsia"/>
              </w:rPr>
              <w:t>②是否与预算确定的资金量相匹配。</w:t>
            </w:r>
          </w:p>
          <w:p w14:paraId="3862BAF2">
            <w:pPr>
              <w:spacing w:line="240" w:lineRule="exact"/>
              <w:ind w:firstLine="420" w:firstLineChars="200"/>
            </w:pPr>
            <w:r>
              <w:rPr>
                <w:rFonts w:hint="eastAsia"/>
              </w:rPr>
              <w:t>符合要求得2分，不符合要求，一项扣1分，扣完为止</w:t>
            </w:r>
          </w:p>
        </w:tc>
      </w:tr>
      <w:tr w14:paraId="3E39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14:paraId="72008944">
            <w:pPr>
              <w:spacing w:line="240" w:lineRule="exact"/>
            </w:pPr>
          </w:p>
        </w:tc>
        <w:tc>
          <w:tcPr>
            <w:tcW w:w="1097" w:type="dxa"/>
            <w:vMerge w:val="restart"/>
            <w:vAlign w:val="center"/>
          </w:tcPr>
          <w:p w14:paraId="29B82D95">
            <w:pPr>
              <w:spacing w:line="240" w:lineRule="exact"/>
              <w:ind w:firstLine="420" w:firstLineChars="200"/>
            </w:pPr>
            <w:bookmarkStart w:id="82" w:name="_Toc39601316"/>
            <w:r>
              <w:rPr>
                <w:rFonts w:hint="eastAsia"/>
              </w:rPr>
              <w:t>资金落实</w:t>
            </w:r>
            <w:bookmarkEnd w:id="82"/>
          </w:p>
          <w:p w14:paraId="1912B6B9">
            <w:pPr>
              <w:spacing w:line="240" w:lineRule="exact"/>
              <w:ind w:firstLine="420" w:firstLineChars="200"/>
            </w:pPr>
            <w:r>
              <w:rPr>
                <w:rFonts w:hint="eastAsia"/>
              </w:rPr>
              <w:t>10分</w:t>
            </w:r>
          </w:p>
        </w:tc>
        <w:tc>
          <w:tcPr>
            <w:tcW w:w="1304" w:type="dxa"/>
            <w:vAlign w:val="center"/>
          </w:tcPr>
          <w:p w14:paraId="6E7D4B0C">
            <w:pPr>
              <w:spacing w:line="240" w:lineRule="exact"/>
              <w:ind w:firstLine="420" w:firstLineChars="200"/>
            </w:pPr>
            <w:bookmarkStart w:id="83" w:name="_Toc39601317"/>
            <w:r>
              <w:rPr>
                <w:rFonts w:hint="eastAsia"/>
              </w:rPr>
              <w:t>资金分配</w:t>
            </w:r>
          </w:p>
          <w:p w14:paraId="15CD0DC2">
            <w:pPr>
              <w:spacing w:line="240" w:lineRule="exact"/>
              <w:ind w:firstLine="420" w:firstLineChars="200"/>
            </w:pPr>
            <w:r>
              <w:rPr>
                <w:rFonts w:hint="eastAsia"/>
              </w:rPr>
              <w:t>合理性</w:t>
            </w:r>
            <w:bookmarkEnd w:id="83"/>
          </w:p>
        </w:tc>
        <w:tc>
          <w:tcPr>
            <w:tcW w:w="3015" w:type="dxa"/>
            <w:vAlign w:val="center"/>
          </w:tcPr>
          <w:p w14:paraId="770C51FA">
            <w:pPr>
              <w:spacing w:line="240" w:lineRule="exact"/>
            </w:pPr>
            <w:bookmarkStart w:id="84" w:name="_Toc39601318"/>
            <w:r>
              <w:rPr>
                <w:rFonts w:hint="eastAsia"/>
              </w:rPr>
              <w:t>资金分配有明确的依据，资金分配执行完全按照依据进行，分配过程透明公开。</w:t>
            </w:r>
            <w:bookmarkEnd w:id="84"/>
          </w:p>
        </w:tc>
        <w:tc>
          <w:tcPr>
            <w:tcW w:w="2980" w:type="dxa"/>
            <w:vAlign w:val="center"/>
          </w:tcPr>
          <w:p w14:paraId="4941F6A5">
            <w:pPr>
              <w:spacing w:line="240" w:lineRule="exact"/>
              <w:ind w:firstLine="420" w:firstLineChars="200"/>
            </w:pPr>
            <w:r>
              <w:rPr>
                <w:rFonts w:hint="eastAsia"/>
              </w:rPr>
              <w:t>①资金分配有充分的依据；</w:t>
            </w:r>
          </w:p>
          <w:p w14:paraId="77A96586">
            <w:pPr>
              <w:spacing w:line="240" w:lineRule="exact"/>
              <w:ind w:firstLine="420" w:firstLineChars="200"/>
            </w:pPr>
            <w:r>
              <w:rPr>
                <w:rFonts w:hint="eastAsia"/>
              </w:rPr>
              <w:t>②资金分配按依据执行；</w:t>
            </w:r>
          </w:p>
          <w:p w14:paraId="16EFBBD2">
            <w:pPr>
              <w:spacing w:line="240" w:lineRule="exact"/>
              <w:ind w:firstLine="420" w:firstLineChars="200"/>
            </w:pPr>
            <w:r>
              <w:rPr>
                <w:rFonts w:hint="eastAsia"/>
              </w:rPr>
              <w:t>③资金分配是否透明公开。</w:t>
            </w:r>
          </w:p>
          <w:p w14:paraId="17402BD2">
            <w:pPr>
              <w:spacing w:line="240" w:lineRule="exact"/>
              <w:ind w:firstLine="420" w:firstLineChars="200"/>
            </w:pPr>
            <w:r>
              <w:rPr>
                <w:rFonts w:hint="eastAsia"/>
              </w:rPr>
              <w:t>符合要求得3分，不符合要求，一项扣1分，扣完为止</w:t>
            </w:r>
          </w:p>
        </w:tc>
      </w:tr>
      <w:tr w14:paraId="3BFE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14:paraId="2DCC7EAA">
            <w:pPr>
              <w:spacing w:line="240" w:lineRule="exact"/>
            </w:pPr>
          </w:p>
        </w:tc>
        <w:tc>
          <w:tcPr>
            <w:tcW w:w="1097" w:type="dxa"/>
            <w:vMerge w:val="continue"/>
            <w:vAlign w:val="center"/>
          </w:tcPr>
          <w:p w14:paraId="671BDB9A">
            <w:pPr>
              <w:spacing w:line="240" w:lineRule="exact"/>
            </w:pPr>
          </w:p>
        </w:tc>
        <w:tc>
          <w:tcPr>
            <w:tcW w:w="1304" w:type="dxa"/>
            <w:vAlign w:val="center"/>
          </w:tcPr>
          <w:p w14:paraId="161A8635">
            <w:pPr>
              <w:spacing w:line="240" w:lineRule="exact"/>
            </w:pPr>
            <w:bookmarkStart w:id="85" w:name="_Toc39601319"/>
            <w:r>
              <w:rPr>
                <w:rFonts w:hint="eastAsia"/>
              </w:rPr>
              <w:t>资金</w:t>
            </w:r>
            <w:bookmarkEnd w:id="85"/>
            <w:r>
              <w:rPr>
                <w:rFonts w:hint="eastAsia"/>
              </w:rPr>
              <w:t>分配率</w:t>
            </w:r>
          </w:p>
        </w:tc>
        <w:tc>
          <w:tcPr>
            <w:tcW w:w="3015" w:type="dxa"/>
            <w:vAlign w:val="center"/>
          </w:tcPr>
          <w:p w14:paraId="5AC9E34E">
            <w:pPr>
              <w:spacing w:line="240" w:lineRule="exact"/>
            </w:pPr>
            <w:r>
              <w:rPr>
                <w:rFonts w:hint="eastAsia"/>
              </w:rPr>
              <w:t>实际到位资金与计划投入资金的比率，用以反映和考核资金落实情况对项目实施的总体保障程度。</w:t>
            </w:r>
          </w:p>
        </w:tc>
        <w:tc>
          <w:tcPr>
            <w:tcW w:w="2980" w:type="dxa"/>
            <w:vAlign w:val="center"/>
          </w:tcPr>
          <w:p w14:paraId="083482DC">
            <w:pPr>
              <w:spacing w:line="240" w:lineRule="exact"/>
              <w:ind w:firstLine="420" w:firstLineChars="200"/>
            </w:pPr>
            <w:r>
              <w:rPr>
                <w:rFonts w:hint="eastAsia"/>
              </w:rPr>
              <w:t>资金到位率=（实际到位资金/计划投入资金）*90%；</w:t>
            </w:r>
          </w:p>
          <w:p w14:paraId="6268321F">
            <w:pPr>
              <w:spacing w:line="240" w:lineRule="exact"/>
              <w:ind w:firstLine="420" w:firstLineChars="200"/>
            </w:pPr>
            <w:r>
              <w:rPr>
                <w:rFonts w:hint="eastAsia"/>
              </w:rPr>
              <w:t>实际到位资金：2020年工业发展专项资金分别落实到：鞋业转型升级；鞋业生产能力改造提升补助、企业技术中心认定等；复工复产企业奖励、补助资金，新能源汽车应用推广补助等的具体项目资金；</w:t>
            </w:r>
          </w:p>
          <w:p w14:paraId="17280C59">
            <w:pPr>
              <w:spacing w:line="240" w:lineRule="exact"/>
              <w:ind w:firstLine="420" w:firstLineChars="200"/>
            </w:pPr>
            <w:r>
              <w:rPr>
                <w:rFonts w:hint="eastAsia"/>
              </w:rPr>
              <w:t>计划投入资金：本年度计划投入到具体项目资金。</w:t>
            </w:r>
          </w:p>
          <w:p w14:paraId="238024A7">
            <w:pPr>
              <w:spacing w:line="240" w:lineRule="exact"/>
              <w:ind w:firstLine="420" w:firstLineChars="200"/>
            </w:pPr>
            <w:r>
              <w:rPr>
                <w:rFonts w:hint="eastAsia"/>
              </w:rPr>
              <w:t>符合要求得2分，根据材料情况进行评分</w:t>
            </w:r>
          </w:p>
        </w:tc>
      </w:tr>
      <w:tr w14:paraId="298A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14:paraId="087ADDE9">
            <w:pPr>
              <w:spacing w:line="240" w:lineRule="exact"/>
            </w:pPr>
          </w:p>
        </w:tc>
        <w:tc>
          <w:tcPr>
            <w:tcW w:w="1097" w:type="dxa"/>
            <w:vMerge w:val="continue"/>
            <w:vAlign w:val="center"/>
          </w:tcPr>
          <w:p w14:paraId="570C0947">
            <w:pPr>
              <w:spacing w:line="240" w:lineRule="exact"/>
            </w:pPr>
          </w:p>
        </w:tc>
        <w:tc>
          <w:tcPr>
            <w:tcW w:w="1304" w:type="dxa"/>
            <w:vAlign w:val="center"/>
          </w:tcPr>
          <w:p w14:paraId="0605A83B">
            <w:pPr>
              <w:spacing w:line="240" w:lineRule="exact"/>
              <w:ind w:firstLine="420" w:firstLineChars="200"/>
            </w:pPr>
            <w:bookmarkStart w:id="86" w:name="_Toc39601320"/>
            <w:r>
              <w:rPr>
                <w:rFonts w:hint="eastAsia"/>
              </w:rPr>
              <w:t>资金</w:t>
            </w:r>
            <w:bookmarkEnd w:id="86"/>
            <w:r>
              <w:rPr>
                <w:rFonts w:hint="eastAsia"/>
              </w:rPr>
              <w:t>到位</w:t>
            </w:r>
          </w:p>
          <w:p w14:paraId="01E7C90A">
            <w:pPr>
              <w:spacing w:line="240" w:lineRule="exact"/>
              <w:ind w:firstLine="420" w:firstLineChars="200"/>
            </w:pPr>
            <w:r>
              <w:rPr>
                <w:rFonts w:hint="eastAsia"/>
              </w:rPr>
              <w:t>及时率</w:t>
            </w:r>
          </w:p>
        </w:tc>
        <w:tc>
          <w:tcPr>
            <w:tcW w:w="3015" w:type="dxa"/>
            <w:vAlign w:val="center"/>
          </w:tcPr>
          <w:p w14:paraId="08282220">
            <w:pPr>
              <w:spacing w:line="240" w:lineRule="exact"/>
            </w:pPr>
            <w:r>
              <w:rPr>
                <w:rFonts w:hint="eastAsia"/>
              </w:rPr>
              <w:t>市级补助资金是否按照财政预算要求于2020年度9月底前实际分配下达的资金/预算数。</w:t>
            </w:r>
          </w:p>
        </w:tc>
        <w:tc>
          <w:tcPr>
            <w:tcW w:w="2980" w:type="dxa"/>
            <w:vAlign w:val="center"/>
          </w:tcPr>
          <w:p w14:paraId="01765FA3">
            <w:pPr>
              <w:spacing w:line="240" w:lineRule="exact"/>
              <w:ind w:firstLine="420" w:firstLineChars="200"/>
            </w:pPr>
            <w:r>
              <w:rPr>
                <w:rFonts w:hint="eastAsia"/>
              </w:rPr>
              <w:t>按照市级工业发展资金分配及时率。</w:t>
            </w:r>
          </w:p>
          <w:p w14:paraId="7FC4FA15">
            <w:pPr>
              <w:spacing w:line="240" w:lineRule="exact"/>
              <w:ind w:firstLine="420" w:firstLineChars="200"/>
            </w:pPr>
            <w:r>
              <w:rPr>
                <w:rFonts w:hint="eastAsia"/>
              </w:rPr>
              <w:t>符合要求得2分，不符合要求，每推迟一天扣0.1分，扣完为止。</w:t>
            </w:r>
          </w:p>
        </w:tc>
      </w:tr>
      <w:tr w14:paraId="5064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14:paraId="5323198F">
            <w:pPr>
              <w:spacing w:line="240" w:lineRule="exact"/>
            </w:pPr>
            <w:bookmarkStart w:id="87" w:name="_Toc39601322"/>
          </w:p>
        </w:tc>
        <w:tc>
          <w:tcPr>
            <w:tcW w:w="1097" w:type="dxa"/>
            <w:vMerge w:val="continue"/>
            <w:vAlign w:val="center"/>
          </w:tcPr>
          <w:p w14:paraId="52130420">
            <w:pPr>
              <w:spacing w:line="240" w:lineRule="exact"/>
            </w:pPr>
          </w:p>
        </w:tc>
        <w:tc>
          <w:tcPr>
            <w:tcW w:w="1304" w:type="dxa"/>
            <w:vAlign w:val="center"/>
          </w:tcPr>
          <w:p w14:paraId="042718C9">
            <w:pPr>
              <w:spacing w:line="240" w:lineRule="exact"/>
              <w:ind w:firstLine="420" w:firstLineChars="200"/>
            </w:pPr>
            <w:r>
              <w:rPr>
                <w:rFonts w:hint="eastAsia"/>
              </w:rPr>
              <w:t>调整资金</w:t>
            </w:r>
          </w:p>
          <w:p w14:paraId="0FBD1C1E">
            <w:pPr>
              <w:spacing w:line="240" w:lineRule="exact"/>
              <w:ind w:firstLine="420" w:firstLineChars="200"/>
            </w:pPr>
            <w:r>
              <w:rPr>
                <w:rFonts w:hint="eastAsia"/>
              </w:rPr>
              <w:t>使用用途</w:t>
            </w:r>
          </w:p>
          <w:p w14:paraId="3ACA9666">
            <w:pPr>
              <w:spacing w:line="240" w:lineRule="exact"/>
              <w:ind w:firstLine="420" w:firstLineChars="200"/>
            </w:pPr>
            <w:r>
              <w:rPr>
                <w:rFonts w:hint="eastAsia"/>
              </w:rPr>
              <w:t>合理性</w:t>
            </w:r>
          </w:p>
        </w:tc>
        <w:tc>
          <w:tcPr>
            <w:tcW w:w="3015" w:type="dxa"/>
            <w:vAlign w:val="center"/>
          </w:tcPr>
          <w:p w14:paraId="27C0AFED">
            <w:pPr>
              <w:spacing w:line="240" w:lineRule="exact"/>
            </w:pPr>
            <w:r>
              <w:rPr>
                <w:rFonts w:hint="eastAsia"/>
              </w:rPr>
              <w:t>疫情期间调整资金明确的依据，资金分配执行完全按照依据进行，分配过程透明公开。</w:t>
            </w:r>
          </w:p>
        </w:tc>
        <w:tc>
          <w:tcPr>
            <w:tcW w:w="2980" w:type="dxa"/>
            <w:vAlign w:val="center"/>
          </w:tcPr>
          <w:p w14:paraId="25F7631D">
            <w:pPr>
              <w:spacing w:line="240" w:lineRule="exact"/>
              <w:ind w:firstLine="420" w:firstLineChars="200"/>
            </w:pPr>
            <w:r>
              <w:rPr>
                <w:rFonts w:hint="eastAsia"/>
              </w:rPr>
              <w:t>①疫情期间调整资金分配有充分的依据；</w:t>
            </w:r>
          </w:p>
          <w:p w14:paraId="27560ADF">
            <w:pPr>
              <w:spacing w:line="240" w:lineRule="exact"/>
              <w:ind w:firstLine="420" w:firstLineChars="200"/>
            </w:pPr>
            <w:r>
              <w:rPr>
                <w:rFonts w:hint="eastAsia"/>
              </w:rPr>
              <w:t>②调整的资金分配按依据执行；</w:t>
            </w:r>
          </w:p>
          <w:p w14:paraId="3244CA9C">
            <w:pPr>
              <w:spacing w:line="240" w:lineRule="exact"/>
              <w:ind w:firstLine="420" w:firstLineChars="200"/>
            </w:pPr>
            <w:r>
              <w:rPr>
                <w:rFonts w:hint="eastAsia"/>
              </w:rPr>
              <w:t>③调整的资金分配是否透明公开。</w:t>
            </w:r>
          </w:p>
          <w:p w14:paraId="4DC8A2F2">
            <w:pPr>
              <w:spacing w:line="240" w:lineRule="exact"/>
              <w:ind w:firstLine="420" w:firstLineChars="200"/>
            </w:pPr>
            <w:r>
              <w:rPr>
                <w:rFonts w:hint="eastAsia"/>
              </w:rPr>
              <w:t>符合要求得3分，不符合要求，一项扣1分，扣完为止</w:t>
            </w:r>
          </w:p>
        </w:tc>
      </w:tr>
      <w:tr w14:paraId="69CA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restart"/>
            <w:vAlign w:val="center"/>
          </w:tcPr>
          <w:p w14:paraId="58CE9A9C">
            <w:pPr>
              <w:spacing w:line="240" w:lineRule="exact"/>
              <w:ind w:firstLine="420" w:firstLineChars="200"/>
            </w:pPr>
            <w:r>
              <w:rPr>
                <w:rFonts w:hint="eastAsia"/>
              </w:rPr>
              <w:t>项目管理</w:t>
            </w:r>
            <w:bookmarkEnd w:id="87"/>
          </w:p>
          <w:p w14:paraId="6F27F15C">
            <w:pPr>
              <w:spacing w:line="240" w:lineRule="exact"/>
              <w:ind w:firstLine="420" w:firstLineChars="200"/>
            </w:pPr>
            <w:r>
              <w:rPr>
                <w:rFonts w:hint="eastAsia"/>
              </w:rPr>
              <w:t>20分</w:t>
            </w:r>
          </w:p>
        </w:tc>
        <w:tc>
          <w:tcPr>
            <w:tcW w:w="1097" w:type="dxa"/>
            <w:vMerge w:val="restart"/>
            <w:vAlign w:val="center"/>
          </w:tcPr>
          <w:p w14:paraId="5989E504">
            <w:pPr>
              <w:spacing w:line="240" w:lineRule="exact"/>
              <w:ind w:firstLine="420" w:firstLineChars="200"/>
            </w:pPr>
            <w:bookmarkStart w:id="88" w:name="_Toc39601323"/>
            <w:r>
              <w:rPr>
                <w:rFonts w:hint="eastAsia"/>
              </w:rPr>
              <w:t>财务管理</w:t>
            </w:r>
            <w:bookmarkEnd w:id="88"/>
          </w:p>
          <w:p w14:paraId="01F8DD36">
            <w:pPr>
              <w:spacing w:line="240" w:lineRule="exact"/>
              <w:ind w:firstLine="420" w:firstLineChars="200"/>
            </w:pPr>
            <w:r>
              <w:rPr>
                <w:rFonts w:hint="eastAsia"/>
              </w:rPr>
              <w:t>10分</w:t>
            </w:r>
          </w:p>
        </w:tc>
        <w:tc>
          <w:tcPr>
            <w:tcW w:w="1304" w:type="dxa"/>
            <w:vAlign w:val="center"/>
          </w:tcPr>
          <w:p w14:paraId="18EC7DED">
            <w:pPr>
              <w:spacing w:line="240" w:lineRule="exact"/>
              <w:ind w:firstLine="420" w:firstLineChars="200"/>
            </w:pPr>
            <w:bookmarkStart w:id="89" w:name="_Toc39601324"/>
            <w:r>
              <w:rPr>
                <w:rFonts w:hint="eastAsia"/>
              </w:rPr>
              <w:t>资金管理</w:t>
            </w:r>
          </w:p>
          <w:p w14:paraId="097E2C04">
            <w:pPr>
              <w:spacing w:line="240" w:lineRule="exact"/>
              <w:ind w:firstLine="420" w:firstLineChars="200"/>
            </w:pPr>
            <w:r>
              <w:rPr>
                <w:rFonts w:hint="eastAsia"/>
              </w:rPr>
              <w:t>制度</w:t>
            </w:r>
          </w:p>
          <w:p w14:paraId="299659C4">
            <w:pPr>
              <w:spacing w:line="240" w:lineRule="exact"/>
              <w:ind w:firstLine="420" w:firstLineChars="200"/>
            </w:pPr>
            <w:r>
              <w:rPr>
                <w:rFonts w:hint="eastAsia"/>
              </w:rPr>
              <w:t>健全性</w:t>
            </w:r>
            <w:bookmarkEnd w:id="89"/>
          </w:p>
        </w:tc>
        <w:tc>
          <w:tcPr>
            <w:tcW w:w="3015" w:type="dxa"/>
            <w:vAlign w:val="center"/>
          </w:tcPr>
          <w:p w14:paraId="466540B8">
            <w:pPr>
              <w:spacing w:line="240" w:lineRule="exact"/>
            </w:pPr>
            <w:r>
              <w:rPr>
                <w:rFonts w:hint="eastAsia"/>
              </w:rPr>
              <w:t>对项目主管单位的资金管理制度健全性进行评价，保障资金规范、安全运行。</w:t>
            </w:r>
          </w:p>
        </w:tc>
        <w:tc>
          <w:tcPr>
            <w:tcW w:w="2980" w:type="dxa"/>
            <w:vAlign w:val="center"/>
          </w:tcPr>
          <w:p w14:paraId="2DCF1C58">
            <w:pPr>
              <w:spacing w:line="240" w:lineRule="exact"/>
              <w:ind w:firstLine="420" w:firstLineChars="200"/>
            </w:pPr>
            <w:r>
              <w:rPr>
                <w:rFonts w:hint="eastAsia"/>
              </w:rPr>
              <w:t>①市级财政专项资金是否按规定制定管理办法；</w:t>
            </w:r>
          </w:p>
          <w:p w14:paraId="0F3C5B3A">
            <w:pPr>
              <w:spacing w:line="240" w:lineRule="exact"/>
              <w:ind w:firstLine="420" w:firstLineChars="200"/>
            </w:pPr>
            <w:r>
              <w:rPr>
                <w:rFonts w:hint="eastAsia"/>
              </w:rPr>
              <w:t>②对项目支付资金分配前是否集体研究。</w:t>
            </w:r>
          </w:p>
          <w:p w14:paraId="0F52DDE0">
            <w:pPr>
              <w:spacing w:line="240" w:lineRule="exact"/>
              <w:ind w:firstLine="420" w:firstLineChars="200"/>
            </w:pPr>
            <w:r>
              <w:rPr>
                <w:rFonts w:hint="eastAsia"/>
              </w:rPr>
              <w:t>符合要求得4分，不符合要求，一项扣2分，扣完为止</w:t>
            </w:r>
          </w:p>
        </w:tc>
      </w:tr>
      <w:tr w14:paraId="2F77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5" w:type="dxa"/>
            <w:vMerge w:val="continue"/>
            <w:vAlign w:val="center"/>
          </w:tcPr>
          <w:p w14:paraId="70BE7AF1">
            <w:pPr>
              <w:spacing w:line="240" w:lineRule="exact"/>
            </w:pPr>
          </w:p>
        </w:tc>
        <w:tc>
          <w:tcPr>
            <w:tcW w:w="1097" w:type="dxa"/>
            <w:vMerge w:val="continue"/>
            <w:vAlign w:val="center"/>
          </w:tcPr>
          <w:p w14:paraId="74D047A0">
            <w:pPr>
              <w:spacing w:line="240" w:lineRule="exact"/>
            </w:pPr>
          </w:p>
        </w:tc>
        <w:tc>
          <w:tcPr>
            <w:tcW w:w="1304" w:type="dxa"/>
            <w:vAlign w:val="center"/>
          </w:tcPr>
          <w:p w14:paraId="7D6387A2">
            <w:pPr>
              <w:spacing w:line="240" w:lineRule="exact"/>
              <w:ind w:firstLine="420" w:firstLineChars="200"/>
            </w:pPr>
            <w:r>
              <w:rPr>
                <w:rFonts w:hint="eastAsia"/>
              </w:rPr>
              <w:t>资金使用</w:t>
            </w:r>
          </w:p>
          <w:p w14:paraId="12B2F0F8">
            <w:pPr>
              <w:spacing w:line="240" w:lineRule="exact"/>
              <w:ind w:firstLine="420" w:firstLineChars="200"/>
            </w:pPr>
            <w:r>
              <w:rPr>
                <w:rFonts w:hint="eastAsia"/>
              </w:rPr>
              <w:t>合规性</w:t>
            </w:r>
          </w:p>
        </w:tc>
        <w:tc>
          <w:tcPr>
            <w:tcW w:w="3015" w:type="dxa"/>
            <w:vAlign w:val="center"/>
          </w:tcPr>
          <w:p w14:paraId="3203972F">
            <w:pPr>
              <w:spacing w:line="240" w:lineRule="exact"/>
            </w:pPr>
            <w:r>
              <w:rPr>
                <w:rFonts w:hint="eastAsia"/>
              </w:rPr>
              <w:t>对项目资金的规范运行情况进行评价。</w:t>
            </w:r>
          </w:p>
        </w:tc>
        <w:tc>
          <w:tcPr>
            <w:tcW w:w="2980" w:type="dxa"/>
            <w:vAlign w:val="center"/>
          </w:tcPr>
          <w:p w14:paraId="56653147">
            <w:pPr>
              <w:spacing w:line="240" w:lineRule="exact"/>
              <w:ind w:firstLine="420" w:firstLineChars="200"/>
            </w:pPr>
            <w:r>
              <w:rPr>
                <w:rFonts w:hint="eastAsia"/>
              </w:rPr>
              <w:t>①资金用途是否符合项目预算批复；</w:t>
            </w:r>
          </w:p>
          <w:p w14:paraId="39ED2F96">
            <w:pPr>
              <w:spacing w:line="240" w:lineRule="exact"/>
              <w:ind w:firstLine="420" w:firstLineChars="200"/>
            </w:pPr>
            <w:r>
              <w:rPr>
                <w:rFonts w:hint="eastAsia"/>
              </w:rPr>
              <w:t>②预算支出级次调整是否按规定报批（是否按规定报经市政府同意的）；</w:t>
            </w:r>
          </w:p>
          <w:p w14:paraId="29A31AF1">
            <w:pPr>
              <w:spacing w:line="240" w:lineRule="exact"/>
              <w:ind w:firstLine="420" w:firstLineChars="200"/>
            </w:pPr>
            <w:r>
              <w:rPr>
                <w:rFonts w:hint="eastAsia"/>
              </w:rPr>
              <w:t>符合要求得3分，不符合要求，一项扣1.5分，扣完为止</w:t>
            </w:r>
          </w:p>
        </w:tc>
      </w:tr>
      <w:tr w14:paraId="16EF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5" w:type="dxa"/>
            <w:vMerge w:val="continue"/>
            <w:vAlign w:val="center"/>
          </w:tcPr>
          <w:p w14:paraId="6C2BEEA3">
            <w:pPr>
              <w:spacing w:line="240" w:lineRule="exact"/>
            </w:pPr>
          </w:p>
        </w:tc>
        <w:tc>
          <w:tcPr>
            <w:tcW w:w="1097" w:type="dxa"/>
            <w:vMerge w:val="continue"/>
            <w:vAlign w:val="center"/>
          </w:tcPr>
          <w:p w14:paraId="1038C1EA">
            <w:pPr>
              <w:spacing w:line="240" w:lineRule="exact"/>
            </w:pPr>
          </w:p>
        </w:tc>
        <w:tc>
          <w:tcPr>
            <w:tcW w:w="1304" w:type="dxa"/>
            <w:vAlign w:val="center"/>
          </w:tcPr>
          <w:p w14:paraId="64A5E82C">
            <w:pPr>
              <w:spacing w:line="240" w:lineRule="exact"/>
              <w:ind w:firstLine="420" w:firstLineChars="200"/>
            </w:pPr>
            <w:r>
              <w:rPr>
                <w:rFonts w:hint="eastAsia"/>
              </w:rPr>
              <w:t>财政监控</w:t>
            </w:r>
          </w:p>
          <w:p w14:paraId="61DF90DF">
            <w:pPr>
              <w:spacing w:line="240" w:lineRule="exact"/>
              <w:ind w:firstLine="420" w:firstLineChars="200"/>
            </w:pPr>
            <w:r>
              <w:rPr>
                <w:rFonts w:hint="eastAsia"/>
              </w:rPr>
              <w:t>有效性</w:t>
            </w:r>
          </w:p>
        </w:tc>
        <w:tc>
          <w:tcPr>
            <w:tcW w:w="3015" w:type="dxa"/>
            <w:vAlign w:val="center"/>
          </w:tcPr>
          <w:p w14:paraId="0F899F71">
            <w:pPr>
              <w:spacing w:line="240" w:lineRule="exact"/>
            </w:pPr>
            <w:r>
              <w:rPr>
                <w:rFonts w:hint="eastAsia"/>
              </w:rPr>
              <w:t>被评价单位是否为保障资金申请流程的安全、规范运行而采取了必要的监控措施，用以反映和考核被评价单位对资金申请的控制情况。</w:t>
            </w:r>
          </w:p>
        </w:tc>
        <w:tc>
          <w:tcPr>
            <w:tcW w:w="2980" w:type="dxa"/>
            <w:vAlign w:val="center"/>
          </w:tcPr>
          <w:p w14:paraId="1CC3339C">
            <w:pPr>
              <w:spacing w:line="240" w:lineRule="exact"/>
              <w:ind w:firstLine="420" w:firstLineChars="200"/>
            </w:pPr>
            <w:r>
              <w:rPr>
                <w:rFonts w:hint="eastAsia"/>
              </w:rPr>
              <w:t>①是否已制定或具有相应的申请机制；</w:t>
            </w:r>
          </w:p>
          <w:p w14:paraId="7CCBD433">
            <w:pPr>
              <w:spacing w:line="240" w:lineRule="exact"/>
              <w:ind w:firstLine="420" w:firstLineChars="200"/>
            </w:pPr>
            <w:r>
              <w:rPr>
                <w:rFonts w:hint="eastAsia"/>
              </w:rPr>
              <w:t>②对评审结果是否公开透明。</w:t>
            </w:r>
          </w:p>
          <w:p w14:paraId="2885C28F">
            <w:pPr>
              <w:spacing w:line="240" w:lineRule="exact"/>
              <w:ind w:firstLine="420" w:firstLineChars="200"/>
            </w:pPr>
            <w:r>
              <w:rPr>
                <w:rFonts w:hint="eastAsia"/>
              </w:rPr>
              <w:t>符合要求得3分，不符合要求，一项扣1.5分，扣完为止</w:t>
            </w:r>
          </w:p>
        </w:tc>
      </w:tr>
      <w:tr w14:paraId="0F39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5" w:type="dxa"/>
            <w:vMerge w:val="continue"/>
            <w:vAlign w:val="center"/>
          </w:tcPr>
          <w:p w14:paraId="5E86C727">
            <w:pPr>
              <w:spacing w:line="240" w:lineRule="exact"/>
            </w:pPr>
          </w:p>
        </w:tc>
        <w:tc>
          <w:tcPr>
            <w:tcW w:w="1097" w:type="dxa"/>
            <w:vMerge w:val="restart"/>
            <w:vAlign w:val="center"/>
          </w:tcPr>
          <w:p w14:paraId="722D037E">
            <w:pPr>
              <w:spacing w:line="240" w:lineRule="exact"/>
              <w:ind w:firstLine="420" w:firstLineChars="200"/>
            </w:pPr>
            <w:bookmarkStart w:id="90" w:name="_Toc39601330"/>
            <w:r>
              <w:rPr>
                <w:rFonts w:hint="eastAsia"/>
              </w:rPr>
              <w:t>业务管理</w:t>
            </w:r>
            <w:bookmarkEnd w:id="90"/>
          </w:p>
          <w:p w14:paraId="7209C117">
            <w:pPr>
              <w:spacing w:line="240" w:lineRule="exact"/>
              <w:ind w:firstLine="420" w:firstLineChars="200"/>
            </w:pPr>
            <w:r>
              <w:rPr>
                <w:rFonts w:hint="eastAsia"/>
              </w:rPr>
              <w:t>10分</w:t>
            </w:r>
          </w:p>
        </w:tc>
        <w:tc>
          <w:tcPr>
            <w:tcW w:w="1304" w:type="dxa"/>
            <w:vAlign w:val="center"/>
          </w:tcPr>
          <w:p w14:paraId="053F54F9">
            <w:pPr>
              <w:spacing w:line="240" w:lineRule="exact"/>
              <w:ind w:firstLine="420" w:firstLineChars="200"/>
            </w:pPr>
            <w:r>
              <w:rPr>
                <w:rFonts w:hint="eastAsia"/>
              </w:rPr>
              <w:t>项目管理</w:t>
            </w:r>
          </w:p>
          <w:p w14:paraId="56FF80C2">
            <w:pPr>
              <w:spacing w:line="240" w:lineRule="exact"/>
              <w:ind w:firstLine="420" w:firstLineChars="200"/>
            </w:pPr>
            <w:r>
              <w:rPr>
                <w:rFonts w:hint="eastAsia"/>
              </w:rPr>
              <w:t>制度</w:t>
            </w:r>
          </w:p>
          <w:p w14:paraId="67A5E305">
            <w:pPr>
              <w:spacing w:line="240" w:lineRule="exact"/>
              <w:ind w:firstLine="420" w:firstLineChars="200"/>
            </w:pPr>
            <w:r>
              <w:rPr>
                <w:rFonts w:hint="eastAsia"/>
              </w:rPr>
              <w:t>健全性</w:t>
            </w:r>
          </w:p>
        </w:tc>
        <w:tc>
          <w:tcPr>
            <w:tcW w:w="3015" w:type="dxa"/>
            <w:vAlign w:val="center"/>
          </w:tcPr>
          <w:p w14:paraId="6C80AE85">
            <w:pPr>
              <w:spacing w:line="240" w:lineRule="exact"/>
            </w:pPr>
            <w:r>
              <w:rPr>
                <w:rFonts w:hint="eastAsia"/>
              </w:rPr>
              <w:t>被评价单位的业务管理制度是否健全，用以反映和考核业务管理制度对项目顺利实施的保障情况。</w:t>
            </w:r>
          </w:p>
        </w:tc>
        <w:tc>
          <w:tcPr>
            <w:tcW w:w="2980" w:type="dxa"/>
            <w:vAlign w:val="center"/>
          </w:tcPr>
          <w:p w14:paraId="407E346F">
            <w:pPr>
              <w:spacing w:line="240" w:lineRule="exact"/>
              <w:ind w:firstLine="420" w:firstLineChars="200"/>
            </w:pPr>
            <w:r>
              <w:rPr>
                <w:rFonts w:hint="eastAsia"/>
              </w:rPr>
              <w:t>①是否已制定或具有相应的项目实施规章制度；</w:t>
            </w:r>
          </w:p>
          <w:p w14:paraId="4EC1B6A3">
            <w:pPr>
              <w:spacing w:line="240" w:lineRule="exact"/>
              <w:ind w:firstLine="420" w:firstLineChars="200"/>
            </w:pPr>
            <w:r>
              <w:rPr>
                <w:rFonts w:hint="eastAsia"/>
              </w:rPr>
              <w:t>②项目方案是否合法规范。</w:t>
            </w:r>
          </w:p>
          <w:p w14:paraId="07E3DE73">
            <w:pPr>
              <w:spacing w:line="240" w:lineRule="exact"/>
              <w:ind w:firstLine="420" w:firstLineChars="200"/>
            </w:pPr>
            <w:r>
              <w:rPr>
                <w:rFonts w:hint="eastAsia"/>
              </w:rPr>
              <w:t>符合要求得3分，不符合要求，一项扣1.5分，扣完为止</w:t>
            </w:r>
          </w:p>
        </w:tc>
      </w:tr>
      <w:tr w14:paraId="457B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5" w:type="dxa"/>
            <w:vMerge w:val="continue"/>
            <w:vAlign w:val="center"/>
          </w:tcPr>
          <w:p w14:paraId="333D523C">
            <w:pPr>
              <w:spacing w:line="240" w:lineRule="exact"/>
            </w:pPr>
          </w:p>
        </w:tc>
        <w:tc>
          <w:tcPr>
            <w:tcW w:w="1097" w:type="dxa"/>
            <w:vMerge w:val="continue"/>
            <w:vAlign w:val="center"/>
          </w:tcPr>
          <w:p w14:paraId="3DC38DED">
            <w:pPr>
              <w:spacing w:line="240" w:lineRule="exact"/>
            </w:pPr>
          </w:p>
        </w:tc>
        <w:tc>
          <w:tcPr>
            <w:tcW w:w="1304" w:type="dxa"/>
            <w:vAlign w:val="center"/>
          </w:tcPr>
          <w:p w14:paraId="6A7A1D89">
            <w:pPr>
              <w:spacing w:line="240" w:lineRule="exact"/>
              <w:ind w:firstLine="420" w:firstLineChars="200"/>
            </w:pPr>
            <w:r>
              <w:rPr>
                <w:rFonts w:hint="eastAsia"/>
              </w:rPr>
              <w:t>项目制度</w:t>
            </w:r>
          </w:p>
          <w:p w14:paraId="3F229DD2">
            <w:pPr>
              <w:spacing w:line="240" w:lineRule="exact"/>
              <w:ind w:firstLine="420" w:firstLineChars="200"/>
            </w:pPr>
            <w:r>
              <w:rPr>
                <w:rFonts w:hint="eastAsia"/>
              </w:rPr>
              <w:t>执行</w:t>
            </w:r>
          </w:p>
          <w:p w14:paraId="63A706A1">
            <w:pPr>
              <w:spacing w:line="240" w:lineRule="exact"/>
              <w:ind w:firstLine="420" w:firstLineChars="200"/>
            </w:pPr>
            <w:r>
              <w:rPr>
                <w:rFonts w:hint="eastAsia"/>
              </w:rPr>
              <w:t>有效性</w:t>
            </w:r>
          </w:p>
        </w:tc>
        <w:tc>
          <w:tcPr>
            <w:tcW w:w="3015" w:type="dxa"/>
            <w:vAlign w:val="center"/>
          </w:tcPr>
          <w:p w14:paraId="5D0181CB">
            <w:pPr>
              <w:spacing w:line="240" w:lineRule="exact"/>
            </w:pPr>
            <w:r>
              <w:rPr>
                <w:rFonts w:hint="eastAsia"/>
              </w:rPr>
              <w:t>项目实施是否符合相关业务管理规定，用以反映和考核业务管理制度的有效执行情况。</w:t>
            </w:r>
          </w:p>
        </w:tc>
        <w:tc>
          <w:tcPr>
            <w:tcW w:w="2980" w:type="dxa"/>
            <w:vAlign w:val="center"/>
          </w:tcPr>
          <w:p w14:paraId="6DE8E93A">
            <w:pPr>
              <w:spacing w:line="240" w:lineRule="exact"/>
              <w:ind w:firstLine="420" w:firstLineChars="200"/>
            </w:pPr>
            <w:r>
              <w:rPr>
                <w:rFonts w:hint="eastAsia"/>
              </w:rPr>
              <w:t>①是否遵守相关法律法规和业务管理规定；</w:t>
            </w:r>
          </w:p>
          <w:p w14:paraId="4BFE2751">
            <w:pPr>
              <w:spacing w:line="240" w:lineRule="exact"/>
              <w:ind w:firstLine="420" w:firstLineChars="200"/>
            </w:pPr>
            <w:r>
              <w:rPr>
                <w:rFonts w:hint="eastAsia"/>
              </w:rPr>
              <w:t>②项目调整及支出调整手续是否完整；</w:t>
            </w:r>
          </w:p>
          <w:p w14:paraId="39479E5B">
            <w:pPr>
              <w:spacing w:line="240" w:lineRule="exact"/>
              <w:ind w:firstLine="420" w:firstLineChars="200"/>
            </w:pPr>
            <w:r>
              <w:rPr>
                <w:rFonts w:hint="eastAsia"/>
              </w:rPr>
              <w:t>③项目申报、审核等资料是否齐全并及时归档。</w:t>
            </w:r>
          </w:p>
          <w:p w14:paraId="2064A184">
            <w:pPr>
              <w:spacing w:line="240" w:lineRule="exact"/>
              <w:ind w:firstLine="420" w:firstLineChars="200"/>
            </w:pPr>
            <w:r>
              <w:rPr>
                <w:rFonts w:hint="eastAsia"/>
              </w:rPr>
              <w:t>符合要求得4分，否则，按照绩效目标完成比例得分</w:t>
            </w:r>
          </w:p>
        </w:tc>
      </w:tr>
      <w:tr w14:paraId="7745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75" w:type="dxa"/>
            <w:vMerge w:val="continue"/>
            <w:vAlign w:val="center"/>
          </w:tcPr>
          <w:p w14:paraId="0FC0F134">
            <w:pPr>
              <w:spacing w:line="240" w:lineRule="exact"/>
            </w:pPr>
          </w:p>
        </w:tc>
        <w:tc>
          <w:tcPr>
            <w:tcW w:w="1097" w:type="dxa"/>
            <w:vMerge w:val="continue"/>
            <w:vAlign w:val="center"/>
          </w:tcPr>
          <w:p w14:paraId="70DE513D">
            <w:pPr>
              <w:spacing w:line="240" w:lineRule="exact"/>
            </w:pPr>
          </w:p>
        </w:tc>
        <w:tc>
          <w:tcPr>
            <w:tcW w:w="1304" w:type="dxa"/>
            <w:vAlign w:val="center"/>
          </w:tcPr>
          <w:p w14:paraId="49DC0147">
            <w:pPr>
              <w:spacing w:line="240" w:lineRule="exact"/>
              <w:ind w:firstLine="420" w:firstLineChars="200"/>
            </w:pPr>
            <w:r>
              <w:rPr>
                <w:rFonts w:hint="eastAsia"/>
              </w:rPr>
              <w:t>项目质量</w:t>
            </w:r>
          </w:p>
          <w:p w14:paraId="5180A494">
            <w:pPr>
              <w:spacing w:line="240" w:lineRule="exact"/>
              <w:ind w:firstLine="420" w:firstLineChars="200"/>
            </w:pPr>
            <w:r>
              <w:rPr>
                <w:rFonts w:hint="eastAsia"/>
              </w:rPr>
              <w:t>的可控性</w:t>
            </w:r>
          </w:p>
        </w:tc>
        <w:tc>
          <w:tcPr>
            <w:tcW w:w="3015" w:type="dxa"/>
            <w:vAlign w:val="center"/>
          </w:tcPr>
          <w:p w14:paraId="42F966BA">
            <w:pPr>
              <w:spacing w:line="240" w:lineRule="exact"/>
            </w:pPr>
            <w:r>
              <w:rPr>
                <w:rFonts w:hint="eastAsia"/>
              </w:rPr>
              <w:t>项目实施单位是否为达到项目质量要求而采取了必需的措施。用以反映和考核项目实施单位对项目质量的控制情况。</w:t>
            </w:r>
          </w:p>
        </w:tc>
        <w:tc>
          <w:tcPr>
            <w:tcW w:w="2980" w:type="dxa"/>
            <w:vAlign w:val="center"/>
          </w:tcPr>
          <w:p w14:paraId="305A319B">
            <w:pPr>
              <w:spacing w:line="240" w:lineRule="exact"/>
              <w:ind w:firstLine="420" w:firstLineChars="200"/>
            </w:pPr>
            <w:r>
              <w:rPr>
                <w:rFonts w:hint="eastAsia"/>
              </w:rPr>
              <w:t>①是否具有或制定了相应的项目质量要求或标准；</w:t>
            </w:r>
          </w:p>
          <w:p w14:paraId="58187BB5">
            <w:pPr>
              <w:spacing w:line="240" w:lineRule="exact"/>
              <w:ind w:firstLine="420" w:firstLineChars="200"/>
            </w:pPr>
            <w:r>
              <w:rPr>
                <w:rFonts w:hint="eastAsia"/>
              </w:rPr>
              <w:t>②是否采取了必需的控制措施或手段。</w:t>
            </w:r>
          </w:p>
          <w:p w14:paraId="7C843E61">
            <w:pPr>
              <w:spacing w:line="240" w:lineRule="exact"/>
              <w:ind w:firstLine="420" w:firstLineChars="200"/>
            </w:pPr>
            <w:r>
              <w:rPr>
                <w:rFonts w:hint="eastAsia"/>
              </w:rPr>
              <w:t>符合要求得3分，不符合要求，一项扣1.5分，扣完为止</w:t>
            </w:r>
          </w:p>
        </w:tc>
      </w:tr>
      <w:tr w14:paraId="0BE9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75" w:type="dxa"/>
            <w:vMerge w:val="restart"/>
            <w:vAlign w:val="center"/>
          </w:tcPr>
          <w:p w14:paraId="46A87492">
            <w:pPr>
              <w:spacing w:line="240" w:lineRule="exact"/>
              <w:ind w:firstLine="420" w:firstLineChars="200"/>
            </w:pPr>
            <w:bookmarkStart w:id="91" w:name="_Toc39601331"/>
            <w:r>
              <w:rPr>
                <w:rFonts w:hint="eastAsia"/>
              </w:rPr>
              <w:t>项目绩效</w:t>
            </w:r>
            <w:bookmarkEnd w:id="91"/>
          </w:p>
          <w:p w14:paraId="41F1C9F7">
            <w:pPr>
              <w:spacing w:line="240" w:lineRule="exact"/>
              <w:ind w:firstLine="420" w:firstLineChars="200"/>
            </w:pPr>
            <w:r>
              <w:rPr>
                <w:rFonts w:hint="eastAsia"/>
              </w:rPr>
              <w:t>60分</w:t>
            </w:r>
          </w:p>
        </w:tc>
        <w:tc>
          <w:tcPr>
            <w:tcW w:w="1097" w:type="dxa"/>
            <w:vMerge w:val="restart"/>
            <w:vAlign w:val="center"/>
          </w:tcPr>
          <w:p w14:paraId="793140B0">
            <w:pPr>
              <w:spacing w:line="240" w:lineRule="exact"/>
              <w:ind w:firstLine="420" w:firstLineChars="200"/>
            </w:pPr>
            <w:r>
              <w:rPr>
                <w:rFonts w:hint="eastAsia"/>
              </w:rPr>
              <w:t>数量指标</w:t>
            </w:r>
          </w:p>
          <w:p w14:paraId="72D47B32">
            <w:pPr>
              <w:spacing w:line="240" w:lineRule="exact"/>
              <w:ind w:firstLine="420" w:firstLineChars="200"/>
            </w:pPr>
            <w:r>
              <w:rPr>
                <w:rFonts w:hint="eastAsia"/>
              </w:rPr>
              <w:t>12分</w:t>
            </w:r>
          </w:p>
        </w:tc>
        <w:tc>
          <w:tcPr>
            <w:tcW w:w="1304" w:type="dxa"/>
            <w:vAlign w:val="center"/>
          </w:tcPr>
          <w:p w14:paraId="294836D8">
            <w:pPr>
              <w:spacing w:line="240" w:lineRule="exact"/>
            </w:pPr>
            <w:r>
              <w:rPr>
                <w:rFonts w:hint="eastAsia"/>
              </w:rPr>
              <w:t>实施企业技术改造项目10个</w:t>
            </w:r>
          </w:p>
        </w:tc>
        <w:tc>
          <w:tcPr>
            <w:tcW w:w="3015" w:type="dxa"/>
            <w:vAlign w:val="center"/>
          </w:tcPr>
          <w:p w14:paraId="74F910A1">
            <w:pPr>
              <w:spacing w:line="240" w:lineRule="exact"/>
            </w:pPr>
            <w:r>
              <w:rPr>
                <w:rFonts w:hint="eastAsia"/>
              </w:rPr>
              <w:t>2020年实施企业技术改造项目不少于10个。</w:t>
            </w:r>
          </w:p>
        </w:tc>
        <w:tc>
          <w:tcPr>
            <w:tcW w:w="2980" w:type="dxa"/>
            <w:vAlign w:val="center"/>
          </w:tcPr>
          <w:p w14:paraId="58D422E1">
            <w:pPr>
              <w:spacing w:line="240" w:lineRule="exact"/>
            </w:pPr>
            <w:r>
              <w:rPr>
                <w:rFonts w:hint="eastAsia"/>
              </w:rPr>
              <w:t>满分4分，实施企业技术改造项目10个及以上得得满分；否则，按照绩效目标完成比例得分</w:t>
            </w:r>
          </w:p>
        </w:tc>
      </w:tr>
      <w:tr w14:paraId="0DCE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75" w:type="dxa"/>
            <w:vMerge w:val="continue"/>
            <w:vAlign w:val="center"/>
          </w:tcPr>
          <w:p w14:paraId="2F4EF5F6">
            <w:pPr>
              <w:spacing w:line="240" w:lineRule="exact"/>
            </w:pPr>
          </w:p>
        </w:tc>
        <w:tc>
          <w:tcPr>
            <w:tcW w:w="1097" w:type="dxa"/>
            <w:vMerge w:val="continue"/>
            <w:vAlign w:val="center"/>
          </w:tcPr>
          <w:p w14:paraId="36596D77">
            <w:pPr>
              <w:spacing w:line="240" w:lineRule="exact"/>
            </w:pPr>
          </w:p>
        </w:tc>
        <w:tc>
          <w:tcPr>
            <w:tcW w:w="1304" w:type="dxa"/>
            <w:vAlign w:val="center"/>
          </w:tcPr>
          <w:p w14:paraId="301F3DEA">
            <w:pPr>
              <w:spacing w:line="240" w:lineRule="exact"/>
            </w:pPr>
            <w:r>
              <w:rPr>
                <w:rFonts w:hint="eastAsia"/>
              </w:rPr>
              <w:t>实施鞋业转型升级18个</w:t>
            </w:r>
          </w:p>
        </w:tc>
        <w:tc>
          <w:tcPr>
            <w:tcW w:w="3015" w:type="dxa"/>
            <w:vAlign w:val="center"/>
          </w:tcPr>
          <w:p w14:paraId="32A41E78">
            <w:pPr>
              <w:spacing w:line="240" w:lineRule="exact"/>
            </w:pPr>
            <w:r>
              <w:rPr>
                <w:rFonts w:hint="eastAsia"/>
              </w:rPr>
              <w:t>2020年实施鞋业转型升级不少于18个。</w:t>
            </w:r>
          </w:p>
        </w:tc>
        <w:tc>
          <w:tcPr>
            <w:tcW w:w="2980" w:type="dxa"/>
            <w:vAlign w:val="center"/>
          </w:tcPr>
          <w:p w14:paraId="5B0FF8CC">
            <w:pPr>
              <w:spacing w:line="240" w:lineRule="exact"/>
            </w:pPr>
            <w:r>
              <w:rPr>
                <w:rFonts w:hint="eastAsia"/>
              </w:rPr>
              <w:t>满分4分，实施鞋业业转型升级项目18个及以上得得满分；否则，按照绩效目标完成比例得分</w:t>
            </w:r>
          </w:p>
        </w:tc>
      </w:tr>
      <w:tr w14:paraId="531E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75" w:type="dxa"/>
            <w:vMerge w:val="continue"/>
            <w:vAlign w:val="center"/>
          </w:tcPr>
          <w:p w14:paraId="0005054A">
            <w:pPr>
              <w:spacing w:line="240" w:lineRule="exact"/>
            </w:pPr>
          </w:p>
        </w:tc>
        <w:tc>
          <w:tcPr>
            <w:tcW w:w="1097" w:type="dxa"/>
            <w:vMerge w:val="continue"/>
            <w:vAlign w:val="center"/>
          </w:tcPr>
          <w:p w14:paraId="6B1086C5">
            <w:pPr>
              <w:spacing w:line="240" w:lineRule="exact"/>
            </w:pPr>
          </w:p>
        </w:tc>
        <w:tc>
          <w:tcPr>
            <w:tcW w:w="1304" w:type="dxa"/>
            <w:vAlign w:val="center"/>
          </w:tcPr>
          <w:p w14:paraId="21636E37">
            <w:pPr>
              <w:spacing w:line="240" w:lineRule="exact"/>
              <w:ind w:firstLine="420" w:firstLineChars="200"/>
            </w:pPr>
            <w:r>
              <w:rPr>
                <w:rFonts w:hint="eastAsia"/>
              </w:rPr>
              <w:t>补助平台经</w:t>
            </w:r>
          </w:p>
          <w:p w14:paraId="2DFE2395">
            <w:pPr>
              <w:spacing w:line="240" w:lineRule="exact"/>
              <w:ind w:firstLine="420" w:firstLineChars="200"/>
            </w:pPr>
            <w:r>
              <w:rPr>
                <w:rFonts w:hint="eastAsia"/>
              </w:rPr>
              <w:t>济项目</w:t>
            </w:r>
          </w:p>
        </w:tc>
        <w:tc>
          <w:tcPr>
            <w:tcW w:w="3015" w:type="dxa"/>
            <w:vAlign w:val="center"/>
          </w:tcPr>
          <w:p w14:paraId="2956E046">
            <w:pPr>
              <w:spacing w:line="240" w:lineRule="exact"/>
            </w:pPr>
            <w:r>
              <w:rPr>
                <w:rFonts w:hint="eastAsia"/>
              </w:rPr>
              <w:t>2020年补助平台经济项目不少于1个。</w:t>
            </w:r>
          </w:p>
        </w:tc>
        <w:tc>
          <w:tcPr>
            <w:tcW w:w="2980" w:type="dxa"/>
            <w:vAlign w:val="center"/>
          </w:tcPr>
          <w:p w14:paraId="40C8BA4C">
            <w:pPr>
              <w:spacing w:line="240" w:lineRule="exact"/>
            </w:pPr>
            <w:r>
              <w:rPr>
                <w:rFonts w:hint="eastAsia"/>
              </w:rPr>
              <w:t>满分4分，补助平台经济项目1个及以上的得满分；否则，按照绩效目标完成比例得分</w:t>
            </w:r>
          </w:p>
        </w:tc>
      </w:tr>
      <w:tr w14:paraId="53A2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14:paraId="4DF13607">
            <w:pPr>
              <w:spacing w:line="240" w:lineRule="exact"/>
            </w:pPr>
          </w:p>
        </w:tc>
        <w:tc>
          <w:tcPr>
            <w:tcW w:w="1097" w:type="dxa"/>
            <w:vMerge w:val="restart"/>
            <w:vAlign w:val="center"/>
          </w:tcPr>
          <w:p w14:paraId="593C8298">
            <w:pPr>
              <w:spacing w:line="240" w:lineRule="exact"/>
              <w:ind w:firstLine="420" w:firstLineChars="200"/>
            </w:pPr>
            <w:r>
              <w:rPr>
                <w:rFonts w:hint="eastAsia"/>
              </w:rPr>
              <w:t>成本指标</w:t>
            </w:r>
          </w:p>
          <w:p w14:paraId="5F3DCE3C">
            <w:pPr>
              <w:spacing w:line="240" w:lineRule="exact"/>
              <w:ind w:firstLine="420" w:firstLineChars="200"/>
            </w:pPr>
            <w:r>
              <w:rPr>
                <w:rFonts w:hint="eastAsia"/>
              </w:rPr>
              <w:t>20分</w:t>
            </w:r>
          </w:p>
        </w:tc>
        <w:tc>
          <w:tcPr>
            <w:tcW w:w="1304" w:type="dxa"/>
            <w:vAlign w:val="center"/>
          </w:tcPr>
          <w:p w14:paraId="45CE341B">
            <w:pPr>
              <w:spacing w:line="240" w:lineRule="exact"/>
            </w:pPr>
            <w:r>
              <w:rPr>
                <w:rFonts w:hint="eastAsia"/>
              </w:rPr>
              <w:t>2020年鞋业转型升级</w:t>
            </w:r>
          </w:p>
        </w:tc>
        <w:tc>
          <w:tcPr>
            <w:tcW w:w="3015" w:type="dxa"/>
            <w:vAlign w:val="center"/>
          </w:tcPr>
          <w:p w14:paraId="64C8A477">
            <w:pPr>
              <w:spacing w:line="240" w:lineRule="exact"/>
            </w:pPr>
            <w:r>
              <w:rPr>
                <w:rFonts w:hint="eastAsia"/>
              </w:rPr>
              <w:t>2020年鞋业转型升级项目补助额不超过3000万元。</w:t>
            </w:r>
          </w:p>
        </w:tc>
        <w:tc>
          <w:tcPr>
            <w:tcW w:w="2980" w:type="dxa"/>
            <w:vAlign w:val="center"/>
          </w:tcPr>
          <w:p w14:paraId="65F693D1">
            <w:pPr>
              <w:spacing w:line="240" w:lineRule="exact"/>
            </w:pPr>
            <w:r>
              <w:rPr>
                <w:rFonts w:hint="eastAsia"/>
              </w:rPr>
              <w:t>满分4分，全部达到绩效目标的，得满分；否则，按照绩效目标完成比例得分</w:t>
            </w:r>
          </w:p>
        </w:tc>
      </w:tr>
      <w:tr w14:paraId="21B6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14:paraId="674A99A9">
            <w:pPr>
              <w:spacing w:line="240" w:lineRule="exact"/>
            </w:pPr>
          </w:p>
        </w:tc>
        <w:tc>
          <w:tcPr>
            <w:tcW w:w="1097" w:type="dxa"/>
            <w:vMerge w:val="continue"/>
            <w:vAlign w:val="center"/>
          </w:tcPr>
          <w:p w14:paraId="0216AD72">
            <w:pPr>
              <w:spacing w:line="240" w:lineRule="exact"/>
            </w:pPr>
          </w:p>
        </w:tc>
        <w:tc>
          <w:tcPr>
            <w:tcW w:w="1304" w:type="dxa"/>
            <w:vAlign w:val="center"/>
          </w:tcPr>
          <w:p w14:paraId="60790DA5">
            <w:pPr>
              <w:spacing w:line="240" w:lineRule="exact"/>
            </w:pPr>
            <w:r>
              <w:rPr>
                <w:rFonts w:hint="eastAsia"/>
              </w:rPr>
              <w:t>2020年企业技术设备改造补助</w:t>
            </w:r>
          </w:p>
        </w:tc>
        <w:tc>
          <w:tcPr>
            <w:tcW w:w="3015" w:type="dxa"/>
            <w:vAlign w:val="center"/>
          </w:tcPr>
          <w:p w14:paraId="7D9DE8E5">
            <w:pPr>
              <w:spacing w:line="240" w:lineRule="exact"/>
            </w:pPr>
            <w:r>
              <w:rPr>
                <w:rFonts w:hint="eastAsia"/>
              </w:rPr>
              <w:t>2020年企业技术设备改造项目补助不超过1600万元。</w:t>
            </w:r>
          </w:p>
        </w:tc>
        <w:tc>
          <w:tcPr>
            <w:tcW w:w="2980" w:type="dxa"/>
            <w:vAlign w:val="center"/>
          </w:tcPr>
          <w:p w14:paraId="545EA28A">
            <w:pPr>
              <w:spacing w:line="240" w:lineRule="exact"/>
            </w:pPr>
            <w:r>
              <w:rPr>
                <w:rFonts w:hint="eastAsia"/>
              </w:rPr>
              <w:t>满分4分，全部达到绩效目标的，得满分；否则，按照绩效目标完成比例得分</w:t>
            </w:r>
          </w:p>
        </w:tc>
      </w:tr>
      <w:tr w14:paraId="5A91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14:paraId="60EADD09">
            <w:pPr>
              <w:spacing w:line="240" w:lineRule="exact"/>
            </w:pPr>
          </w:p>
        </w:tc>
        <w:tc>
          <w:tcPr>
            <w:tcW w:w="1097" w:type="dxa"/>
            <w:vMerge w:val="continue"/>
            <w:vAlign w:val="center"/>
          </w:tcPr>
          <w:p w14:paraId="7C7D7E9F">
            <w:pPr>
              <w:spacing w:line="240" w:lineRule="exact"/>
            </w:pPr>
          </w:p>
        </w:tc>
        <w:tc>
          <w:tcPr>
            <w:tcW w:w="1304" w:type="dxa"/>
            <w:vAlign w:val="center"/>
          </w:tcPr>
          <w:p w14:paraId="707C86A1">
            <w:pPr>
              <w:spacing w:line="240" w:lineRule="exact"/>
              <w:ind w:firstLine="420" w:firstLineChars="200"/>
            </w:pPr>
            <w:r>
              <w:rPr>
                <w:rFonts w:hint="eastAsia"/>
              </w:rPr>
              <w:t>2020年两节稳定运行</w:t>
            </w:r>
          </w:p>
          <w:p w14:paraId="296D17B8">
            <w:pPr>
              <w:spacing w:line="240" w:lineRule="exact"/>
              <w:ind w:firstLine="420" w:firstLineChars="200"/>
            </w:pPr>
            <w:r>
              <w:rPr>
                <w:rFonts w:hint="eastAsia"/>
              </w:rPr>
              <w:t>奖励资金</w:t>
            </w:r>
          </w:p>
        </w:tc>
        <w:tc>
          <w:tcPr>
            <w:tcW w:w="3015" w:type="dxa"/>
            <w:vAlign w:val="center"/>
          </w:tcPr>
          <w:p w14:paraId="585AD4AF">
            <w:pPr>
              <w:spacing w:line="240" w:lineRule="exact"/>
            </w:pPr>
            <w:r>
              <w:rPr>
                <w:rFonts w:hint="eastAsia"/>
              </w:rPr>
              <w:t>2020年两节稳定运行奖励资金不超过450万元。</w:t>
            </w:r>
          </w:p>
        </w:tc>
        <w:tc>
          <w:tcPr>
            <w:tcW w:w="2980" w:type="dxa"/>
            <w:vAlign w:val="center"/>
          </w:tcPr>
          <w:p w14:paraId="4E753AF3">
            <w:pPr>
              <w:spacing w:line="240" w:lineRule="exact"/>
            </w:pPr>
            <w:r>
              <w:rPr>
                <w:rFonts w:hint="eastAsia"/>
              </w:rPr>
              <w:t>满分4分，全部达到绩效目标的，得满分；否则，按照绩效目标完成比例得分</w:t>
            </w:r>
          </w:p>
        </w:tc>
      </w:tr>
      <w:tr w14:paraId="50FE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14:paraId="1CDE56FD">
            <w:pPr>
              <w:spacing w:line="240" w:lineRule="exact"/>
            </w:pPr>
          </w:p>
        </w:tc>
        <w:tc>
          <w:tcPr>
            <w:tcW w:w="1097" w:type="dxa"/>
            <w:vMerge w:val="continue"/>
            <w:vAlign w:val="center"/>
          </w:tcPr>
          <w:p w14:paraId="3AC27665">
            <w:pPr>
              <w:spacing w:line="240" w:lineRule="exact"/>
            </w:pPr>
          </w:p>
        </w:tc>
        <w:tc>
          <w:tcPr>
            <w:tcW w:w="1304" w:type="dxa"/>
            <w:vAlign w:val="center"/>
          </w:tcPr>
          <w:p w14:paraId="35B58FBE">
            <w:pPr>
              <w:spacing w:line="240" w:lineRule="exact"/>
            </w:pPr>
            <w:r>
              <w:rPr>
                <w:rFonts w:hint="eastAsia"/>
              </w:rPr>
              <w:t>2020年其他需要兑现的工业资金</w:t>
            </w:r>
          </w:p>
        </w:tc>
        <w:tc>
          <w:tcPr>
            <w:tcW w:w="3015" w:type="dxa"/>
            <w:vAlign w:val="center"/>
          </w:tcPr>
          <w:p w14:paraId="133C9D27">
            <w:pPr>
              <w:spacing w:line="240" w:lineRule="exact"/>
            </w:pPr>
            <w:r>
              <w:rPr>
                <w:rFonts w:hint="eastAsia"/>
              </w:rPr>
              <w:t>2020年其他需要兑现的工业资金不超过850万元。</w:t>
            </w:r>
          </w:p>
        </w:tc>
        <w:tc>
          <w:tcPr>
            <w:tcW w:w="2980" w:type="dxa"/>
            <w:vAlign w:val="center"/>
          </w:tcPr>
          <w:p w14:paraId="153B0972">
            <w:pPr>
              <w:spacing w:line="240" w:lineRule="exact"/>
            </w:pPr>
            <w:r>
              <w:rPr>
                <w:rFonts w:hint="eastAsia"/>
              </w:rPr>
              <w:t>满分4分，全部达到绩效目标的，得满分；否则，按照绩效目标完成比例得分</w:t>
            </w:r>
          </w:p>
        </w:tc>
      </w:tr>
      <w:tr w14:paraId="58A3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14:paraId="3C675BDA">
            <w:pPr>
              <w:spacing w:line="240" w:lineRule="exact"/>
            </w:pPr>
          </w:p>
        </w:tc>
        <w:tc>
          <w:tcPr>
            <w:tcW w:w="1097" w:type="dxa"/>
            <w:vMerge w:val="continue"/>
            <w:vAlign w:val="center"/>
          </w:tcPr>
          <w:p w14:paraId="60C280E3">
            <w:pPr>
              <w:spacing w:line="240" w:lineRule="exact"/>
            </w:pPr>
          </w:p>
        </w:tc>
        <w:tc>
          <w:tcPr>
            <w:tcW w:w="1304" w:type="dxa"/>
            <w:vAlign w:val="center"/>
          </w:tcPr>
          <w:p w14:paraId="52A6D662">
            <w:pPr>
              <w:spacing w:line="240" w:lineRule="exact"/>
            </w:pPr>
            <w:r>
              <w:rPr>
                <w:rFonts w:hint="eastAsia"/>
              </w:rPr>
              <w:t>2020年研究院等平台补助</w:t>
            </w:r>
          </w:p>
        </w:tc>
        <w:tc>
          <w:tcPr>
            <w:tcW w:w="3015" w:type="dxa"/>
            <w:vAlign w:val="center"/>
          </w:tcPr>
          <w:p w14:paraId="68705914">
            <w:pPr>
              <w:spacing w:line="240" w:lineRule="exact"/>
            </w:pPr>
            <w:r>
              <w:rPr>
                <w:rFonts w:hint="eastAsia"/>
              </w:rPr>
              <w:t>2020年研究院等平台补助额不超过683万元。</w:t>
            </w:r>
          </w:p>
        </w:tc>
        <w:tc>
          <w:tcPr>
            <w:tcW w:w="2980" w:type="dxa"/>
            <w:vAlign w:val="center"/>
          </w:tcPr>
          <w:p w14:paraId="550B926C">
            <w:pPr>
              <w:spacing w:line="240" w:lineRule="exact"/>
            </w:pPr>
            <w:r>
              <w:rPr>
                <w:rFonts w:hint="eastAsia"/>
              </w:rPr>
              <w:t>满分4分，全部达到绩效目标的，得满分；否则，按照绩效目标完成比例得分</w:t>
            </w:r>
          </w:p>
        </w:tc>
      </w:tr>
      <w:tr w14:paraId="1322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14:paraId="748DB812">
            <w:pPr>
              <w:spacing w:line="240" w:lineRule="exact"/>
            </w:pPr>
          </w:p>
        </w:tc>
        <w:tc>
          <w:tcPr>
            <w:tcW w:w="1097" w:type="dxa"/>
            <w:vAlign w:val="center"/>
          </w:tcPr>
          <w:p w14:paraId="03B28FAD">
            <w:pPr>
              <w:spacing w:line="240" w:lineRule="exact"/>
              <w:ind w:firstLine="420" w:firstLineChars="200"/>
            </w:pPr>
            <w:r>
              <w:rPr>
                <w:rFonts w:hint="eastAsia"/>
              </w:rPr>
              <w:t>质量指标</w:t>
            </w:r>
          </w:p>
          <w:p w14:paraId="1921DE14">
            <w:pPr>
              <w:spacing w:line="240" w:lineRule="exact"/>
              <w:ind w:firstLine="420" w:firstLineChars="200"/>
            </w:pPr>
            <w:r>
              <w:rPr>
                <w:rFonts w:hint="eastAsia"/>
              </w:rPr>
              <w:t>4分</w:t>
            </w:r>
          </w:p>
        </w:tc>
        <w:tc>
          <w:tcPr>
            <w:tcW w:w="1304" w:type="dxa"/>
            <w:vAlign w:val="center"/>
          </w:tcPr>
          <w:p w14:paraId="1525D4AB">
            <w:pPr>
              <w:spacing w:line="240" w:lineRule="exact"/>
            </w:pPr>
            <w:r>
              <w:rPr>
                <w:rFonts w:hint="eastAsia"/>
              </w:rPr>
              <w:t>2020年产值增幅10%以上企业数量提高率</w:t>
            </w:r>
          </w:p>
        </w:tc>
        <w:tc>
          <w:tcPr>
            <w:tcW w:w="3015" w:type="dxa"/>
            <w:vAlign w:val="center"/>
          </w:tcPr>
          <w:p w14:paraId="09123628">
            <w:pPr>
              <w:spacing w:line="240" w:lineRule="exact"/>
            </w:pPr>
            <w:r>
              <w:rPr>
                <w:rFonts w:hint="eastAsia"/>
              </w:rPr>
              <w:t>2020年产值增幅3%及以上企业数量提高率。</w:t>
            </w:r>
          </w:p>
        </w:tc>
        <w:tc>
          <w:tcPr>
            <w:tcW w:w="2980" w:type="dxa"/>
            <w:vAlign w:val="center"/>
          </w:tcPr>
          <w:p w14:paraId="509F1DC8">
            <w:pPr>
              <w:spacing w:line="240" w:lineRule="exact"/>
            </w:pPr>
            <w:r>
              <w:rPr>
                <w:rFonts w:hint="eastAsia"/>
              </w:rPr>
              <w:t>满分4分，产值增幅10%以上企业数量提高率达3%及以上的得满分；否则，按照绩效目标完成比例得分</w:t>
            </w:r>
          </w:p>
        </w:tc>
      </w:tr>
      <w:tr w14:paraId="40DC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75" w:type="dxa"/>
            <w:vMerge w:val="continue"/>
            <w:vAlign w:val="center"/>
          </w:tcPr>
          <w:p w14:paraId="2883C2EA">
            <w:pPr>
              <w:spacing w:line="240" w:lineRule="exact"/>
            </w:pPr>
          </w:p>
        </w:tc>
        <w:tc>
          <w:tcPr>
            <w:tcW w:w="1097" w:type="dxa"/>
            <w:vMerge w:val="restart"/>
            <w:vAlign w:val="center"/>
          </w:tcPr>
          <w:p w14:paraId="360FE4DE">
            <w:pPr>
              <w:spacing w:line="240" w:lineRule="exact"/>
            </w:pPr>
            <w:r>
              <w:rPr>
                <w:rFonts w:hint="eastAsia"/>
              </w:rPr>
              <w:t>效益指标16分</w:t>
            </w:r>
          </w:p>
        </w:tc>
        <w:tc>
          <w:tcPr>
            <w:tcW w:w="1304" w:type="dxa"/>
            <w:vAlign w:val="center"/>
          </w:tcPr>
          <w:p w14:paraId="29AF1D07">
            <w:pPr>
              <w:spacing w:line="240" w:lineRule="exact"/>
              <w:ind w:firstLine="420" w:firstLineChars="200"/>
            </w:pPr>
            <w:r>
              <w:rPr>
                <w:rFonts w:hint="eastAsia"/>
              </w:rPr>
              <w:t>经济效益</w:t>
            </w:r>
          </w:p>
          <w:p w14:paraId="7730F4B7">
            <w:pPr>
              <w:spacing w:line="240" w:lineRule="exact"/>
              <w:ind w:firstLine="420" w:firstLineChars="200"/>
            </w:pPr>
            <w:r>
              <w:rPr>
                <w:rFonts w:hint="eastAsia"/>
              </w:rPr>
              <w:t>指标</w:t>
            </w:r>
          </w:p>
        </w:tc>
        <w:tc>
          <w:tcPr>
            <w:tcW w:w="3015" w:type="dxa"/>
            <w:vAlign w:val="center"/>
          </w:tcPr>
          <w:p w14:paraId="45688A56">
            <w:pPr>
              <w:spacing w:line="240" w:lineRule="exact"/>
            </w:pPr>
            <w:r>
              <w:rPr>
                <w:rFonts w:hint="eastAsia"/>
              </w:rPr>
              <w:t>2020年行业产销量率提升率15%。</w:t>
            </w:r>
          </w:p>
        </w:tc>
        <w:tc>
          <w:tcPr>
            <w:tcW w:w="2980" w:type="dxa"/>
            <w:vAlign w:val="center"/>
          </w:tcPr>
          <w:p w14:paraId="6506C348">
            <w:pPr>
              <w:spacing w:line="240" w:lineRule="exact"/>
            </w:pPr>
            <w:r>
              <w:rPr>
                <w:rFonts w:hint="eastAsia"/>
              </w:rPr>
              <w:t>满分4分，产值增幅15%及以上的得满分；否则，按照绩效目标完成比例得分</w:t>
            </w:r>
          </w:p>
        </w:tc>
      </w:tr>
      <w:tr w14:paraId="3AA0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75" w:type="dxa"/>
            <w:vMerge w:val="continue"/>
            <w:vAlign w:val="center"/>
          </w:tcPr>
          <w:p w14:paraId="0CBCD411">
            <w:pPr>
              <w:spacing w:line="240" w:lineRule="exact"/>
            </w:pPr>
          </w:p>
        </w:tc>
        <w:tc>
          <w:tcPr>
            <w:tcW w:w="1097" w:type="dxa"/>
            <w:vMerge w:val="continue"/>
            <w:vAlign w:val="center"/>
          </w:tcPr>
          <w:p w14:paraId="4B643BAD">
            <w:pPr>
              <w:spacing w:line="240" w:lineRule="exact"/>
            </w:pPr>
          </w:p>
        </w:tc>
        <w:tc>
          <w:tcPr>
            <w:tcW w:w="1304" w:type="dxa"/>
            <w:vMerge w:val="restart"/>
            <w:vAlign w:val="center"/>
          </w:tcPr>
          <w:p w14:paraId="09CB13C5">
            <w:pPr>
              <w:spacing w:line="240" w:lineRule="exact"/>
              <w:ind w:firstLine="420" w:firstLineChars="200"/>
            </w:pPr>
            <w:r>
              <w:rPr>
                <w:rFonts w:hint="eastAsia"/>
              </w:rPr>
              <w:t>社会效益</w:t>
            </w:r>
          </w:p>
          <w:p w14:paraId="1744CE92">
            <w:pPr>
              <w:spacing w:line="240" w:lineRule="exact"/>
              <w:ind w:firstLine="420" w:firstLineChars="200"/>
            </w:pPr>
            <w:r>
              <w:rPr>
                <w:rFonts w:hint="eastAsia"/>
              </w:rPr>
              <w:t>指标</w:t>
            </w:r>
          </w:p>
        </w:tc>
        <w:tc>
          <w:tcPr>
            <w:tcW w:w="3015" w:type="dxa"/>
            <w:vAlign w:val="center"/>
          </w:tcPr>
          <w:p w14:paraId="591DDB5B">
            <w:pPr>
              <w:spacing w:line="240" w:lineRule="exact"/>
            </w:pPr>
            <w:r>
              <w:rPr>
                <w:rFonts w:hint="eastAsia"/>
              </w:rPr>
              <w:t>2020年实现工业技改投资280万元。</w:t>
            </w:r>
          </w:p>
        </w:tc>
        <w:tc>
          <w:tcPr>
            <w:tcW w:w="2980" w:type="dxa"/>
            <w:vAlign w:val="center"/>
          </w:tcPr>
          <w:p w14:paraId="49B0B5B4">
            <w:pPr>
              <w:spacing w:line="240" w:lineRule="exact"/>
            </w:pPr>
            <w:r>
              <w:rPr>
                <w:rFonts w:hint="eastAsia"/>
              </w:rPr>
              <w:t>满分2分，实现工业技改投资280万以上的得满分；否则，按照绩效目标完成比例得分</w:t>
            </w:r>
          </w:p>
        </w:tc>
      </w:tr>
      <w:tr w14:paraId="59B8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75" w:type="dxa"/>
            <w:vMerge w:val="continue"/>
            <w:vAlign w:val="center"/>
          </w:tcPr>
          <w:p w14:paraId="33393659">
            <w:pPr>
              <w:spacing w:line="240" w:lineRule="exact"/>
            </w:pPr>
          </w:p>
        </w:tc>
        <w:tc>
          <w:tcPr>
            <w:tcW w:w="1097" w:type="dxa"/>
            <w:vMerge w:val="continue"/>
            <w:vAlign w:val="center"/>
          </w:tcPr>
          <w:p w14:paraId="7BCE6B0C">
            <w:pPr>
              <w:spacing w:line="240" w:lineRule="exact"/>
            </w:pPr>
          </w:p>
        </w:tc>
        <w:tc>
          <w:tcPr>
            <w:tcW w:w="1304" w:type="dxa"/>
            <w:vMerge w:val="continue"/>
            <w:vAlign w:val="center"/>
          </w:tcPr>
          <w:p w14:paraId="67F05B41">
            <w:pPr>
              <w:spacing w:line="240" w:lineRule="exact"/>
            </w:pPr>
          </w:p>
        </w:tc>
        <w:tc>
          <w:tcPr>
            <w:tcW w:w="3015" w:type="dxa"/>
            <w:vAlign w:val="center"/>
          </w:tcPr>
          <w:p w14:paraId="426AAB20">
            <w:pPr>
              <w:spacing w:line="240" w:lineRule="exact"/>
            </w:pPr>
            <w:r>
              <w:rPr>
                <w:rFonts w:hint="eastAsia"/>
              </w:rPr>
              <w:t>2020年促进全市防疫口罩转产及协作先进企业</w:t>
            </w:r>
          </w:p>
        </w:tc>
        <w:tc>
          <w:tcPr>
            <w:tcW w:w="2980" w:type="dxa"/>
            <w:vAlign w:val="center"/>
          </w:tcPr>
          <w:p w14:paraId="14624B3E">
            <w:pPr>
              <w:spacing w:line="240" w:lineRule="exact"/>
            </w:pPr>
            <w:r>
              <w:rPr>
                <w:rFonts w:hint="eastAsia"/>
              </w:rPr>
              <w:t>满分2分，企业防疫物资生产有序开展得满分，否则，良好得1分，较差不得分。</w:t>
            </w:r>
          </w:p>
        </w:tc>
      </w:tr>
      <w:tr w14:paraId="6403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75" w:type="dxa"/>
            <w:vMerge w:val="continue"/>
            <w:vAlign w:val="center"/>
          </w:tcPr>
          <w:p w14:paraId="2902EBB4">
            <w:pPr>
              <w:spacing w:line="240" w:lineRule="exact"/>
            </w:pPr>
          </w:p>
        </w:tc>
        <w:tc>
          <w:tcPr>
            <w:tcW w:w="1097" w:type="dxa"/>
            <w:vMerge w:val="continue"/>
            <w:vAlign w:val="center"/>
          </w:tcPr>
          <w:p w14:paraId="5BC35A28">
            <w:pPr>
              <w:spacing w:line="240" w:lineRule="exact"/>
            </w:pPr>
          </w:p>
        </w:tc>
        <w:tc>
          <w:tcPr>
            <w:tcW w:w="1304" w:type="dxa"/>
            <w:vAlign w:val="center"/>
          </w:tcPr>
          <w:p w14:paraId="3A9AB17B">
            <w:pPr>
              <w:spacing w:line="240" w:lineRule="exact"/>
              <w:ind w:firstLine="420" w:firstLineChars="200"/>
            </w:pPr>
            <w:r>
              <w:rPr>
                <w:rFonts w:hint="eastAsia"/>
              </w:rPr>
              <w:t>环境效益</w:t>
            </w:r>
          </w:p>
          <w:p w14:paraId="03818C27">
            <w:pPr>
              <w:spacing w:line="240" w:lineRule="exact"/>
              <w:ind w:firstLine="420" w:firstLineChars="200"/>
            </w:pPr>
            <w:r>
              <w:rPr>
                <w:rFonts w:hint="eastAsia"/>
              </w:rPr>
              <w:t>指标</w:t>
            </w:r>
          </w:p>
        </w:tc>
        <w:tc>
          <w:tcPr>
            <w:tcW w:w="3015" w:type="dxa"/>
            <w:vAlign w:val="center"/>
          </w:tcPr>
          <w:p w14:paraId="08989475">
            <w:pPr>
              <w:spacing w:line="240" w:lineRule="exact"/>
            </w:pPr>
            <w:r>
              <w:rPr>
                <w:rFonts w:hint="eastAsia"/>
              </w:rPr>
              <w:t>2020年单位GDP能耗下降0.5%。</w:t>
            </w:r>
          </w:p>
        </w:tc>
        <w:tc>
          <w:tcPr>
            <w:tcW w:w="2980" w:type="dxa"/>
            <w:vAlign w:val="center"/>
          </w:tcPr>
          <w:p w14:paraId="3E987F89">
            <w:pPr>
              <w:spacing w:line="240" w:lineRule="exact"/>
            </w:pPr>
            <w:r>
              <w:rPr>
                <w:rFonts w:hint="eastAsia"/>
              </w:rPr>
              <w:t>满分4分，单位GDP能耗下降0.5%及以上的得满分；否则，按照绩效目标完成比例得分</w:t>
            </w:r>
          </w:p>
        </w:tc>
      </w:tr>
      <w:tr w14:paraId="2CD3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75" w:type="dxa"/>
            <w:vMerge w:val="continue"/>
            <w:vAlign w:val="center"/>
          </w:tcPr>
          <w:p w14:paraId="09F201C7">
            <w:pPr>
              <w:spacing w:line="240" w:lineRule="exact"/>
            </w:pPr>
          </w:p>
        </w:tc>
        <w:tc>
          <w:tcPr>
            <w:tcW w:w="1097" w:type="dxa"/>
            <w:vMerge w:val="continue"/>
            <w:vAlign w:val="center"/>
          </w:tcPr>
          <w:p w14:paraId="13F42638">
            <w:pPr>
              <w:spacing w:line="240" w:lineRule="exact"/>
            </w:pPr>
          </w:p>
        </w:tc>
        <w:tc>
          <w:tcPr>
            <w:tcW w:w="1304" w:type="dxa"/>
            <w:vAlign w:val="center"/>
          </w:tcPr>
          <w:p w14:paraId="536CEF35">
            <w:pPr>
              <w:spacing w:line="240" w:lineRule="exact"/>
            </w:pPr>
            <w:r>
              <w:rPr>
                <w:rFonts w:hint="eastAsia"/>
              </w:rPr>
              <w:t>可持续影响指标</w:t>
            </w:r>
          </w:p>
        </w:tc>
        <w:tc>
          <w:tcPr>
            <w:tcW w:w="3015" w:type="dxa"/>
            <w:vAlign w:val="center"/>
          </w:tcPr>
          <w:p w14:paraId="6ECC6858">
            <w:pPr>
              <w:spacing w:line="240" w:lineRule="exact"/>
            </w:pPr>
            <w:r>
              <w:rPr>
                <w:rFonts w:hint="eastAsia"/>
              </w:rPr>
              <w:t>2020年规模以上工业增加值增长率3.5%。</w:t>
            </w:r>
          </w:p>
        </w:tc>
        <w:tc>
          <w:tcPr>
            <w:tcW w:w="2980" w:type="dxa"/>
            <w:vAlign w:val="center"/>
          </w:tcPr>
          <w:p w14:paraId="60050C24">
            <w:pPr>
              <w:spacing w:line="240" w:lineRule="exact"/>
            </w:pPr>
            <w:r>
              <w:rPr>
                <w:rFonts w:hint="eastAsia"/>
              </w:rPr>
              <w:t>满分4分，规模以上工业增加值增长率3.5%及以上的得满分；否则，按照绩效目标完成比例得分</w:t>
            </w:r>
          </w:p>
        </w:tc>
      </w:tr>
      <w:tr w14:paraId="418F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75" w:type="dxa"/>
            <w:vMerge w:val="continue"/>
            <w:vAlign w:val="center"/>
          </w:tcPr>
          <w:p w14:paraId="6A8C354F">
            <w:pPr>
              <w:spacing w:line="240" w:lineRule="exact"/>
            </w:pPr>
          </w:p>
        </w:tc>
        <w:tc>
          <w:tcPr>
            <w:tcW w:w="1097" w:type="dxa"/>
            <w:vAlign w:val="center"/>
          </w:tcPr>
          <w:p w14:paraId="3396EB3F">
            <w:pPr>
              <w:spacing w:line="240" w:lineRule="exact"/>
            </w:pPr>
            <w:r>
              <w:rPr>
                <w:rFonts w:hint="eastAsia"/>
              </w:rPr>
              <w:t>服务对象满意度指标8分</w:t>
            </w:r>
          </w:p>
        </w:tc>
        <w:tc>
          <w:tcPr>
            <w:tcW w:w="1304" w:type="dxa"/>
            <w:vAlign w:val="center"/>
          </w:tcPr>
          <w:p w14:paraId="6F5D3BC3">
            <w:pPr>
              <w:spacing w:line="240" w:lineRule="exact"/>
            </w:pPr>
            <w:bookmarkStart w:id="92" w:name="_Toc39601340"/>
            <w:r>
              <w:rPr>
                <w:rFonts w:hint="eastAsia"/>
              </w:rPr>
              <w:t>企业满意度</w:t>
            </w:r>
            <w:bookmarkEnd w:id="92"/>
          </w:p>
        </w:tc>
        <w:tc>
          <w:tcPr>
            <w:tcW w:w="3015" w:type="dxa"/>
            <w:vAlign w:val="center"/>
          </w:tcPr>
          <w:p w14:paraId="33A3101D">
            <w:pPr>
              <w:spacing w:line="240" w:lineRule="exact"/>
            </w:pPr>
            <w:r>
              <w:rPr>
                <w:rFonts w:hint="eastAsia"/>
              </w:rPr>
              <w:t>访谈调查服务对象对工业发展建设的满意程度。</w:t>
            </w:r>
          </w:p>
        </w:tc>
        <w:tc>
          <w:tcPr>
            <w:tcW w:w="2980" w:type="dxa"/>
            <w:vAlign w:val="center"/>
          </w:tcPr>
          <w:p w14:paraId="0266AA9F">
            <w:pPr>
              <w:spacing w:line="240" w:lineRule="exact"/>
            </w:pPr>
            <w:r>
              <w:rPr>
                <w:rFonts w:hint="eastAsia"/>
              </w:rPr>
              <w:t>满分8分，通过调查等方式抽取一定服务对象，对满意度进行调查，每少一个百分点扣0.1分，扣完为止。</w:t>
            </w:r>
          </w:p>
        </w:tc>
      </w:tr>
      <w:tr w14:paraId="76F8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272" w:type="dxa"/>
            <w:gridSpan w:val="2"/>
            <w:vAlign w:val="center"/>
          </w:tcPr>
          <w:p w14:paraId="1F70DFDD">
            <w:pPr>
              <w:spacing w:line="240" w:lineRule="exact"/>
            </w:pPr>
            <w:bookmarkStart w:id="93" w:name="_Toc39601346"/>
            <w:r>
              <w:rPr>
                <w:rFonts w:hint="eastAsia"/>
              </w:rPr>
              <w:t>评分分值</w:t>
            </w:r>
            <w:bookmarkEnd w:id="93"/>
          </w:p>
        </w:tc>
        <w:tc>
          <w:tcPr>
            <w:tcW w:w="7299" w:type="dxa"/>
            <w:gridSpan w:val="3"/>
            <w:vAlign w:val="center"/>
          </w:tcPr>
          <w:p w14:paraId="40A5A667">
            <w:pPr>
              <w:spacing w:line="240" w:lineRule="exact"/>
              <w:ind w:firstLine="420" w:firstLineChars="200"/>
            </w:pPr>
            <w:r>
              <w:rPr>
                <w:rFonts w:hint="eastAsia"/>
              </w:rPr>
              <w:t>90（含）-100分为优秀、80（含）-90分为良、</w:t>
            </w:r>
          </w:p>
          <w:p w14:paraId="0A3B907B">
            <w:pPr>
              <w:spacing w:line="240" w:lineRule="exact"/>
              <w:ind w:firstLine="420" w:firstLineChars="200"/>
            </w:pPr>
            <w:r>
              <w:rPr>
                <w:rFonts w:hint="eastAsia"/>
              </w:rPr>
              <w:t>60（含）-80分为中、60分以下为差</w:t>
            </w:r>
          </w:p>
        </w:tc>
      </w:tr>
    </w:tbl>
    <w:p w14:paraId="6F944642">
      <w:pPr>
        <w:ind w:firstLine="420" w:firstLineChars="200"/>
      </w:pPr>
      <w:bookmarkStart w:id="94" w:name="_Toc5506"/>
      <w:bookmarkStart w:id="95" w:name="_Toc31618"/>
      <w:bookmarkStart w:id="96" w:name="_Toc18634"/>
      <w:bookmarkStart w:id="97" w:name="_Toc24557"/>
      <w:bookmarkStart w:id="98" w:name="_Toc26508"/>
      <w:bookmarkStart w:id="99" w:name="_Toc26576"/>
      <w:bookmarkStart w:id="100" w:name="_Toc263436195"/>
      <w:bookmarkStart w:id="101" w:name="_Toc515964280"/>
      <w:bookmarkStart w:id="102" w:name="_Toc263436247"/>
      <w:bookmarkStart w:id="103" w:name="_Toc263433458"/>
      <w:bookmarkStart w:id="104" w:name="_Toc263433239"/>
      <w:bookmarkStart w:id="105" w:name="_Toc263433030"/>
      <w:r>
        <w:rPr>
          <w:rFonts w:hint="eastAsia"/>
        </w:rPr>
        <w:t>项目</w:t>
      </w:r>
      <w:bookmarkEnd w:id="94"/>
      <w:r>
        <w:rPr>
          <w:rFonts w:hint="eastAsia"/>
        </w:rPr>
        <w:t>绩效分析及绩效评价结论</w:t>
      </w:r>
      <w:bookmarkEnd w:id="95"/>
      <w:bookmarkEnd w:id="96"/>
      <w:bookmarkEnd w:id="97"/>
      <w:bookmarkEnd w:id="98"/>
      <w:bookmarkEnd w:id="99"/>
    </w:p>
    <w:p w14:paraId="677C26E8">
      <w:pPr>
        <w:ind w:firstLine="420" w:firstLineChars="200"/>
      </w:pPr>
      <w:bookmarkStart w:id="106" w:name="_Toc15938"/>
      <w:r>
        <w:rPr>
          <w:rFonts w:hint="eastAsia"/>
        </w:rPr>
        <w:t>为了全面、客观、有效的进行绩效评价，莆田学院财政绩效管理研究中心审阅了莆田市财政局提供的专项资金相关材料，与莆田市财政局进行座谈和征求意见，查阅项目相关资料，收集相关信息，采取定量和定性分析法，通过对3大类28项指标逐步评价，对2020年工业发展专项资金方面进行综合评价。</w:t>
      </w:r>
    </w:p>
    <w:p w14:paraId="7F12FCD7">
      <w:pPr>
        <w:ind w:firstLine="420" w:firstLineChars="200"/>
      </w:pPr>
      <w:bookmarkStart w:id="107" w:name="_Toc13184"/>
      <w:bookmarkStart w:id="108" w:name="_Toc32752"/>
      <w:bookmarkStart w:id="109" w:name="_Toc9466"/>
      <w:r>
        <w:rPr>
          <w:rFonts w:hint="eastAsia"/>
        </w:rPr>
        <w:t>（一）</w:t>
      </w:r>
      <w:bookmarkEnd w:id="106"/>
      <w:r>
        <w:rPr>
          <w:rFonts w:hint="eastAsia"/>
        </w:rPr>
        <w:t>项目决策满分20分，实际得分</w:t>
      </w:r>
      <w:bookmarkEnd w:id="107"/>
      <w:bookmarkEnd w:id="108"/>
      <w:bookmarkEnd w:id="109"/>
      <w:r>
        <w:rPr>
          <w:rFonts w:hint="eastAsia"/>
        </w:rPr>
        <w:t>17分</w:t>
      </w:r>
    </w:p>
    <w:p w14:paraId="404AE711">
      <w:pPr>
        <w:ind w:firstLine="420" w:firstLineChars="200"/>
      </w:pPr>
      <w:r>
        <w:rPr>
          <w:rFonts w:hint="eastAsia"/>
        </w:rPr>
        <w:t>1.项目立项合理性满分10分，实际得分8分</w:t>
      </w:r>
    </w:p>
    <w:p w14:paraId="57EEDC81">
      <w:pPr>
        <w:ind w:firstLine="420" w:firstLineChars="200"/>
      </w:pPr>
      <w:r>
        <w:rPr>
          <w:rFonts w:hint="eastAsia"/>
        </w:rPr>
        <w:t>（1）项目立项的规范性满分3分，实际得分1分</w:t>
      </w:r>
    </w:p>
    <w:p w14:paraId="6984ECC6">
      <w:pPr>
        <w:ind w:firstLine="420" w:firstLineChars="200"/>
      </w:pPr>
      <w:r>
        <w:rPr>
          <w:rFonts w:hint="eastAsia"/>
        </w:rPr>
        <w:t>按照《中共莆田市委莆田市人民政府关于加快工业发展的若干意见》（莆委发〔2008〕15号）要求，围绕市委市政府经济工作中心，扶持工业转型升级，促进现代服务业和信息产业发展的重要保障。为切实完成2020年工业发展专项资金的目标要求，加快推进工业发展建设，为规范市级工业科技发展专项资金的管理，提高资金使用效益，市财政局、市经信委联合制定了《莆田市市级工业科技发展专项资金管理办法》（莆财企〔2018〕26号）和《莆田市经济和信息化委员会加强财政专项资金内控管理暂行办法》（莆市经信计财〔2018〕102号）实施为期三年的工业发展专项补助资金建设工业发展。但是，实施为期三年的工业发展专项资金只有每年的具体计划，并且，没有结合《关于降低企业成本促进民营经济健康发展若干措施的通知》（莆政综〔2018〕102号）相关文件。</w:t>
      </w:r>
    </w:p>
    <w:p w14:paraId="0E7B4AFD">
      <w:pPr>
        <w:ind w:firstLine="420" w:firstLineChars="200"/>
      </w:pPr>
      <w:r>
        <w:rPr>
          <w:rFonts w:hint="eastAsia"/>
        </w:rPr>
        <w:t>（2）项目立项依据充分性满分2分，实际得分2分</w:t>
      </w:r>
    </w:p>
    <w:p w14:paraId="44BC1248">
      <w:pPr>
        <w:ind w:firstLine="420" w:firstLineChars="200"/>
      </w:pPr>
      <w:r>
        <w:t>20</w:t>
      </w:r>
      <w:r>
        <w:rPr>
          <w:rFonts w:hint="eastAsia"/>
        </w:rPr>
        <w:t>16</w:t>
      </w:r>
      <w:r>
        <w:t>年，</w:t>
      </w:r>
      <w:r>
        <w:rPr>
          <w:rFonts w:hint="eastAsia"/>
        </w:rPr>
        <w:t>莆田市人民</w:t>
      </w:r>
      <w:r>
        <w:t>政府办公室印发了《</w:t>
      </w:r>
      <w:r>
        <w:rPr>
          <w:rFonts w:hint="eastAsia"/>
        </w:rPr>
        <w:t>莆田市</w:t>
      </w:r>
      <w:r>
        <w:t>“十三五”</w:t>
      </w:r>
      <w:r>
        <w:rPr>
          <w:rFonts w:hint="eastAsia"/>
        </w:rPr>
        <w:t>工业转型升级专项规划</w:t>
      </w:r>
      <w:r>
        <w:t>》（闵政办〔2016〕12</w:t>
      </w:r>
      <w:r>
        <w:rPr>
          <w:rFonts w:hint="eastAsia"/>
        </w:rPr>
        <w:t>1</w:t>
      </w:r>
      <w:r>
        <w:t>号）和《关于</w:t>
      </w:r>
      <w:r>
        <w:rPr>
          <w:rFonts w:hint="eastAsia"/>
        </w:rPr>
        <w:t>关于加快工业发展的若干意见</w:t>
      </w:r>
      <w:r>
        <w:t>》（</w:t>
      </w:r>
      <w:r>
        <w:rPr>
          <w:rFonts w:hint="eastAsia"/>
        </w:rPr>
        <w:t>莆委发</w:t>
      </w:r>
      <w:r>
        <w:t>〔20</w:t>
      </w:r>
      <w:r>
        <w:rPr>
          <w:rFonts w:hint="eastAsia"/>
        </w:rPr>
        <w:t>08</w:t>
      </w:r>
      <w:r>
        <w:t>〕1</w:t>
      </w:r>
      <w:r>
        <w:rPr>
          <w:rFonts w:hint="eastAsia"/>
        </w:rPr>
        <w:t>5</w:t>
      </w:r>
      <w:r>
        <w:t>号），有力推进了</w:t>
      </w:r>
      <w:r>
        <w:rPr>
          <w:rFonts w:hint="eastAsia"/>
        </w:rPr>
        <w:t>产业优化升级，促进经济增长方式转变，推进新型工业化进程</w:t>
      </w:r>
      <w:r>
        <w:t>发展。</w:t>
      </w:r>
    </w:p>
    <w:p w14:paraId="2A14F199">
      <w:pPr>
        <w:ind w:firstLine="420" w:firstLineChars="200"/>
      </w:pPr>
      <w:r>
        <w:rPr>
          <w:rFonts w:hint="eastAsia"/>
        </w:rPr>
        <w:t>（3）项目绩效目标的合理性满分3分，实际得分3分</w:t>
      </w:r>
    </w:p>
    <w:p w14:paraId="715C6483">
      <w:pPr>
        <w:ind w:firstLine="420" w:firstLineChars="200"/>
      </w:pPr>
      <w:r>
        <w:rPr>
          <w:rFonts w:hint="eastAsia"/>
        </w:rPr>
        <w:t>该项目所设定的绩效目标符合国家相关法律法规和党委政府决策，与莆田市工业和信息化局职责相关，为企业项目。项目预算确定的工业发展专项资金绩效目标依据《关于降低企业成本促进民营经济健康发展若干措施的通知》（莆政综〔2018〕102号）精神，结合实际情况对专项资金下达的2020年绩效目标指标任务基本一致。</w:t>
      </w:r>
    </w:p>
    <w:p w14:paraId="3981B0ED">
      <w:pPr>
        <w:ind w:firstLine="420" w:firstLineChars="200"/>
      </w:pPr>
      <w:r>
        <w:rPr>
          <w:rFonts w:hint="eastAsia"/>
        </w:rPr>
        <w:t>（4）绩效指标明确性满分2分，实际得分2分</w:t>
      </w:r>
    </w:p>
    <w:p w14:paraId="6BECF8E9">
      <w:pPr>
        <w:ind w:firstLine="420" w:firstLineChars="200"/>
      </w:pPr>
      <w:r>
        <w:rPr>
          <w:rFonts w:hint="eastAsia"/>
        </w:rPr>
        <w:t>该绩效目标与年度计划数对应；绩效目标费用与预算资金匹配；项目绩效目标已细化分解为具体的绩效指标。</w:t>
      </w:r>
    </w:p>
    <w:p w14:paraId="7543B4FB">
      <w:pPr>
        <w:ind w:firstLine="420" w:firstLineChars="200"/>
      </w:pPr>
      <w:bookmarkStart w:id="110" w:name="_Toc1124"/>
      <w:r>
        <w:rPr>
          <w:rFonts w:hint="eastAsia"/>
        </w:rPr>
        <w:t>2.项目资金落实情况满分10分，实际得分9分</w:t>
      </w:r>
    </w:p>
    <w:p w14:paraId="0DDBF651">
      <w:pPr>
        <w:ind w:firstLine="420" w:firstLineChars="200"/>
      </w:pPr>
      <w:r>
        <w:rPr>
          <w:rFonts w:hint="eastAsia"/>
        </w:rPr>
        <w:t>（1）项目资金分配合理性满分3分，实际得分3分</w:t>
      </w:r>
    </w:p>
    <w:p w14:paraId="0F37C034">
      <w:pPr>
        <w:ind w:firstLine="420" w:firstLineChars="200"/>
      </w:pPr>
      <w:r>
        <w:rPr>
          <w:rFonts w:hint="eastAsia"/>
        </w:rPr>
        <w:t>2020年度工业发展专项资金项目支出年初预算安排8000万元，因疫情影响，调整1413万元为抗疫国债资金，故工业发展专项资金预算安排6583万元，总投入6583万元，其中：鞋业转型升级2749.5万元；鞋业生产能力改造提升补助、企业技术中心认定等1720万元；复工复产企业奖励、补助资金，新能源汽车应用推广补助等2113.5万元。</w:t>
      </w:r>
    </w:p>
    <w:p w14:paraId="234D790E">
      <w:pPr>
        <w:ind w:firstLine="420" w:firstLineChars="200"/>
      </w:pPr>
      <w:r>
        <w:rPr>
          <w:rFonts w:hint="eastAsia"/>
        </w:rPr>
        <w:t>（2）项目资金分配率满分2分，实际得分2分</w:t>
      </w:r>
    </w:p>
    <w:p w14:paraId="656F6BDA">
      <w:pPr>
        <w:ind w:firstLine="420" w:firstLineChars="200"/>
      </w:pPr>
      <w:r>
        <w:rPr>
          <w:rFonts w:hint="eastAsia"/>
        </w:rPr>
        <w:t>根据《莆田市财政局 莆田市经济和信息化委员会关于印发莆田市市级工业科技发展专项资金管理办法的通知》（莆财企〔2018〕26号)和《莆田市经济和信息化委员会关于印发加强财政专项资金内控管理暂行办法的通知》（莆市经信计财〔2018〕102号），下达2020年初预算工业发展补助资金8000万，因疫情影响，调整1413万元为抗疫国债资金，故工业发展专项资金预算安排6583，其中90万未支付，其他补助资金均已下达。资金到位率达到百分之90以上。</w:t>
      </w:r>
    </w:p>
    <w:p w14:paraId="4A9E0C04">
      <w:pPr>
        <w:ind w:firstLine="420" w:firstLineChars="200"/>
      </w:pPr>
      <w:r>
        <w:rPr>
          <w:rFonts w:hint="eastAsia"/>
        </w:rPr>
        <w:t>（3）项目资金分配及时率满分2分，实际得分2分</w:t>
      </w:r>
    </w:p>
    <w:p w14:paraId="010275A8">
      <w:pPr>
        <w:ind w:firstLine="420" w:firstLineChars="200"/>
      </w:pPr>
      <w:r>
        <w:rPr>
          <w:rFonts w:hint="eastAsia"/>
        </w:rPr>
        <w:t>市经信委、财政局根据工业发展专项资金建设进展等情况，分别于每年5月份前启动资金项目申报，9月份前将主要补助资金下达到位。</w:t>
      </w:r>
    </w:p>
    <w:p w14:paraId="1F589269">
      <w:pPr>
        <w:ind w:firstLine="420" w:firstLineChars="200"/>
      </w:pPr>
      <w:r>
        <w:rPr>
          <w:rFonts w:hint="eastAsia"/>
        </w:rPr>
        <w:t>（4）调整资金使用用途合理性满分3分，实际得分2分</w:t>
      </w:r>
    </w:p>
    <w:p w14:paraId="667A6399">
      <w:pPr>
        <w:ind w:firstLine="420" w:firstLineChars="200"/>
      </w:pPr>
      <w:bookmarkStart w:id="111" w:name="_Toc8455"/>
      <w:bookmarkStart w:id="112" w:name="_Toc13425"/>
      <w:bookmarkStart w:id="113" w:name="_Toc14690"/>
      <w:r>
        <w:rPr>
          <w:rFonts w:hint="eastAsia"/>
        </w:rPr>
        <w:t>由于疫情原因，根据市工信局、市财政局《关于进一步支持工业企业有序复工复产若干措施的通知》（莆市工信运行〔2020〕13号）、市工信局《关于申报工业企业复工复产补助资金的通知》（莆市工信运行〔2020〕23号）、市政府办公室《关于实施工业企业复产达产正向激励的通知》（莆政办〔2020〕20号）、市工信局《关于申报工业企业复产达产正向激励的通知》（莆市工信运行〔2020〕52号）等相关文件精神，调整部分工业发展专项资金用于支持工业企业复工复产，调整资金分配有充分的依据及有关材料符合相关要求。调整资金分配公开透明，但部分资金未有明确的资金分配明细。有效解决了2020年因疫情而导致的工业企业发展缓慢等问题，减缓了工业企业的资金压力，同时助力了防疫工作，调整资金使用用途符合实际需求及项目单位职能。</w:t>
      </w:r>
    </w:p>
    <w:p w14:paraId="46326A5C">
      <w:pPr>
        <w:ind w:firstLine="420" w:firstLineChars="200"/>
      </w:pPr>
      <w:r>
        <w:rPr>
          <w:rFonts w:hint="eastAsia"/>
        </w:rPr>
        <w:t>（二）项目管理</w:t>
      </w:r>
      <w:bookmarkEnd w:id="110"/>
      <w:r>
        <w:rPr>
          <w:rFonts w:hint="eastAsia"/>
        </w:rPr>
        <w:t>满分20分，实际得分</w:t>
      </w:r>
      <w:bookmarkEnd w:id="111"/>
      <w:bookmarkEnd w:id="112"/>
      <w:bookmarkEnd w:id="113"/>
      <w:r>
        <w:rPr>
          <w:rFonts w:hint="eastAsia"/>
        </w:rPr>
        <w:t>20分</w:t>
      </w:r>
    </w:p>
    <w:p w14:paraId="19F0F62D">
      <w:pPr>
        <w:ind w:firstLine="420" w:firstLineChars="200"/>
      </w:pPr>
      <w:bookmarkStart w:id="114" w:name="_Toc15049"/>
      <w:r>
        <w:rPr>
          <w:rFonts w:hint="eastAsia"/>
        </w:rPr>
        <w:t>1.财政管理满分10分，实际得分10分</w:t>
      </w:r>
    </w:p>
    <w:p w14:paraId="2B3113FE">
      <w:pPr>
        <w:ind w:firstLine="420" w:firstLineChars="200"/>
      </w:pPr>
      <w:r>
        <w:rPr>
          <w:rFonts w:hint="eastAsia"/>
        </w:rPr>
        <w:t>（1）项目资金管理制定健全性满分4分，实际得分4分</w:t>
      </w:r>
    </w:p>
    <w:p w14:paraId="155A9C59">
      <w:pPr>
        <w:ind w:firstLine="420" w:firstLineChars="200"/>
      </w:pPr>
      <w:r>
        <w:rPr>
          <w:rFonts w:hint="eastAsia"/>
        </w:rPr>
        <w:t>为加强和规范市级专项补助资金支持工业发展项目使用管理，莆田市经信委、财政局制定了《莆田市财政局 莆田市经济和信息化委员会关于印发莆田市市级工业科技发展专项资金管理办法的通知》（莆财企〔2018〕26号)和《莆田市经济和信息化委员会关于印发加强财政专项资金内控管理暂行办法的通知》（莆市经信计财〔2018〕102号）。</w:t>
      </w:r>
    </w:p>
    <w:p w14:paraId="1259AB01">
      <w:pPr>
        <w:ind w:firstLine="420" w:firstLineChars="200"/>
      </w:pPr>
      <w:r>
        <w:rPr>
          <w:rFonts w:hint="eastAsia"/>
        </w:rPr>
        <w:t>（2）项目资金使用合理性满分3分，实际得分3分</w:t>
      </w:r>
    </w:p>
    <w:p w14:paraId="37604EE3">
      <w:pPr>
        <w:ind w:firstLine="420" w:firstLineChars="200"/>
      </w:pPr>
      <w:r>
        <w:rPr>
          <w:rFonts w:hint="eastAsia"/>
        </w:rPr>
        <w:t>该项资金符合国家财经法规和财务管理制度以及有关专项资金管理办法的规定，由市级资金直接拨付给企业，严格实行专项管理、专账核算、专款专用；资金拨付有完整审批程序和手续，未发现超标准支出、截留、挤占、挪用、虚列支出等情况。</w:t>
      </w:r>
    </w:p>
    <w:p w14:paraId="66BC196E">
      <w:pPr>
        <w:ind w:firstLine="420" w:firstLineChars="200"/>
      </w:pPr>
      <w:r>
        <w:rPr>
          <w:rFonts w:hint="eastAsia"/>
        </w:rPr>
        <w:t>（3）项目财政监控有效性满分3分，实际得分3分</w:t>
      </w:r>
    </w:p>
    <w:p w14:paraId="1E7D6F08">
      <w:pPr>
        <w:ind w:firstLine="420" w:firstLineChars="200"/>
      </w:pPr>
      <w:r>
        <w:rPr>
          <w:rFonts w:hint="eastAsia"/>
        </w:rPr>
        <w:t>项目主管单位莆田市工业和信心化局对被评单位为保障资金申请流程的安全、规范运行采取了必要的健康措施。资金补助流程如下：1、企业向所在县区工信部门申报，各县区工信部门对申请企业的资格条件及相关资料进行严格审核，并把签署意见后的专项资金申请报告及相关附件资料报送市工信局。2、市工信局负责对项目申报材料进行审核。3、组织专家评审。4、市工信局对专家评审结果进行复核后，委托会计师事务所进行专项审计并出具审计报告。5、评审结果和审查情况提出专项资金分配方案，委务会研究通过，按规定向社会公示。6、由市财政局、市工信局联文下达专项补助资金。</w:t>
      </w:r>
    </w:p>
    <w:p w14:paraId="30F7723C">
      <w:pPr>
        <w:ind w:firstLine="420" w:firstLineChars="200"/>
      </w:pPr>
      <w:r>
        <w:rPr>
          <w:rFonts w:hint="eastAsia"/>
        </w:rPr>
        <w:t>2.业务管理满分10分，实际得分10分</w:t>
      </w:r>
    </w:p>
    <w:p w14:paraId="64263CF9">
      <w:pPr>
        <w:ind w:firstLine="420" w:firstLineChars="200"/>
      </w:pPr>
      <w:r>
        <w:rPr>
          <w:rFonts w:hint="eastAsia"/>
        </w:rPr>
        <w:t>（1）项目管理制度健全性满分3分，实际得分3分</w:t>
      </w:r>
    </w:p>
    <w:p w14:paraId="43EAFDB4">
      <w:pPr>
        <w:ind w:firstLine="420" w:firstLineChars="200"/>
      </w:pPr>
      <w:r>
        <w:rPr>
          <w:rFonts w:hint="eastAsia"/>
        </w:rPr>
        <w:t>为进一步提升工业发展建设,加快产业转型建设，结合</w:t>
      </w:r>
      <w:r>
        <w:t>《</w:t>
      </w:r>
      <w:r>
        <w:rPr>
          <w:rFonts w:hint="eastAsia"/>
        </w:rPr>
        <w:t>莆田市</w:t>
      </w:r>
      <w:r>
        <w:t>“十三五”</w:t>
      </w:r>
      <w:r>
        <w:rPr>
          <w:rFonts w:hint="eastAsia"/>
        </w:rPr>
        <w:t>工业转型升级专项规划</w:t>
      </w:r>
      <w:r>
        <w:t>》（闵政办〔2016〕12</w:t>
      </w:r>
      <w:r>
        <w:rPr>
          <w:rFonts w:hint="eastAsia"/>
        </w:rPr>
        <w:t>1</w:t>
      </w:r>
      <w:r>
        <w:t>号）和《关于</w:t>
      </w:r>
      <w:r>
        <w:rPr>
          <w:rFonts w:hint="eastAsia"/>
        </w:rPr>
        <w:t>关于加快工业发展的若干意见</w:t>
      </w:r>
      <w:r>
        <w:t>》（</w:t>
      </w:r>
      <w:r>
        <w:rPr>
          <w:rFonts w:hint="eastAsia"/>
        </w:rPr>
        <w:t>莆委发</w:t>
      </w:r>
      <w:r>
        <w:t>〔20</w:t>
      </w:r>
      <w:r>
        <w:rPr>
          <w:rFonts w:hint="eastAsia"/>
        </w:rPr>
        <w:t>08</w:t>
      </w:r>
      <w:r>
        <w:t>〕1</w:t>
      </w:r>
      <w:r>
        <w:rPr>
          <w:rFonts w:hint="eastAsia"/>
        </w:rPr>
        <w:t>5</w:t>
      </w:r>
      <w:r>
        <w:t>号）</w:t>
      </w:r>
      <w:r>
        <w:rPr>
          <w:rFonts w:hint="eastAsia"/>
        </w:rPr>
        <w:t>精神，项目得实施及监管机制。</w:t>
      </w:r>
    </w:p>
    <w:p w14:paraId="2A8E267B">
      <w:pPr>
        <w:ind w:firstLine="420" w:firstLineChars="200"/>
      </w:pPr>
      <w:r>
        <w:rPr>
          <w:rFonts w:hint="eastAsia"/>
        </w:rPr>
        <w:t>（2）项目制度执行有效性满分4分，实际得分4分</w:t>
      </w:r>
    </w:p>
    <w:p w14:paraId="3C47C446">
      <w:pPr>
        <w:ind w:firstLine="420" w:firstLineChars="200"/>
      </w:pPr>
      <w:r>
        <w:rPr>
          <w:rFonts w:hint="eastAsia"/>
        </w:rPr>
        <w:t>按照《关于降低企业成本促进民营经济健康发展若干措施的通知》（莆政宗〔</w:t>
      </w:r>
      <w:r>
        <w:t>201</w:t>
      </w:r>
      <w:r>
        <w:rPr>
          <w:rFonts w:hint="eastAsia"/>
        </w:rPr>
        <w:t>8</w:t>
      </w:r>
      <w:r>
        <w:t>〕</w:t>
      </w:r>
      <w:r>
        <w:rPr>
          <w:rFonts w:hint="eastAsia"/>
        </w:rPr>
        <w:t>102号 )要求,结合2019年情况，确保2020年底全市实施成本目标鞋业转型升级项目补助额不超过3000万元，企业技术设备改造项目补助不超过1600万元、两节稳定运行奖励资金不超过450万元、其他需要兑现的工业资金不超过850万元；数量目标企业技术改造项目10个、实施鞋业转型升级18个、补助平台经济项目1个。加快推进工业发展建设,结合《莆田市财政局 莆田市经济和信息化委员会关于印发莆田市市级工业科技发展专项资金管理办法的通知》（莆财企〔2018〕26号)和《莆田市经济和信息化委员会关于印发加强财政专项资金内控管理暂行办法的通知》精神,项目得实施及监管机制。</w:t>
      </w:r>
    </w:p>
    <w:p w14:paraId="78C4E132">
      <w:pPr>
        <w:ind w:firstLine="420" w:firstLineChars="200"/>
      </w:pPr>
      <w:r>
        <w:rPr>
          <w:rFonts w:hint="eastAsia"/>
        </w:rPr>
        <w:t>（3）项目质量得可控性满分3分，实际得分3分</w:t>
      </w:r>
    </w:p>
    <w:p w14:paraId="06CE6518">
      <w:pPr>
        <w:ind w:firstLine="420" w:firstLineChars="200"/>
      </w:pPr>
      <w:r>
        <w:rPr>
          <w:rFonts w:hint="eastAsia"/>
        </w:rPr>
        <w:t>根据《莆田市财政局 莆田市经济和信息化委员会关于印发莆田市市级工业科技发展专项资金管理办法的通知》（莆财企〔2018〕26号)和《莆田市经济和信息化委员会关于印发加强财政专项资金内控管理暂行办法的通知》（莆市经信计财〔2018〕102号）的要求，市经信委根据年度工业发展专项资金项目安排计划制定年度专项资金项目申报指南，下发专项资金申报通知文件，明确专项资金支持范围，支持重点、支持方式、申报条件、申报程序、管理要求等相关内容。制定了相应的项目申报质量要求，并采取了必要的控制措施或手段。</w:t>
      </w:r>
    </w:p>
    <w:p w14:paraId="244C1158">
      <w:pPr>
        <w:ind w:firstLine="420" w:firstLineChars="200"/>
      </w:pPr>
      <w:bookmarkStart w:id="115" w:name="_Toc8490"/>
      <w:bookmarkStart w:id="116" w:name="_Toc2367"/>
      <w:r>
        <w:rPr>
          <w:rFonts w:hint="eastAsia"/>
        </w:rPr>
        <w:t>（三）项目绩效</w:t>
      </w:r>
      <w:bookmarkEnd w:id="114"/>
      <w:r>
        <w:rPr>
          <w:rFonts w:hint="eastAsia"/>
        </w:rPr>
        <w:t>满分60分，实际得分</w:t>
      </w:r>
      <w:bookmarkEnd w:id="115"/>
      <w:bookmarkEnd w:id="116"/>
      <w:r>
        <w:rPr>
          <w:rFonts w:hint="eastAsia"/>
        </w:rPr>
        <w:t>53.5分</w:t>
      </w:r>
    </w:p>
    <w:p w14:paraId="15F79F62">
      <w:pPr>
        <w:ind w:firstLine="420" w:firstLineChars="200"/>
      </w:pPr>
      <w:r>
        <w:rPr>
          <w:rFonts w:hint="eastAsia"/>
        </w:rPr>
        <w:t>1.数量指标满分12分，实际得分12分</w:t>
      </w:r>
    </w:p>
    <w:p w14:paraId="772CEAB2">
      <w:pPr>
        <w:ind w:firstLine="420" w:firstLineChars="200"/>
      </w:pPr>
      <w:r>
        <w:rPr>
          <w:rFonts w:hint="eastAsia"/>
        </w:rPr>
        <w:t>（1）2020年实施企业技术改造项目数量满分4分，实际得分4分</w:t>
      </w:r>
    </w:p>
    <w:p w14:paraId="61A1E15F">
      <w:pPr>
        <w:ind w:firstLine="420" w:firstLineChars="200"/>
      </w:pPr>
      <w:r>
        <w:rPr>
          <w:rFonts w:hint="eastAsia"/>
        </w:rPr>
        <w:t>截止2020年绩效目标完成企业技术改造项目10个，实际完成企业技术改造12个。</w:t>
      </w:r>
    </w:p>
    <w:p w14:paraId="3A623801">
      <w:pPr>
        <w:ind w:firstLine="420" w:firstLineChars="200"/>
      </w:pPr>
      <w:r>
        <w:rPr>
          <w:rFonts w:hint="eastAsia"/>
        </w:rPr>
        <w:t>（2）2020年实施鞋业转型升级数量满分4分，实际得分4分</w:t>
      </w:r>
    </w:p>
    <w:p w14:paraId="547DE5A2">
      <w:pPr>
        <w:ind w:firstLine="420" w:firstLineChars="200"/>
      </w:pPr>
      <w:r>
        <w:rPr>
          <w:rFonts w:hint="eastAsia"/>
        </w:rPr>
        <w:t>截止2020年绩效目标完成鞋业转型升级项目18个，实际完成鞋业转型升级49个。（3）2020年补助平台经济项目数量满分4分，实际得分4分</w:t>
      </w:r>
    </w:p>
    <w:p w14:paraId="40B69E8A">
      <w:pPr>
        <w:ind w:firstLine="420" w:firstLineChars="200"/>
      </w:pPr>
      <w:r>
        <w:rPr>
          <w:rFonts w:hint="eastAsia"/>
        </w:rPr>
        <w:t>截止2020年绩效目标完成补助平台经济项目1个，实际完成补助平台经济项目3个。</w:t>
      </w:r>
    </w:p>
    <w:p w14:paraId="2EE65AF7">
      <w:pPr>
        <w:ind w:firstLine="420" w:firstLineChars="200"/>
      </w:pPr>
      <w:r>
        <w:rPr>
          <w:rFonts w:hint="eastAsia"/>
        </w:rPr>
        <w:t>成本指标满分20分，实际得分20分</w:t>
      </w:r>
    </w:p>
    <w:p w14:paraId="69E739BB">
      <w:pPr>
        <w:ind w:firstLine="420" w:firstLineChars="200"/>
      </w:pPr>
      <w:r>
        <w:rPr>
          <w:rFonts w:hint="eastAsia"/>
        </w:rPr>
        <w:t>（1）2020年鞋业转型升级满分4分，实际得分4分</w:t>
      </w:r>
    </w:p>
    <w:p w14:paraId="1FF2B7E0">
      <w:pPr>
        <w:ind w:firstLine="420" w:firstLineChars="200"/>
      </w:pPr>
      <w:r>
        <w:rPr>
          <w:rFonts w:hint="eastAsia"/>
        </w:rPr>
        <w:t>截止2020年鞋业转型升级项目补助额不超过3000万元，实际完成2749.5万元。</w:t>
      </w:r>
    </w:p>
    <w:p w14:paraId="4E5B1FB0">
      <w:pPr>
        <w:ind w:firstLine="420" w:firstLineChars="200"/>
      </w:pPr>
      <w:r>
        <w:rPr>
          <w:rFonts w:hint="eastAsia"/>
        </w:rPr>
        <w:t>（2）2020年企业技术设备改造补助满分4分，实际得分4分</w:t>
      </w:r>
    </w:p>
    <w:p w14:paraId="0A919899">
      <w:pPr>
        <w:ind w:firstLine="420" w:firstLineChars="200"/>
      </w:pPr>
      <w:r>
        <w:rPr>
          <w:rFonts w:hint="eastAsia"/>
        </w:rPr>
        <w:t>截止2020年企业技术设备改造项目补助不超过1600万元，实际完成1156.64万元。</w:t>
      </w:r>
    </w:p>
    <w:p w14:paraId="39510923">
      <w:pPr>
        <w:ind w:firstLine="420" w:firstLineChars="200"/>
      </w:pPr>
      <w:r>
        <w:rPr>
          <w:rFonts w:hint="eastAsia"/>
        </w:rPr>
        <w:t>（3）2020年两节稳定运行奖励资金满分4分，实际得分4分</w:t>
      </w:r>
    </w:p>
    <w:p w14:paraId="1BCFDC7C">
      <w:pPr>
        <w:ind w:firstLine="420" w:firstLineChars="200"/>
      </w:pPr>
      <w:r>
        <w:rPr>
          <w:rFonts w:hint="eastAsia"/>
        </w:rPr>
        <w:t>截止2020年两节稳定运行奖励资金不超过450万元，实际完成338.9万元。</w:t>
      </w:r>
    </w:p>
    <w:p w14:paraId="798E0A97">
      <w:pPr>
        <w:ind w:firstLine="420" w:firstLineChars="200"/>
      </w:pPr>
      <w:r>
        <w:rPr>
          <w:rFonts w:hint="eastAsia"/>
        </w:rPr>
        <w:t>（4）2020年其他需要兑现得工业资金满分4分，实际得分4分</w:t>
      </w:r>
    </w:p>
    <w:p w14:paraId="626BBE2B">
      <w:pPr>
        <w:ind w:firstLine="420" w:firstLineChars="200"/>
      </w:pPr>
      <w:r>
        <w:rPr>
          <w:rFonts w:hint="eastAsia"/>
        </w:rPr>
        <w:t>截止2020年其他需要兑现得工业资金不超过850万元，实际完成1521.06万元，超过资金671.06万元。2020年疫情发生，资金使用方向变动，因在年初急用，调增时间较晚，经汇报市政府，从2020年工业发展专项资金中安排肺炎疫情医疗物资采购、防控物资设备采购补助800万元；员工返岗隔离补助22.9万元。</w:t>
      </w:r>
    </w:p>
    <w:p w14:paraId="3A5F84ED">
      <w:pPr>
        <w:ind w:firstLine="420" w:firstLineChars="200"/>
      </w:pPr>
      <w:r>
        <w:rPr>
          <w:rFonts w:hint="eastAsia"/>
        </w:rPr>
        <w:t>（5）2020年研究院等平台补助满分4分，实际得分4分</w:t>
      </w:r>
    </w:p>
    <w:p w14:paraId="2A7ECE15">
      <w:pPr>
        <w:ind w:firstLine="420" w:firstLineChars="200"/>
      </w:pPr>
      <w:r>
        <w:rPr>
          <w:rFonts w:hint="eastAsia"/>
        </w:rPr>
        <w:t>截止2020年研究院平台补助额不超过1500万元，实际完成816.9万元。</w:t>
      </w:r>
    </w:p>
    <w:p w14:paraId="097D3418">
      <w:pPr>
        <w:ind w:firstLine="420" w:firstLineChars="200"/>
      </w:pPr>
      <w:r>
        <w:rPr>
          <w:rFonts w:hint="eastAsia"/>
        </w:rPr>
        <w:t>3.质量指标：2020年产值增幅10%以上企业数量提高率满分4分，实际得分3分</w:t>
      </w:r>
    </w:p>
    <w:p w14:paraId="08687C10">
      <w:pPr>
        <w:ind w:firstLine="420" w:firstLineChars="200"/>
      </w:pPr>
      <w:r>
        <w:rPr>
          <w:rFonts w:hint="eastAsia"/>
        </w:rPr>
        <w:t>截止2020年产值增幅10%以上企业数量提高率，实际完成7.5%，差额2.5%。</w:t>
      </w:r>
    </w:p>
    <w:p w14:paraId="3C24921D">
      <w:pPr>
        <w:ind w:firstLine="420" w:firstLineChars="200"/>
      </w:pPr>
      <w:r>
        <w:rPr>
          <w:rFonts w:hint="eastAsia"/>
        </w:rPr>
        <w:t>4.效益指标满分16分，实际得分10.5分</w:t>
      </w:r>
    </w:p>
    <w:p w14:paraId="6009C177">
      <w:pPr>
        <w:ind w:firstLine="420" w:firstLineChars="200"/>
      </w:pPr>
      <w:r>
        <w:rPr>
          <w:rFonts w:hint="eastAsia"/>
        </w:rPr>
        <w:t>（1）经济效益。2020年行业产销量率提升率15%满分4分，实际得分2分</w:t>
      </w:r>
    </w:p>
    <w:p w14:paraId="046AE540">
      <w:pPr>
        <w:ind w:firstLine="420" w:firstLineChars="200"/>
      </w:pPr>
      <w:r>
        <w:rPr>
          <w:rFonts w:hint="eastAsia"/>
        </w:rPr>
        <w:t>截止2020年行业产销量率提升15%，实际完成7.5%，差额2.5%。</w:t>
      </w:r>
    </w:p>
    <w:p w14:paraId="2EC15B8F">
      <w:pPr>
        <w:ind w:firstLine="420" w:firstLineChars="200"/>
      </w:pPr>
      <w:r>
        <w:rPr>
          <w:rFonts w:hint="eastAsia"/>
        </w:rPr>
        <w:t>（2）社会效益。①2020年实现工业技改投资280万元满分2分，实际得分2分</w:t>
      </w:r>
    </w:p>
    <w:p w14:paraId="1D9311F6">
      <w:pPr>
        <w:ind w:firstLine="420" w:firstLineChars="200"/>
      </w:pPr>
      <w:r>
        <w:rPr>
          <w:rFonts w:hint="eastAsia"/>
        </w:rPr>
        <w:t>截止2020年实现工业技改投资280万元，实际完成427.6万元。</w:t>
      </w:r>
    </w:p>
    <w:p w14:paraId="26AC55DF">
      <w:pPr>
        <w:ind w:firstLine="420" w:firstLineChars="200"/>
      </w:pPr>
      <w:r>
        <w:rPr>
          <w:rFonts w:hint="eastAsia"/>
        </w:rPr>
        <w:t>②2020年促进全市防疫口罩转产及协作先进企业满分2分，实际得分2分</w:t>
      </w:r>
    </w:p>
    <w:p w14:paraId="7D26319D">
      <w:pPr>
        <w:ind w:firstLine="420" w:firstLineChars="200"/>
      </w:pPr>
      <w:r>
        <w:rPr>
          <w:rFonts w:hint="eastAsia"/>
        </w:rPr>
        <w:t>根据《莆田市工业和信息化局关于表彰防疫口罩转产及协作先进企业的决定》（莆市工信计财〔2020〕50号）文件，防疫口罩转产先进鞋企第一和第二批分别30家，防疫口罩转产先进协作企业建议名单12家，对社会需求产生了正面影响。</w:t>
      </w:r>
    </w:p>
    <w:p w14:paraId="557CD515">
      <w:pPr>
        <w:ind w:firstLine="420" w:firstLineChars="200"/>
      </w:pPr>
      <w:r>
        <w:rPr>
          <w:rFonts w:hint="eastAsia"/>
        </w:rPr>
        <w:t>（3）环境效益。2020年单位GDP能耗总量下降目标-10.01%满分4分，实际得分2分</w:t>
      </w:r>
    </w:p>
    <w:p w14:paraId="219C6A7E">
      <w:pPr>
        <w:ind w:firstLine="420" w:firstLineChars="200"/>
      </w:pPr>
      <w:r>
        <w:rPr>
          <w:rFonts w:hint="eastAsia"/>
        </w:rPr>
        <w:t>截止2020年单位GDP能耗下降目标-10.01%，实际完成-4.90%，差额5.11%。</w:t>
      </w:r>
    </w:p>
    <w:p w14:paraId="4A43D6AB">
      <w:pPr>
        <w:ind w:firstLine="420" w:firstLineChars="200"/>
      </w:pPr>
      <w:r>
        <w:rPr>
          <w:rFonts w:hint="eastAsia"/>
        </w:rPr>
        <w:t>（4）可持续影响。2020年规模以上工业增长率3.5%满分4分，实际得分2.5分</w:t>
      </w:r>
    </w:p>
    <w:p w14:paraId="5F7CBDC0">
      <w:pPr>
        <w:ind w:firstLine="420" w:firstLineChars="200"/>
      </w:pPr>
      <w:r>
        <w:rPr>
          <w:rFonts w:hint="eastAsia"/>
        </w:rPr>
        <w:t>截止2020年规模以上工业增加值增长率3.5%及以上，实际完成2.2%，差额1.3%。</w:t>
      </w:r>
    </w:p>
    <w:p w14:paraId="79E5217C">
      <w:pPr>
        <w:ind w:firstLine="420" w:firstLineChars="200"/>
      </w:pPr>
      <w:r>
        <w:rPr>
          <w:rFonts w:hint="eastAsia"/>
        </w:rPr>
        <w:t>5.服务对象满意度指标满分8分，实际得分8分</w:t>
      </w:r>
    </w:p>
    <w:p w14:paraId="5CF17AB0">
      <w:pPr>
        <w:ind w:firstLine="420" w:firstLineChars="200"/>
      </w:pPr>
      <w:bookmarkStart w:id="117" w:name="_Toc4035"/>
      <w:bookmarkStart w:id="118" w:name="_Toc13140"/>
      <w:bookmarkStart w:id="119" w:name="_Toc32007"/>
      <w:bookmarkStart w:id="120" w:name="_Toc8615"/>
      <w:r>
        <w:rPr>
          <w:rFonts w:hint="eastAsia"/>
        </w:rPr>
        <w:t>满意度：通过实地深入访谈，课题组发现被补助得企业对工业发展专项资金得满意度较高。综合抽查访谈调查，被补助得企业对专项资金的申请、评审、公示、拨付、监管等认同度比较高，肯定了专项资金对企业和项目的扶持力度。其中由于疫情期间，部分资金下达延迟，对于工业发展服务（满意以上）为99%</w:t>
      </w:r>
      <w:bookmarkEnd w:id="117"/>
      <w:r>
        <w:rPr>
          <w:rFonts w:hint="eastAsia"/>
        </w:rPr>
        <w:t>。</w:t>
      </w:r>
    </w:p>
    <w:p w14:paraId="3D68AB42">
      <w:pPr>
        <w:ind w:firstLine="420" w:firstLineChars="200"/>
      </w:pPr>
      <w:bookmarkStart w:id="121" w:name="_Toc8567"/>
      <w:bookmarkStart w:id="122" w:name="_Toc2296"/>
      <w:bookmarkStart w:id="123" w:name="_Toc22991"/>
      <w:bookmarkStart w:id="124" w:name="_Toc9416"/>
      <w:bookmarkStart w:id="125" w:name="_Toc19664"/>
      <w:bookmarkStart w:id="126" w:name="_Toc4495"/>
      <w:r>
        <w:rPr>
          <w:rFonts w:hint="eastAsia"/>
        </w:rPr>
        <w:t>（四）评价结论</w:t>
      </w:r>
      <w:bookmarkEnd w:id="121"/>
      <w:bookmarkEnd w:id="122"/>
      <w:bookmarkEnd w:id="123"/>
      <w:bookmarkEnd w:id="124"/>
      <w:bookmarkEnd w:id="125"/>
      <w:bookmarkEnd w:id="126"/>
    </w:p>
    <w:p w14:paraId="64952D44">
      <w:pPr>
        <w:ind w:firstLine="420" w:firstLineChars="200"/>
      </w:pPr>
      <w:r>
        <w:rPr>
          <w:rFonts w:hint="eastAsia"/>
        </w:rPr>
        <w:t>根据中共莆田市委、市政府《关于全面实施预算绩效管理的实施意见》（莆委发〔2019〕2号）和《项目支出绩效评价管理办法》（莆财绩〔2020〕2号）等有关规定，莆田学院财政绩效管理研究中心对2020年莆田市工业发展专项资金经费项目绩效评价指标体系逐项分析评价，3个一级指标得分情况如下：项目决策满分20分，实际得分17分；项目管理满分20分，实际得分20分；项目绩效满分60分，实际得分53.5分。总分90.5分，评价等级优秀。</w:t>
      </w:r>
    </w:p>
    <w:p w14:paraId="05DFE7E4">
      <w:pPr>
        <w:ind w:firstLine="420" w:firstLineChars="200"/>
      </w:pPr>
      <w:r>
        <w:rPr>
          <w:rFonts w:hint="eastAsia"/>
        </w:rPr>
        <w:t>经过综合评价，2020年莆田市工业和信息化局在持续推进支持工业企业技术创新和技术改造，推进产业转型升级；支持电子信息产业和新能源汽车产业发展和应用推广，促进重点产业发展壮大；支持鞋业、服装业改造提升、技术研究、平台建设、品牌创建、宣传推广、人才培训等，推进鞋业转型升级，提升产业发展水平；支持节能、清洁生产和循环经济发展，促进资源节约利用；支持工业化和信息化深度融合，推进信息经济加快发展；扶持现代物流业，促进我市物流发展；集中财力培育行业公共平台，在鞋业、工业美术、化工新材料、装备机械、数字家庭示范村建设补助资金等重点产业中扶持公共平台建设；支持开展检测评估、课题研究、规划设计、解决方案、标准制订、宣传推广和培训等优化工业和信息化发展环境的项目。各级业务主管部门认真负责，负责督促指导、监督管理工业发展工作。但评价过程中也发现在项目立项、项目管理、项目绩效等方面需进一步规范和完善。</w:t>
      </w:r>
    </w:p>
    <w:p w14:paraId="25D7C676">
      <w:pPr>
        <w:ind w:firstLine="420" w:firstLineChars="200"/>
        <w:outlineLvl w:val="0"/>
      </w:pPr>
      <w:bookmarkStart w:id="127" w:name="_Toc12636"/>
      <w:bookmarkStart w:id="128" w:name="_Toc32428"/>
      <w:bookmarkStart w:id="129" w:name="_Toc25712"/>
      <w:bookmarkStart w:id="130" w:name="_Toc19749"/>
      <w:r>
        <w:rPr>
          <w:rFonts w:hint="eastAsia"/>
        </w:rPr>
        <w:t>五、</w:t>
      </w:r>
      <w:bookmarkEnd w:id="118"/>
      <w:bookmarkEnd w:id="119"/>
      <w:bookmarkStart w:id="131" w:name="_Toc24985"/>
      <w:bookmarkStart w:id="132" w:name="_Toc30399"/>
      <w:r>
        <w:rPr>
          <w:rFonts w:hint="eastAsia"/>
        </w:rPr>
        <w:t>存在问题</w:t>
      </w:r>
      <w:bookmarkEnd w:id="120"/>
      <w:bookmarkEnd w:id="127"/>
      <w:bookmarkEnd w:id="128"/>
      <w:bookmarkEnd w:id="129"/>
      <w:bookmarkEnd w:id="130"/>
      <w:bookmarkEnd w:id="131"/>
      <w:bookmarkEnd w:id="132"/>
    </w:p>
    <w:p w14:paraId="6F467F86">
      <w:pPr>
        <w:ind w:firstLine="420" w:firstLineChars="200"/>
      </w:pPr>
      <w:r>
        <w:rPr>
          <w:rFonts w:hint="eastAsia"/>
        </w:rPr>
        <w:t>工业发展项目作为2020年莆田市为民办实事项目，受到广大企业的欢迎，产生一定的社会效益，但在调研中也发现以下问题：</w:t>
      </w:r>
    </w:p>
    <w:p w14:paraId="5ADF7989">
      <w:pPr>
        <w:ind w:firstLine="420" w:firstLineChars="200"/>
      </w:pPr>
      <w:bookmarkStart w:id="133" w:name="_Toc5762"/>
      <w:bookmarkStart w:id="134" w:name="_Toc22129"/>
      <w:r>
        <w:rPr>
          <w:rFonts w:hint="eastAsia"/>
        </w:rPr>
        <w:t>工业发展绩效指标设置不够明确性</w:t>
      </w:r>
      <w:bookmarkEnd w:id="133"/>
      <w:bookmarkEnd w:id="134"/>
    </w:p>
    <w:p w14:paraId="20FE1CE4">
      <w:pPr>
        <w:ind w:firstLine="420" w:firstLineChars="200"/>
      </w:pPr>
      <w:r>
        <w:rPr>
          <w:rFonts w:hint="eastAsia"/>
        </w:rPr>
        <w:t>绩效目标的设置是预算绩效管理的重要抓手，是开展绩效评价和接受社会监督的重要依据。工业发展资金量较大，建设项目为了持续推进工业发展建设，到2020年底全市实施成本目标鞋业转型升级项目补助额不超过3000万元，企业技术设备改造项目补助不超过1600万元、两节稳定运行奖励资金不超过450万元、其他需要兑现的工业资金不超过850万元；数量目标企业技术改造项目10个、实施鞋业转型升级18个、补助平台经济项目1个。省级在编报年初绩效目标时，指标体系不够说服力、清晰、细化、可衡量等，后期难以衡量目标完成具体情况。如设置绩效目标指示中缺乏“项目决策”，对绩效的合理性缺乏说服力。导致莆田市工业发展专项资金在项目立项的时候依据不强，只能根据去年的指标完成情况设定目标，并且，只有当年的绩效指标，没有根据规定制定3年的长期计划。</w:t>
      </w:r>
    </w:p>
    <w:p w14:paraId="354FD544">
      <w:pPr>
        <w:ind w:firstLine="420" w:firstLineChars="200"/>
      </w:pPr>
      <w:bookmarkStart w:id="135" w:name="_Toc3514"/>
      <w:bookmarkStart w:id="136" w:name="_Toc7871"/>
      <w:r>
        <w:rPr>
          <w:rFonts w:hint="eastAsia"/>
        </w:rPr>
        <w:t>财政监考有效性</w:t>
      </w:r>
      <w:bookmarkEnd w:id="135"/>
      <w:bookmarkEnd w:id="136"/>
      <w:r>
        <w:rPr>
          <w:rFonts w:hint="eastAsia"/>
        </w:rPr>
        <w:t>不够健全</w:t>
      </w:r>
    </w:p>
    <w:p w14:paraId="6ED2305C">
      <w:pPr>
        <w:ind w:firstLine="420" w:firstLineChars="200"/>
      </w:pPr>
      <w:r>
        <w:rPr>
          <w:rFonts w:hint="eastAsia"/>
        </w:rPr>
        <w:t>2020年《工业发展专项补助资金管理办法》尚未对工业发展进度和资金到位率进行规范。现代物流业发展项目补助额不超过600万元，实际完成为0万元；其他需要兑现的工业资金不超过850万元，实际完成1521.06万元。发展进度没有及时跟进，后期资金到位率未能规范。也未能及时为各企业提供资金管理建议与指导。</w:t>
      </w:r>
    </w:p>
    <w:p w14:paraId="0B2DBE59">
      <w:pPr>
        <w:ind w:firstLine="420" w:firstLineChars="200"/>
      </w:pPr>
      <w:bookmarkStart w:id="137" w:name="_Toc22583"/>
      <w:bookmarkStart w:id="138" w:name="_Toc3834"/>
      <w:r>
        <w:rPr>
          <w:rFonts w:hint="eastAsia"/>
        </w:rPr>
        <w:t>（三）项目实施效果和评估方式方面存在问题</w:t>
      </w:r>
      <w:bookmarkEnd w:id="137"/>
      <w:bookmarkEnd w:id="138"/>
    </w:p>
    <w:p w14:paraId="79D2D69F">
      <w:pPr>
        <w:ind w:firstLine="420" w:firstLineChars="200"/>
      </w:pPr>
      <w:r>
        <w:rPr>
          <w:rFonts w:hint="eastAsia"/>
        </w:rPr>
        <w:t>缺乏对工业发展标准成果的反馈与比较，未建立统一、常态化的项目绩效管理方案和评价工作机制。由于项目涉及地较多，给协调、反馈、监督和评价工作造成一定难度，对项目执行效果尚有较大的提升空间。项目建设制度标准不高，在规范化、标准化上有所欠缺，整体机制有待进一步提升。虽然工业发展专项资金为奖励资金，但是需要对企业下达资金的后期进行督促，提升企业的升级，对项目的跟踪和了解不足，工业发展项目体督促力度有待进一步提高。</w:t>
      </w:r>
    </w:p>
    <w:p w14:paraId="75C06C43">
      <w:pPr>
        <w:ind w:firstLine="420" w:firstLineChars="200"/>
        <w:outlineLvl w:val="0"/>
      </w:pPr>
      <w:bookmarkStart w:id="139" w:name="_Toc11249"/>
      <w:bookmarkStart w:id="140" w:name="_Toc5056"/>
      <w:bookmarkStart w:id="141" w:name="_Toc24579"/>
      <w:bookmarkStart w:id="142" w:name="_Toc26571"/>
      <w:bookmarkStart w:id="143" w:name="_Toc138"/>
      <w:bookmarkStart w:id="144" w:name="_Toc15337"/>
      <w:bookmarkStart w:id="145" w:name="_Toc16805"/>
      <w:r>
        <w:rPr>
          <w:rFonts w:hint="eastAsia"/>
        </w:rPr>
        <w:t>六、建议</w:t>
      </w:r>
      <w:bookmarkEnd w:id="139"/>
      <w:bookmarkEnd w:id="140"/>
      <w:bookmarkEnd w:id="141"/>
      <w:bookmarkEnd w:id="142"/>
      <w:bookmarkEnd w:id="143"/>
      <w:bookmarkEnd w:id="144"/>
      <w:bookmarkEnd w:id="145"/>
    </w:p>
    <w:p w14:paraId="2BDC36D0">
      <w:pPr>
        <w:ind w:firstLine="420" w:firstLineChars="200"/>
      </w:pPr>
      <w:bookmarkStart w:id="146" w:name="_Toc1284"/>
      <w:bookmarkStart w:id="147" w:name="_Toc19139"/>
      <w:r>
        <w:rPr>
          <w:rFonts w:hint="eastAsia"/>
        </w:rPr>
        <w:t>（一）树立绩效理念，科学合理编制绩效目标</w:t>
      </w:r>
      <w:bookmarkEnd w:id="146"/>
      <w:bookmarkEnd w:id="147"/>
    </w:p>
    <w:p w14:paraId="28286DE9">
      <w:pPr>
        <w:ind w:firstLine="420" w:firstLineChars="200"/>
      </w:pPr>
      <w:r>
        <w:rPr>
          <w:rFonts w:hint="eastAsia"/>
        </w:rPr>
        <w:t>把绩效目标的设置作为预算安排的前置条件。设置绩效目标时，需要根据政府文件要求，不仅要包括项目管理、产出、成本，还要包括经济效益、社会效益、生态效益、可持续影响和服务对象满意度等绩效指标。指标体系设置要细化、量化，符合实际，不可制度过高、过虚的绩效指标，影响后期绩效评价及社会监督的效果。同时，省级应要求各设区市根据当地实际编制绩效目标，并做到细化、量化、可衡量等，否则，后期难以衡量目标完成具体情况。并且，莆田市工业发展专项资金在设立绩效目标的时候，应该严格根据政策要求进行编制，不仅设立当年的绩效指标，还要根据规定制定3年的长期计划。</w:t>
      </w:r>
    </w:p>
    <w:p w14:paraId="3B590659">
      <w:pPr>
        <w:ind w:firstLine="420" w:firstLineChars="200"/>
      </w:pPr>
      <w:bookmarkStart w:id="148" w:name="_Toc9745"/>
      <w:bookmarkStart w:id="149" w:name="_Toc14455"/>
      <w:r>
        <w:rPr>
          <w:rFonts w:hint="eastAsia"/>
        </w:rPr>
        <w:t>（二）健全财政资金监考管理制度</w:t>
      </w:r>
      <w:bookmarkEnd w:id="148"/>
      <w:bookmarkEnd w:id="149"/>
    </w:p>
    <w:p w14:paraId="32B2C9A7">
      <w:pPr>
        <w:ind w:firstLine="420" w:firstLineChars="200"/>
      </w:pPr>
      <w:r>
        <w:rPr>
          <w:rFonts w:hint="eastAsia"/>
        </w:rPr>
        <w:t>进一步完善管理制度，2018年已经对《莆田市财政局 莆田市经济和信息化委员会关于印发莆田市市级工业科技发展专项资金管理办法的通知》（莆财企〔2018〕26号)和《莆田市经济和信息化委员会关于印发加强财政专项资金内控管理暂行办法的通知》（莆市经信计财〔2018〕102号）进行修订，明确财务监控机制。建议开展相应的财务检查等必要的监控措施和手段；加强内部控制制度建设，建议项目实施单位详列资金使用清单情况，及时跟踪项目资金使用进度情况。强化专项资金专款专用意识，保证专项资金使用的安全性、及时性和有效性，严格区分专项资金和自由资金的详细支出。规范会计核算，提高会计信息质量。</w:t>
      </w:r>
    </w:p>
    <w:p w14:paraId="610E049F">
      <w:pPr>
        <w:ind w:firstLine="420" w:firstLineChars="200"/>
      </w:pPr>
      <w:bookmarkStart w:id="150" w:name="_Toc7048"/>
      <w:bookmarkStart w:id="151" w:name="_Toc13919"/>
      <w:r>
        <w:rPr>
          <w:rFonts w:hint="eastAsia"/>
        </w:rPr>
        <w:t>（三）建立长效机制，提升监管机制</w:t>
      </w:r>
      <w:bookmarkEnd w:id="150"/>
      <w:bookmarkEnd w:id="151"/>
    </w:p>
    <w:p w14:paraId="170B9F8B">
      <w:pPr>
        <w:ind w:firstLine="420" w:firstLineChars="200"/>
      </w:pPr>
      <w:r>
        <w:rPr>
          <w:rFonts w:hint="eastAsia"/>
        </w:rPr>
        <w:t>制定长期绩效管理方案。与项目实施相关的业务科室应及时了解各项目进展情况，定期形成监督报告，同时将监督、评价结果作为以后发展的重要参考依据。加强对项目关键性指标的筛选和考核，加强工业发展效果的分析比较，及时组织和协调各业务部门人员对项目进行跟踪评价，做好事前、事中与事后管理的协调工作，形成常态化的工作评价机制。</w:t>
      </w:r>
    </w:p>
    <w:bookmarkEnd w:id="100"/>
    <w:bookmarkEnd w:id="101"/>
    <w:bookmarkEnd w:id="102"/>
    <w:bookmarkEnd w:id="103"/>
    <w:bookmarkEnd w:id="104"/>
    <w:bookmarkEnd w:id="105"/>
    <w:p w14:paraId="75CAB424">
      <w:pPr>
        <w:pStyle w:val="16"/>
        <w:spacing w:after="0" w:line="500" w:lineRule="atLeast"/>
        <w:ind w:left="0" w:leftChars="0" w:firstLine="0" w:firstLineChars="0"/>
        <w:rPr>
          <w:rFonts w:ascii="黑体" w:hAnsi="黑体" w:eastAsia="黑体" w:cs="黑体"/>
          <w:sz w:val="24"/>
        </w:rPr>
      </w:pPr>
    </w:p>
    <w:p w14:paraId="0C7D55CD">
      <w:pPr>
        <w:pStyle w:val="16"/>
        <w:spacing w:after="0" w:line="500" w:lineRule="atLeast"/>
        <w:ind w:left="0" w:leftChars="0" w:firstLine="0" w:firstLineChars="0"/>
        <w:rPr>
          <w:rFonts w:ascii="黑体" w:hAnsi="黑体" w:eastAsia="黑体" w:cs="黑体"/>
          <w:sz w:val="24"/>
        </w:rPr>
      </w:pPr>
    </w:p>
    <w:p w14:paraId="6CF89538">
      <w:pPr>
        <w:spacing w:line="300" w:lineRule="auto"/>
        <w:ind w:right="21" w:rightChars="10"/>
        <w:jc w:val="center"/>
        <w:rPr>
          <w:rFonts w:ascii="方正小标宋简体" w:hAnsi="方正小标宋简体" w:eastAsia="方正小标宋简体" w:cs="方正小标宋简体"/>
          <w:sz w:val="36"/>
          <w:szCs w:val="36"/>
        </w:rPr>
      </w:pPr>
    </w:p>
    <w:p w14:paraId="398B7060">
      <w:pPr>
        <w:spacing w:line="300" w:lineRule="auto"/>
        <w:ind w:right="21" w:rightChars="10"/>
        <w:jc w:val="center"/>
        <w:rPr>
          <w:rFonts w:ascii="方正小标宋简体" w:hAnsi="方正小标宋简体" w:eastAsia="方正小标宋简体" w:cs="方正小标宋简体"/>
          <w:sz w:val="36"/>
          <w:szCs w:val="36"/>
        </w:rPr>
      </w:pPr>
    </w:p>
    <w:p w14:paraId="36F2F674">
      <w:pPr>
        <w:spacing w:line="300" w:lineRule="auto"/>
        <w:ind w:right="21" w:rightChars="10"/>
        <w:jc w:val="center"/>
        <w:rPr>
          <w:rFonts w:ascii="方正小标宋简体" w:hAnsi="方正小标宋简体" w:eastAsia="方正小标宋简体" w:cs="方正小标宋简体"/>
          <w:sz w:val="36"/>
          <w:szCs w:val="36"/>
        </w:rPr>
      </w:pPr>
    </w:p>
    <w:p w14:paraId="006E9593">
      <w:pPr>
        <w:spacing w:line="300" w:lineRule="auto"/>
        <w:ind w:right="21" w:rightChars="10"/>
        <w:jc w:val="center"/>
        <w:rPr>
          <w:rFonts w:ascii="方正小标宋简体" w:hAnsi="方正小标宋简体" w:eastAsia="方正小标宋简体" w:cs="方正小标宋简体"/>
          <w:sz w:val="36"/>
          <w:szCs w:val="36"/>
        </w:rPr>
      </w:pPr>
    </w:p>
    <w:p w14:paraId="6DCE4A72">
      <w:pPr>
        <w:spacing w:line="300" w:lineRule="auto"/>
        <w:ind w:right="21" w:rightChars="10"/>
        <w:jc w:val="center"/>
        <w:rPr>
          <w:rFonts w:ascii="方正小标宋简体" w:hAnsi="方正小标宋简体" w:eastAsia="方正小标宋简体" w:cs="方正小标宋简体"/>
          <w:sz w:val="36"/>
          <w:szCs w:val="36"/>
        </w:rPr>
      </w:pPr>
    </w:p>
    <w:p w14:paraId="27A27B17">
      <w:pPr>
        <w:spacing w:line="300" w:lineRule="auto"/>
        <w:ind w:right="21" w:rightChars="10"/>
        <w:jc w:val="center"/>
        <w:rPr>
          <w:rFonts w:ascii="方正小标宋简体" w:hAnsi="方正小标宋简体" w:eastAsia="方正小标宋简体" w:cs="方正小标宋简体"/>
          <w:sz w:val="36"/>
          <w:szCs w:val="36"/>
        </w:rPr>
      </w:pPr>
    </w:p>
    <w:p w14:paraId="24A11905">
      <w:pPr>
        <w:spacing w:line="300" w:lineRule="auto"/>
        <w:ind w:right="21" w:rightChars="10"/>
        <w:jc w:val="center"/>
        <w:rPr>
          <w:rFonts w:ascii="方正小标宋简体" w:hAnsi="方正小标宋简体" w:eastAsia="方正小标宋简体" w:cs="方正小标宋简体"/>
          <w:sz w:val="36"/>
          <w:szCs w:val="36"/>
        </w:rPr>
      </w:pPr>
    </w:p>
    <w:p w14:paraId="6B9AFA07">
      <w:pPr>
        <w:spacing w:line="300" w:lineRule="auto"/>
        <w:ind w:right="21" w:rightChars="10"/>
        <w:jc w:val="center"/>
        <w:rPr>
          <w:rFonts w:ascii="方正小标宋简体" w:hAnsi="方正小标宋简体" w:eastAsia="方正小标宋简体" w:cs="方正小标宋简体"/>
          <w:sz w:val="36"/>
          <w:szCs w:val="36"/>
        </w:rPr>
      </w:pPr>
    </w:p>
    <w:p w14:paraId="7CA39C13">
      <w:pPr>
        <w:spacing w:line="300" w:lineRule="auto"/>
        <w:ind w:right="21" w:rightChars="10"/>
        <w:jc w:val="center"/>
        <w:rPr>
          <w:rFonts w:ascii="方正小标宋简体" w:hAnsi="方正小标宋简体" w:eastAsia="方正小标宋简体" w:cs="方正小标宋简体"/>
          <w:sz w:val="36"/>
          <w:szCs w:val="36"/>
        </w:rPr>
      </w:pPr>
    </w:p>
    <w:p w14:paraId="1C95ED4C">
      <w:pPr>
        <w:pStyle w:val="2"/>
        <w:jc w:val="center"/>
        <w:rPr>
          <w:sz w:val="36"/>
          <w:szCs w:val="36"/>
        </w:rPr>
      </w:pPr>
      <w:bookmarkStart w:id="152" w:name="_Toc18703"/>
    </w:p>
    <w:p w14:paraId="4BAD7266">
      <w:pPr>
        <w:pStyle w:val="2"/>
        <w:jc w:val="center"/>
        <w:rPr>
          <w:sz w:val="36"/>
          <w:szCs w:val="36"/>
        </w:rPr>
      </w:pPr>
      <w:r>
        <w:rPr>
          <w:rFonts w:hint="eastAsia"/>
          <w:sz w:val="36"/>
          <w:szCs w:val="36"/>
        </w:rPr>
        <w:t>2020年新冠病毒感染肺炎疫情防控经费绩效评价报告</w:t>
      </w:r>
      <w:bookmarkEnd w:id="152"/>
    </w:p>
    <w:p w14:paraId="763AAD7D">
      <w:pPr>
        <w:ind w:firstLine="420" w:firstLineChars="200"/>
      </w:pPr>
      <w:r>
        <w:t>为规范和加强</w:t>
      </w:r>
      <w:r>
        <w:rPr>
          <w:rFonts w:hint="eastAsia"/>
        </w:rPr>
        <w:t>莆田</w:t>
      </w:r>
      <w:r>
        <w:t>市疫情防控资金绩效管理，突出防控资金</w:t>
      </w:r>
      <w:r>
        <w:rPr>
          <w:rFonts w:hint="eastAsia"/>
        </w:rPr>
        <w:t>“</w:t>
      </w:r>
      <w:r>
        <w:t>效率与效果并重</w:t>
      </w:r>
      <w:r>
        <w:rPr>
          <w:rFonts w:hint="eastAsia"/>
        </w:rPr>
        <w:t>”</w:t>
      </w:r>
      <w:r>
        <w:t>，</w:t>
      </w:r>
      <w:r>
        <w:rPr>
          <w:rFonts w:hint="eastAsia"/>
        </w:rPr>
        <w:t>莆田市财政局引入第三方机构，根据中共中央、国务院《关于全面实施预算绩效管理的意见》（中发〔2018〕34号）、中共莆田市委、市政府《关于全面实施预算绩效管理的实施意见》（莆委发〔2019〕2号）和《项目支出绩效评价管理》（莆财绩〔2020〕2号）等文件精神和要求，开展莆田市卫生健康委员会新冠病毒感染肺炎疫情防控经费使用情况的绩效评价工作，以客观评价防疫专项资金预算及其管理的科学性、透明度和财政资金支出使用效益，检验新冠病毒感染肺炎疫情防控经费各类项目是否达到预期目标、资金使用是否有效，为今后安排专项财政资金提供重要依据，进一步改进和加强莆田市新冠病毒感染肺炎疫情防控经费的使用效益。</w:t>
      </w:r>
    </w:p>
    <w:p w14:paraId="2F4DEC89">
      <w:pPr>
        <w:ind w:firstLine="420" w:firstLineChars="200"/>
      </w:pPr>
      <w:r>
        <w:rPr>
          <w:rFonts w:hint="eastAsia"/>
        </w:rPr>
        <w:t>莆田学院财政绩效管理研究中心</w:t>
      </w:r>
      <w:r>
        <w:t>接受</w:t>
      </w:r>
      <w:r>
        <w:rPr>
          <w:rFonts w:hint="eastAsia"/>
        </w:rPr>
        <w:t>莆田</w:t>
      </w:r>
      <w:r>
        <w:t>市财政局委托</w:t>
      </w:r>
      <w:r>
        <w:rPr>
          <w:rFonts w:hint="eastAsia"/>
        </w:rPr>
        <w:t>，组织专业人员成立工作组，</w:t>
      </w:r>
      <w:r>
        <w:t>根据本次评价的目的和特点，遵循绩效评价的基本原则和要求，于202</w:t>
      </w:r>
      <w:r>
        <w:rPr>
          <w:rFonts w:hint="eastAsia"/>
        </w:rPr>
        <w:t>1</w:t>
      </w:r>
      <w:r>
        <w:t>年</w:t>
      </w:r>
      <w:r>
        <w:rPr>
          <w:rFonts w:hint="eastAsia"/>
        </w:rPr>
        <w:t>6</w:t>
      </w:r>
      <w:r>
        <w:t>月</w:t>
      </w:r>
      <w:r>
        <w:rPr>
          <w:rFonts w:hint="eastAsia"/>
        </w:rPr>
        <w:t>至</w:t>
      </w:r>
      <w:r>
        <w:t>202</w:t>
      </w:r>
      <w:r>
        <w:rPr>
          <w:rFonts w:hint="eastAsia"/>
        </w:rPr>
        <w:t>1</w:t>
      </w:r>
      <w:r>
        <w:t>年</w:t>
      </w:r>
      <w:r>
        <w:rPr>
          <w:rFonts w:hint="eastAsia"/>
        </w:rPr>
        <w:t>8</w:t>
      </w:r>
      <w:r>
        <w:t>月，精心策划、摸底调研，按照双方确定的程序、标准、步骤、办法，有组织地实施了</w:t>
      </w:r>
      <w:r>
        <w:rPr>
          <w:rFonts w:hint="eastAsia"/>
        </w:rPr>
        <w:t>莆田</w:t>
      </w:r>
      <w:r>
        <w:t>市</w:t>
      </w:r>
      <w:r>
        <w:rPr>
          <w:rFonts w:hint="eastAsia"/>
        </w:rPr>
        <w:t>卫健委</w:t>
      </w:r>
      <w:r>
        <w:t>20</w:t>
      </w:r>
      <w:r>
        <w:rPr>
          <w:rFonts w:hint="eastAsia"/>
        </w:rPr>
        <w:t>20</w:t>
      </w:r>
      <w:r>
        <w:t>年</w:t>
      </w:r>
      <w:r>
        <w:rPr>
          <w:rFonts w:hint="eastAsia"/>
        </w:rPr>
        <w:t>新冠病毒感染肺炎疫情防控经费</w:t>
      </w:r>
      <w:r>
        <w:t>使用项目的专家评审、现场评价和综合评价。现综合报告如下：</w:t>
      </w:r>
    </w:p>
    <w:p w14:paraId="59AAFF8C">
      <w:pPr>
        <w:ind w:firstLine="420" w:firstLineChars="200"/>
        <w:outlineLvl w:val="0"/>
      </w:pPr>
      <w:bookmarkStart w:id="153" w:name="_Toc22632"/>
      <w:r>
        <w:rPr>
          <w:rFonts w:hint="eastAsia"/>
        </w:rPr>
        <w:t>一、基本情况</w:t>
      </w:r>
      <w:bookmarkEnd w:id="153"/>
    </w:p>
    <w:p w14:paraId="1E12F26C">
      <w:pPr>
        <w:ind w:firstLine="420" w:firstLineChars="200"/>
      </w:pPr>
      <w:r>
        <w:rPr>
          <w:rFonts w:hint="eastAsia"/>
        </w:rPr>
        <w:t>（一）项目概况</w:t>
      </w:r>
    </w:p>
    <w:p w14:paraId="7C24B108">
      <w:pPr>
        <w:ind w:firstLine="420" w:firstLineChars="200"/>
      </w:pPr>
      <w:r>
        <w:t>2020年2月，为贯彻落实习近平总书记对新型冠状病毒感染肺炎疫情防控工作作出的重要批示精神，按照</w:t>
      </w:r>
      <w:r>
        <w:rPr>
          <w:rFonts w:hint="eastAsia"/>
        </w:rPr>
        <w:t>莆田</w:t>
      </w:r>
      <w:r>
        <w:t>市委、市政府决策部署，根据《财政部国家卫生健康委关于新型冠状病毒感染肺炎疫情防控有关经费保障政策的通知》（财社〔2020〕2 号）要求，</w:t>
      </w:r>
      <w:r>
        <w:rPr>
          <w:rFonts w:hint="eastAsia"/>
        </w:rPr>
        <w:t>莆田</w:t>
      </w:r>
      <w:r>
        <w:t>市财政局、</w:t>
      </w:r>
      <w:r>
        <w:rPr>
          <w:rFonts w:hint="eastAsia"/>
        </w:rPr>
        <w:t>莆田</w:t>
      </w:r>
      <w:r>
        <w:t>市卫生健康委员会发布</w:t>
      </w:r>
      <w:r>
        <w:rPr>
          <w:rFonts w:hint="eastAsia"/>
        </w:rPr>
        <w:t>《莆田市财政局 莆田市卫健委关于落实新型冠状病毒感染肺炎疫情防控有关经费保障政策的通知》（莆财社〔2020〕32号）</w:t>
      </w:r>
      <w:r>
        <w:t>。《通知》中要求：</w:t>
      </w:r>
      <w:r>
        <w:rPr>
          <w:rFonts w:hint="eastAsia"/>
        </w:rPr>
        <w:t>“落实保障责任，落实疫情防治人员临时性工作补助、落实疫情所需设备和试剂等经费、各级财政部门要会同卫生健康部门务必做好疫情防控经费保障工作。”</w:t>
      </w:r>
    </w:p>
    <w:p w14:paraId="1869B944">
      <w:pPr>
        <w:ind w:firstLine="420" w:firstLineChars="200"/>
      </w:pPr>
      <w:r>
        <w:rPr>
          <w:rFonts w:hint="eastAsia"/>
        </w:rPr>
        <w:t>（二）立项依据、主要内容及实施情况</w:t>
      </w:r>
    </w:p>
    <w:p w14:paraId="623AA990">
      <w:pPr>
        <w:ind w:firstLine="420" w:firstLineChars="200"/>
      </w:pPr>
      <w:r>
        <w:rPr>
          <w:rFonts w:hint="eastAsia"/>
        </w:rPr>
        <w:t>基于新冠病毒感染肺炎疫情防控经费项目不同于常规财政项目，属于应急资金项目，绩效目标可以资金使用后再进行补充，主要体现项目立项和资金投入情况，不对绩效目标和预算编制等指标进行评价。该项目为应急突发事件，未列入2020年预算，财政实时拨付，预算调整统一拨付年，实际下达3350万，本级预算分配下达率100%，预算执行率100%。</w:t>
      </w:r>
    </w:p>
    <w:p w14:paraId="671281F7">
      <w:pPr>
        <w:ind w:firstLine="420" w:firstLineChars="200"/>
      </w:pPr>
      <w:r>
        <w:t>（三）资金投入和使用情况</w:t>
      </w:r>
    </w:p>
    <w:p w14:paraId="02D519A1">
      <w:pPr>
        <w:ind w:firstLine="420" w:firstLineChars="200"/>
      </w:pPr>
      <w:r>
        <w:t>1</w:t>
      </w:r>
      <w:r>
        <w:rPr>
          <w:rFonts w:hint="eastAsia"/>
        </w:rPr>
        <w:t>.</w:t>
      </w:r>
      <w:r>
        <w:t>资金投入情况</w:t>
      </w:r>
    </w:p>
    <w:p w14:paraId="09AB7EA8">
      <w:pPr>
        <w:ind w:firstLine="420" w:firstLineChars="200"/>
      </w:pPr>
      <w:r>
        <w:rPr>
          <w:rFonts w:hint="eastAsia"/>
        </w:rPr>
        <w:t>莆田市卫健委新冠病毒感染肺炎疫情防控经费2020</w:t>
      </w:r>
      <w:r>
        <w:t>年莆田市级财政拨付到位资金是</w:t>
      </w:r>
      <w:r>
        <w:rPr>
          <w:rFonts w:hint="eastAsia"/>
        </w:rPr>
        <w:t>3350</w:t>
      </w:r>
      <w:r>
        <w:t>万元。</w:t>
      </w:r>
    </w:p>
    <w:p w14:paraId="006BDC96">
      <w:pPr>
        <w:ind w:firstLine="420" w:firstLineChars="200"/>
      </w:pPr>
      <w:r>
        <w:rPr>
          <w:rFonts w:hint="eastAsia"/>
        </w:rPr>
        <w:t>表1 资金下达情况</w:t>
      </w:r>
    </w:p>
    <w:tbl>
      <w:tblPr>
        <w:tblStyle w:val="18"/>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5710"/>
        <w:gridCol w:w="2544"/>
      </w:tblGrid>
      <w:tr w14:paraId="1EA9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Pr>
          <w:p w14:paraId="372F5238">
            <w:pPr>
              <w:jc w:val="center"/>
            </w:pPr>
            <w:r>
              <w:rPr>
                <w:rFonts w:hint="eastAsia"/>
              </w:rPr>
              <w:t>序号</w:t>
            </w:r>
          </w:p>
        </w:tc>
        <w:tc>
          <w:tcPr>
            <w:tcW w:w="5710" w:type="dxa"/>
          </w:tcPr>
          <w:p w14:paraId="782C8374">
            <w:pPr>
              <w:jc w:val="center"/>
            </w:pPr>
            <w:r>
              <w:rPr>
                <w:rFonts w:hint="eastAsia"/>
              </w:rPr>
              <w:t>文件名</w:t>
            </w:r>
          </w:p>
        </w:tc>
        <w:tc>
          <w:tcPr>
            <w:tcW w:w="2544" w:type="dxa"/>
          </w:tcPr>
          <w:p w14:paraId="54A2C348">
            <w:pPr>
              <w:jc w:val="center"/>
            </w:pPr>
            <w:r>
              <w:rPr>
                <w:rFonts w:hint="eastAsia"/>
              </w:rPr>
              <w:t>下达资金（万元）</w:t>
            </w:r>
          </w:p>
        </w:tc>
      </w:tr>
      <w:tr w14:paraId="7E58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Pr>
          <w:p w14:paraId="760A7D81">
            <w:r>
              <w:rPr>
                <w:rFonts w:hint="eastAsia"/>
              </w:rPr>
              <w:t>1</w:t>
            </w:r>
          </w:p>
        </w:tc>
        <w:tc>
          <w:tcPr>
            <w:tcW w:w="5710" w:type="dxa"/>
          </w:tcPr>
          <w:p w14:paraId="014351F8">
            <w:r>
              <w:rPr>
                <w:rFonts w:hint="eastAsia"/>
              </w:rPr>
              <w:t>莆财预表〔2020〕5号，莆财社表6号</w:t>
            </w:r>
          </w:p>
        </w:tc>
        <w:tc>
          <w:tcPr>
            <w:tcW w:w="2544" w:type="dxa"/>
          </w:tcPr>
          <w:p w14:paraId="3531A001">
            <w:r>
              <w:rPr>
                <w:rFonts w:hint="eastAsia"/>
              </w:rPr>
              <w:t>2350</w:t>
            </w:r>
          </w:p>
        </w:tc>
      </w:tr>
      <w:tr w14:paraId="3F83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Pr>
          <w:p w14:paraId="664D2F45">
            <w:r>
              <w:rPr>
                <w:rFonts w:hint="eastAsia"/>
              </w:rPr>
              <w:t>2</w:t>
            </w:r>
          </w:p>
        </w:tc>
        <w:tc>
          <w:tcPr>
            <w:tcW w:w="5710" w:type="dxa"/>
          </w:tcPr>
          <w:p w14:paraId="3659AAB2">
            <w:r>
              <w:rPr>
                <w:rFonts w:hint="eastAsia"/>
              </w:rPr>
              <w:t>莆财预表〔2020〕36号，莆财社表31号</w:t>
            </w:r>
          </w:p>
        </w:tc>
        <w:tc>
          <w:tcPr>
            <w:tcW w:w="2544" w:type="dxa"/>
          </w:tcPr>
          <w:p w14:paraId="33803FF6">
            <w:r>
              <w:rPr>
                <w:rFonts w:hint="eastAsia"/>
              </w:rPr>
              <w:t>500</w:t>
            </w:r>
          </w:p>
        </w:tc>
      </w:tr>
      <w:tr w14:paraId="596F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Pr>
          <w:p w14:paraId="6BA6191F">
            <w:r>
              <w:rPr>
                <w:rFonts w:hint="eastAsia"/>
              </w:rPr>
              <w:t>3</w:t>
            </w:r>
          </w:p>
        </w:tc>
        <w:tc>
          <w:tcPr>
            <w:tcW w:w="5710" w:type="dxa"/>
          </w:tcPr>
          <w:p w14:paraId="67B4226E">
            <w:r>
              <w:rPr>
                <w:rFonts w:hint="eastAsia"/>
              </w:rPr>
              <w:t>莆财预表〔2020〕58号，莆财社表54号</w:t>
            </w:r>
          </w:p>
        </w:tc>
        <w:tc>
          <w:tcPr>
            <w:tcW w:w="2544" w:type="dxa"/>
          </w:tcPr>
          <w:p w14:paraId="092E207B">
            <w:r>
              <w:rPr>
                <w:rFonts w:hint="eastAsia"/>
              </w:rPr>
              <w:t>500</w:t>
            </w:r>
          </w:p>
        </w:tc>
      </w:tr>
      <w:tr w14:paraId="2EDE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7" w:type="dxa"/>
            <w:gridSpan w:val="2"/>
          </w:tcPr>
          <w:p w14:paraId="72144EB6">
            <w:r>
              <w:rPr>
                <w:rFonts w:hint="eastAsia"/>
              </w:rPr>
              <w:t>总计</w:t>
            </w:r>
          </w:p>
        </w:tc>
        <w:tc>
          <w:tcPr>
            <w:tcW w:w="2544" w:type="dxa"/>
          </w:tcPr>
          <w:p w14:paraId="59FB6E54">
            <w:r>
              <w:rPr>
                <w:rFonts w:hint="eastAsia"/>
              </w:rPr>
              <w:t>3350</w:t>
            </w:r>
          </w:p>
        </w:tc>
      </w:tr>
    </w:tbl>
    <w:p w14:paraId="4BCDDDC1">
      <w:pPr>
        <w:ind w:firstLine="420" w:firstLineChars="200"/>
      </w:pPr>
      <w:r>
        <w:t>2</w:t>
      </w:r>
      <w:r>
        <w:rPr>
          <w:rFonts w:hint="eastAsia"/>
        </w:rPr>
        <w:t>.</w:t>
      </w:r>
      <w:r>
        <w:t>项目资金使用情况</w:t>
      </w:r>
    </w:p>
    <w:p w14:paraId="5C6060DE">
      <w:pPr>
        <w:ind w:firstLine="420" w:firstLineChars="200"/>
      </w:pPr>
      <w:r>
        <w:rPr>
          <w:rFonts w:hint="eastAsia"/>
        </w:rPr>
        <w:t>因为涉及疫情经费，2021年1月31日财政通过实拨转账到卫健委2350万元，卫健委于财政转账当日分配四家疫情一线单位1745万元（</w:t>
      </w:r>
      <w:r>
        <w:t>分别拨付给</w:t>
      </w:r>
      <w:r>
        <w:rPr>
          <w:rFonts w:hint="eastAsia"/>
        </w:rPr>
        <w:t>莆田市第一医院200万元，莆田学院附属医院700万元，莆田市疾控预防控制中心800万元，莆田市急救中心45万元）后续财政根据疫情需要分500万两次共追加实拨1000万元，总共3350万元，金额在预算调整中均有批复。除掉拨付市直四家医疗卫生机构1745万元，其他资金用于拨付驻点、隔离点及疾控等还另需疫情开支。</w:t>
      </w:r>
    </w:p>
    <w:p w14:paraId="009FD9B2">
      <w:pPr>
        <w:ind w:firstLine="420" w:firstLineChars="200"/>
      </w:pPr>
      <w:r>
        <w:rPr>
          <w:rFonts w:hint="eastAsia"/>
        </w:rPr>
        <w:t>表2 疫情防控所需设备和试剂等经费拨付情况表</w:t>
      </w:r>
    </w:p>
    <w:tbl>
      <w:tblPr>
        <w:tblStyle w:val="18"/>
        <w:tblW w:w="9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4032"/>
        <w:gridCol w:w="3960"/>
      </w:tblGrid>
      <w:tr w14:paraId="24FE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Pr>
          <w:p w14:paraId="55893DB7">
            <w:r>
              <w:rPr>
                <w:rFonts w:hint="eastAsia"/>
              </w:rPr>
              <w:t>序号</w:t>
            </w:r>
          </w:p>
        </w:tc>
        <w:tc>
          <w:tcPr>
            <w:tcW w:w="4032" w:type="dxa"/>
          </w:tcPr>
          <w:p w14:paraId="30B5F22B">
            <w:r>
              <w:rPr>
                <w:rFonts w:hint="eastAsia"/>
              </w:rPr>
              <w:t>单位</w:t>
            </w:r>
          </w:p>
        </w:tc>
        <w:tc>
          <w:tcPr>
            <w:tcW w:w="3960" w:type="dxa"/>
          </w:tcPr>
          <w:p w14:paraId="06160141">
            <w:r>
              <w:rPr>
                <w:rFonts w:hint="eastAsia"/>
              </w:rPr>
              <w:t>金额（万元）</w:t>
            </w:r>
          </w:p>
        </w:tc>
      </w:tr>
      <w:tr w14:paraId="5579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Pr>
          <w:p w14:paraId="7764EF4E">
            <w:r>
              <w:rPr>
                <w:rFonts w:hint="eastAsia"/>
              </w:rPr>
              <w:t>1</w:t>
            </w:r>
          </w:p>
        </w:tc>
        <w:tc>
          <w:tcPr>
            <w:tcW w:w="4032" w:type="dxa"/>
          </w:tcPr>
          <w:p w14:paraId="34474CCD">
            <w:r>
              <w:rPr>
                <w:rFonts w:hint="eastAsia"/>
              </w:rPr>
              <w:t>莆田市第一医院</w:t>
            </w:r>
          </w:p>
        </w:tc>
        <w:tc>
          <w:tcPr>
            <w:tcW w:w="3960" w:type="dxa"/>
          </w:tcPr>
          <w:p w14:paraId="285A109B">
            <w:r>
              <w:rPr>
                <w:rFonts w:hint="eastAsia"/>
              </w:rPr>
              <w:t>200</w:t>
            </w:r>
          </w:p>
        </w:tc>
      </w:tr>
      <w:tr w14:paraId="62FC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Pr>
          <w:p w14:paraId="53170FFD">
            <w:r>
              <w:rPr>
                <w:rFonts w:hint="eastAsia"/>
              </w:rPr>
              <w:t>2</w:t>
            </w:r>
          </w:p>
        </w:tc>
        <w:tc>
          <w:tcPr>
            <w:tcW w:w="4032" w:type="dxa"/>
          </w:tcPr>
          <w:p w14:paraId="4DD5E620">
            <w:r>
              <w:rPr>
                <w:rFonts w:hint="eastAsia"/>
              </w:rPr>
              <w:t>莆田学院附属医院</w:t>
            </w:r>
          </w:p>
        </w:tc>
        <w:tc>
          <w:tcPr>
            <w:tcW w:w="3960" w:type="dxa"/>
          </w:tcPr>
          <w:p w14:paraId="085653D8">
            <w:r>
              <w:rPr>
                <w:rFonts w:hint="eastAsia"/>
              </w:rPr>
              <w:t>700</w:t>
            </w:r>
          </w:p>
        </w:tc>
      </w:tr>
      <w:tr w14:paraId="2BB0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Pr>
          <w:p w14:paraId="47095578">
            <w:r>
              <w:rPr>
                <w:rFonts w:hint="eastAsia"/>
              </w:rPr>
              <w:t>3</w:t>
            </w:r>
          </w:p>
        </w:tc>
        <w:tc>
          <w:tcPr>
            <w:tcW w:w="4032" w:type="dxa"/>
          </w:tcPr>
          <w:p w14:paraId="66904EA2">
            <w:r>
              <w:rPr>
                <w:rFonts w:hint="eastAsia"/>
              </w:rPr>
              <w:t>莆田市疾控预防控制中心</w:t>
            </w:r>
          </w:p>
        </w:tc>
        <w:tc>
          <w:tcPr>
            <w:tcW w:w="3960" w:type="dxa"/>
          </w:tcPr>
          <w:p w14:paraId="096C2A3B">
            <w:r>
              <w:rPr>
                <w:rFonts w:hint="eastAsia"/>
              </w:rPr>
              <w:t>800</w:t>
            </w:r>
          </w:p>
        </w:tc>
      </w:tr>
      <w:tr w14:paraId="52C2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Pr>
          <w:p w14:paraId="43D3393A">
            <w:r>
              <w:rPr>
                <w:rFonts w:hint="eastAsia"/>
              </w:rPr>
              <w:t>4</w:t>
            </w:r>
          </w:p>
        </w:tc>
        <w:tc>
          <w:tcPr>
            <w:tcW w:w="4032" w:type="dxa"/>
          </w:tcPr>
          <w:p w14:paraId="3F1851F3">
            <w:r>
              <w:rPr>
                <w:rFonts w:hint="eastAsia"/>
              </w:rPr>
              <w:t>莆田市急救中心</w:t>
            </w:r>
          </w:p>
        </w:tc>
        <w:tc>
          <w:tcPr>
            <w:tcW w:w="3960" w:type="dxa"/>
          </w:tcPr>
          <w:p w14:paraId="7E361F69">
            <w:r>
              <w:rPr>
                <w:rFonts w:hint="eastAsia"/>
              </w:rPr>
              <w:t>45</w:t>
            </w:r>
          </w:p>
        </w:tc>
      </w:tr>
      <w:tr w14:paraId="7E32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5" w:type="dxa"/>
            <w:gridSpan w:val="2"/>
          </w:tcPr>
          <w:p w14:paraId="67DADA96">
            <w:r>
              <w:rPr>
                <w:rFonts w:hint="eastAsia"/>
              </w:rPr>
              <w:t>合计</w:t>
            </w:r>
          </w:p>
        </w:tc>
        <w:tc>
          <w:tcPr>
            <w:tcW w:w="3960" w:type="dxa"/>
          </w:tcPr>
          <w:p w14:paraId="2B15706E">
            <w:r>
              <w:rPr>
                <w:rFonts w:hint="eastAsia"/>
              </w:rPr>
              <w:t>1745</w:t>
            </w:r>
          </w:p>
        </w:tc>
      </w:tr>
    </w:tbl>
    <w:p w14:paraId="6EC2F0BC">
      <w:pPr>
        <w:ind w:firstLine="420" w:firstLineChars="200"/>
      </w:pPr>
      <w:r>
        <w:rPr>
          <w:rFonts w:hint="eastAsia"/>
        </w:rPr>
        <w:t>根据莆田市卫健委提供的明细账，2020年1月1日至2020年12月31日，新冠疫情经费实际总共支出38494272.4元，除掉拨付市直四家医疗卫生机构1745万元，其他资金主要用于：</w:t>
      </w:r>
    </w:p>
    <w:p w14:paraId="30DFA865">
      <w:pPr>
        <w:ind w:firstLine="420" w:firstLineChars="200"/>
      </w:pPr>
      <w:r>
        <w:rPr>
          <w:rFonts w:hint="eastAsia"/>
        </w:rPr>
        <w:t>（1）城厢区卫健局疫情防控医学观察点宜尚酒店费用（累计3281005.45元）；</w:t>
      </w:r>
    </w:p>
    <w:p w14:paraId="4A712125">
      <w:pPr>
        <w:ind w:firstLine="420" w:firstLineChars="200"/>
      </w:pPr>
      <w:r>
        <w:rPr>
          <w:rFonts w:hint="eastAsia"/>
        </w:rPr>
        <w:t>（2）拨付疫情防控机场莆田联络组工作经费345万元，其中晋江机场（累计90万）、厦门机场（累计210万）、长乐机场（累计45万）；</w:t>
      </w:r>
    </w:p>
    <w:p w14:paraId="3FF28F6F">
      <w:pPr>
        <w:ind w:firstLine="420" w:firstLineChars="200"/>
      </w:pPr>
      <w:r>
        <w:rPr>
          <w:rFonts w:hint="eastAsia"/>
        </w:rPr>
        <w:t>（3）拨付市急救中心累计380万元（3月份-12月份）用于广西边境口岸疫情防控；</w:t>
      </w:r>
    </w:p>
    <w:p w14:paraId="3FEEDDF7">
      <w:pPr>
        <w:ind w:firstLine="420" w:firstLineChars="200"/>
      </w:pPr>
      <w:r>
        <w:rPr>
          <w:rFonts w:hint="eastAsia"/>
        </w:rPr>
        <w:t>（4）支付莆田市公安局非法入境人员集中医学观察点工作经费292万元；</w:t>
      </w:r>
    </w:p>
    <w:p w14:paraId="16A1305B">
      <w:pPr>
        <w:ind w:firstLine="420" w:firstLineChars="200"/>
      </w:pPr>
      <w:r>
        <w:rPr>
          <w:rFonts w:hint="eastAsia"/>
        </w:rPr>
        <w:t>（5）拨付市疾控中心防疫物资采购300万元；</w:t>
      </w:r>
    </w:p>
    <w:p w14:paraId="5D19EC29">
      <w:pPr>
        <w:ind w:firstLine="420" w:firstLineChars="200"/>
      </w:pPr>
      <w:r>
        <w:rPr>
          <w:rFonts w:hint="eastAsia"/>
        </w:rPr>
        <w:t>（6）支付秀屿区卫健局2020年第4季度莆田动车站新冠肺炎疫情防控安保服务工作经费50万元；</w:t>
      </w:r>
    </w:p>
    <w:p w14:paraId="5E555055">
      <w:pPr>
        <w:ind w:firstLine="420" w:firstLineChars="200"/>
      </w:pPr>
      <w:r>
        <w:rPr>
          <w:rFonts w:hint="eastAsia"/>
        </w:rPr>
        <w:t>（7）支付莆田市抗疫专场分享会摄制及宣传经费50万元；</w:t>
      </w:r>
    </w:p>
    <w:p w14:paraId="1A1E562C">
      <w:pPr>
        <w:ind w:firstLine="420" w:firstLineChars="200"/>
      </w:pPr>
      <w:r>
        <w:rPr>
          <w:rFonts w:hint="eastAsia"/>
        </w:rPr>
        <w:t>（8）根据莆疫防指外〔2020〕21号等，莆田凤达酒店集中医学观察点工作经费用（累计预拨30万元，据实结算）；</w:t>
      </w:r>
    </w:p>
    <w:p w14:paraId="065EED35">
      <w:pPr>
        <w:ind w:firstLine="420" w:firstLineChars="200"/>
      </w:pPr>
      <w:r>
        <w:rPr>
          <w:rFonts w:hint="eastAsia"/>
        </w:rPr>
        <w:t>（9）支付集中医学观察点涉疫生活垃圾清运、消杀费用154340元；</w:t>
      </w:r>
    </w:p>
    <w:p w14:paraId="08517F38">
      <w:pPr>
        <w:ind w:firstLine="420" w:firstLineChars="200"/>
      </w:pPr>
      <w:r>
        <w:rPr>
          <w:rFonts w:hint="eastAsia"/>
        </w:rPr>
        <w:t>（10）支付市疾控中心用于一线人员休息专用资金6万元；</w:t>
      </w:r>
    </w:p>
    <w:p w14:paraId="051C45F3">
      <w:pPr>
        <w:ind w:firstLine="420" w:firstLineChars="200"/>
      </w:pPr>
      <w:r>
        <w:rPr>
          <w:rFonts w:hint="eastAsia"/>
        </w:rPr>
        <w:t>（11）根据莆卫人〔2020〕77号，援鄂期间薪酬待遇保障补助市中医医院81982.23元、协和医院86400元；</w:t>
      </w:r>
    </w:p>
    <w:p w14:paraId="72F6EDBC">
      <w:pPr>
        <w:ind w:firstLine="420" w:firstLineChars="200"/>
      </w:pPr>
      <w:r>
        <w:rPr>
          <w:rFonts w:hint="eastAsia"/>
        </w:rPr>
        <w:t>（12）根据市应对新冠指挥部会议纪要〔2020〕6号，支付市交运驾驶员误工补助6.08万元；</w:t>
      </w:r>
    </w:p>
    <w:p w14:paraId="21845A03">
      <w:pPr>
        <w:ind w:firstLine="420" w:firstLineChars="200"/>
      </w:pPr>
      <w:r>
        <w:rPr>
          <w:rFonts w:hint="eastAsia"/>
        </w:rPr>
        <w:t>（13）疫情防控第一、二批援鄂医疗队包车费、新闻发布会、防控期间用车费用11019元；</w:t>
      </w:r>
    </w:p>
    <w:p w14:paraId="1D5C9B16">
      <w:pPr>
        <w:ind w:firstLine="420" w:firstLineChars="200"/>
      </w:pPr>
      <w:r>
        <w:rPr>
          <w:rFonts w:hint="eastAsia"/>
        </w:rPr>
        <w:t>（14）支付市疫情指挥部办公设备采购费、疫情防控医用物资搬运费、疫情防控返莆人员交通运输经费；以及购买防护服、手持红外线测温仪、护目镜、口罩、4万个丁腈手套；印刷新冠预防指南、制作疫情防控牌匾等。</w:t>
      </w:r>
    </w:p>
    <w:p w14:paraId="166B5279">
      <w:pPr>
        <w:ind w:firstLine="420" w:firstLineChars="200"/>
      </w:pPr>
      <w:r>
        <w:t>3</w:t>
      </w:r>
      <w:r>
        <w:rPr>
          <w:rFonts w:hint="eastAsia"/>
        </w:rPr>
        <w:t>.</w:t>
      </w:r>
      <w:r>
        <w:t>项目资金结余情况</w:t>
      </w:r>
    </w:p>
    <w:p w14:paraId="1D616F3B">
      <w:pPr>
        <w:ind w:firstLine="420" w:firstLineChars="200"/>
      </w:pPr>
      <w:r>
        <w:rPr>
          <w:rFonts w:hint="eastAsia"/>
        </w:rPr>
        <w:t>根据莆田市卫健委2020年三季度预算项目收支执行情况表显示，</w:t>
      </w:r>
      <w:r>
        <w:t>截止20</w:t>
      </w:r>
      <w:r>
        <w:rPr>
          <w:rFonts w:hint="eastAsia"/>
        </w:rPr>
        <w:t>20</w:t>
      </w:r>
      <w:r>
        <w:t>年</w:t>
      </w:r>
      <w:r>
        <w:rPr>
          <w:rFonts w:hint="eastAsia"/>
        </w:rPr>
        <w:t>9月</w:t>
      </w:r>
      <w:r>
        <w:t>底</w:t>
      </w:r>
      <w:r>
        <w:rPr>
          <w:rFonts w:hint="eastAsia"/>
        </w:rPr>
        <w:t>，三笔新型冠状病毒感染肺炎疫情防控经费（2350万元，500万元，500万元）已经全部执行完毕，无结余。</w:t>
      </w:r>
    </w:p>
    <w:p w14:paraId="0AC9B0B9">
      <w:pPr>
        <w:ind w:firstLine="420" w:firstLineChars="200"/>
      </w:pPr>
      <w:r>
        <w:rPr>
          <w:rFonts w:hint="eastAsia"/>
        </w:rPr>
        <w:t>4.组织和管理（项目组织、管理流程及实际执行情况）</w:t>
      </w:r>
    </w:p>
    <w:p w14:paraId="4E00C7CD">
      <w:pPr>
        <w:ind w:firstLine="420" w:firstLineChars="200"/>
      </w:pPr>
      <w:r>
        <w:rPr>
          <w:rFonts w:hint="eastAsia"/>
        </w:rPr>
        <w:t>根据资金分配方案将资金分配给市第一医院、莆田学院附属医院、市疾病预防控制中心、市急救中心、集中隔离点用于各自职责所需各项开支及疫情防控指挥部日常开支。</w:t>
      </w:r>
    </w:p>
    <w:p w14:paraId="3D9F8661">
      <w:pPr>
        <w:ind w:firstLine="420" w:firstLineChars="200"/>
      </w:pPr>
      <w:r>
        <w:t>（四）项目绩效目标</w:t>
      </w:r>
    </w:p>
    <w:p w14:paraId="1CE082C1">
      <w:pPr>
        <w:ind w:firstLine="420" w:firstLineChars="200"/>
      </w:pPr>
      <w:r>
        <w:t>1</w:t>
      </w:r>
      <w:r>
        <w:rPr>
          <w:rFonts w:hint="eastAsia"/>
        </w:rPr>
        <w:t>.</w:t>
      </w:r>
      <w:r>
        <w:t>总体目标</w:t>
      </w:r>
    </w:p>
    <w:p w14:paraId="5467D59D">
      <w:pPr>
        <w:ind w:firstLine="420" w:firstLineChars="200"/>
      </w:pPr>
      <w:r>
        <w:rPr>
          <w:rFonts w:hint="eastAsia"/>
        </w:rPr>
        <w:t>全面做好新冠肺炎防治和应急保障工作，治疗感染者，稳定群众，消除恐慌，维持社会秩序。</w:t>
      </w:r>
    </w:p>
    <w:p w14:paraId="011B9BDC">
      <w:pPr>
        <w:ind w:firstLine="420" w:firstLineChars="200"/>
      </w:pPr>
      <w:r>
        <w:rPr>
          <w:rFonts w:hint="eastAsia"/>
        </w:rPr>
        <w:t>通过明确各有关部门职责，调动各部门、各单位和街道群众力量，有效落实新型冠状病毒感染肺炎的预防和控制各项措施，在预防控制工作中逐步掌握新型冠状病毒感染肺炎的流行病学规律，提高防控、诊疗技术水平，形成多部门协作、群众广泛积极参与的防控机制，最大限度地防范新型冠状病毒感染肺炎的疫情在莆田市流行或爆发，有效保障群众生命健康。莆田市卫健委及一线防疫单位主要完成医疗救治病房建设，购置必须的设备、物质，设定隔离观察定点酒店，成立专人专班负责，对重点人群做好核酸检测，大力宣传疫情防控知识等关键工作。</w:t>
      </w:r>
    </w:p>
    <w:p w14:paraId="3CA435D8">
      <w:pPr>
        <w:ind w:firstLine="420" w:firstLineChars="200"/>
      </w:pPr>
      <w:r>
        <w:rPr>
          <w:rFonts w:hint="eastAsia"/>
        </w:rPr>
        <w:t>2.阶段性</w:t>
      </w:r>
      <w:r>
        <w:t>目标</w:t>
      </w:r>
    </w:p>
    <w:p w14:paraId="2673E1AA">
      <w:pPr>
        <w:ind w:firstLine="420" w:firstLineChars="200"/>
      </w:pPr>
      <w:r>
        <w:rPr>
          <w:rFonts w:hint="eastAsia"/>
        </w:rPr>
        <w:t>加强医院院区防控。加强入院检查工作，引导发热患者至发热门诊就诊；并对院区进行封闭式管理，尽量减少院内人员的密集程度，做好院内防护，避免院内交叉感染。改造完善临床实验室。保障院内发热患者核酸检测需求，满足应检尽检，愿检尽检等人群核酸检测需求，提升新冠病毒筛查排查水平，提升实验室检测能力，缩短核酸检测时间，及核酸检测容量，使医院核酸检测能力及实验室安全水平得到提升。做好各项应急物资的采购及储备工作，完善医院新冠防控物资配备。做好驻点、广西口岸疫情防控工作。宣传教育。充分发挥互联网、微博、微信、客户端等新媒体和广播、电视、报纸、宣传品等传统媒体作用，全方位开展新冠肺炎防控知识宣传教育。加强疫情防控工作人员新冠肺炎防控知识和策略措施培训，科学精准落实各项防控措施。</w:t>
      </w:r>
    </w:p>
    <w:p w14:paraId="25FE91FF">
      <w:pPr>
        <w:ind w:firstLine="420" w:firstLineChars="200"/>
      </w:pPr>
      <w:r>
        <w:rPr>
          <w:rFonts w:hint="eastAsia"/>
        </w:rPr>
        <w:t>（1）做好组织和领导实施工作,负责项目物资按计划采购、物资管理等的日常工作，确保物资及时到位，专业机构及时使用。</w:t>
      </w:r>
    </w:p>
    <w:p w14:paraId="291263BE">
      <w:pPr>
        <w:ind w:firstLine="420" w:firstLineChars="200"/>
      </w:pPr>
      <w:r>
        <w:rPr>
          <w:rFonts w:hint="eastAsia"/>
        </w:rPr>
        <w:t>（2）加强疫情防控工作和传染病防控知识宣传，宣传普及预防新冠相关知识和传染病防控知识，提高群众防病意识。</w:t>
      </w:r>
    </w:p>
    <w:p w14:paraId="296675FB">
      <w:pPr>
        <w:ind w:firstLine="420" w:firstLineChars="200"/>
      </w:pPr>
      <w:r>
        <w:rPr>
          <w:rFonts w:hint="eastAsia"/>
        </w:rPr>
        <w:t>（3）加强实验室改造建设，提高新冠病毒核酸检测能力，使常态化疫情防控有效落实。</w:t>
      </w:r>
    </w:p>
    <w:p w14:paraId="6C742173">
      <w:pPr>
        <w:ind w:firstLine="420" w:firstLineChars="200"/>
      </w:pPr>
      <w:r>
        <w:rPr>
          <w:rFonts w:hint="eastAsia"/>
        </w:rPr>
        <w:t>（4）发放参加新冠疫情防控工作的医务人员和工作者的临时性工作补助及驰援湖北医护人员的出差补助。</w:t>
      </w:r>
    </w:p>
    <w:p w14:paraId="786BF77D">
      <w:pPr>
        <w:ind w:firstLine="420" w:firstLineChars="200"/>
      </w:pPr>
      <w:r>
        <w:t>3</w:t>
      </w:r>
      <w:r>
        <w:rPr>
          <w:rFonts w:hint="eastAsia"/>
        </w:rPr>
        <w:t>.</w:t>
      </w:r>
      <w:r>
        <w:t>绩效目标实际完成情况</w:t>
      </w:r>
    </w:p>
    <w:p w14:paraId="5FBE1C02">
      <w:pPr>
        <w:ind w:firstLine="420" w:firstLineChars="200"/>
      </w:pPr>
      <w:r>
        <w:rPr>
          <w:rFonts w:hint="eastAsia"/>
        </w:rPr>
        <w:t>莆田市疾控将日监测量从60份提升至3000份，建立了快速检测能力，最快检测时间缩短至2小时以内。采购试剂耗材可检测新型冠状病毒核酸样本15000份，并建立了10000份核酸检测试剂的应急储备，基本可满足莆田市应急初期的核酸检测需要。根据流行病调查信息，及时对全市所有确诊病例（含复阳病例）、疑似病例、无症状感染者相关疫点开展现场消毒处置，疫点消毒覆盖率100%,累计消毒面积215305㎡。</w:t>
      </w:r>
    </w:p>
    <w:p w14:paraId="64AEC6DF">
      <w:pPr>
        <w:ind w:firstLine="420" w:firstLineChars="200"/>
      </w:pPr>
      <w:r>
        <w:rPr>
          <w:rFonts w:hint="eastAsia"/>
        </w:rPr>
        <w:t>莆田市第一医院免费救治新冠疫情确诊患者29人，疑似患者45人，补助抗击疫情一线医务人员153人。保障全院2150名医务工作者零感染，医院于2020年3月份起复工复产，全年未发生院内疫情感染事件。新建莆田市第一医院PCR实验室及莆田市城市核酸检测基地，保障24小时内完成核酸检测，全年完成核酸检测约11.30万例。</w:t>
      </w:r>
    </w:p>
    <w:p w14:paraId="1184F875">
      <w:pPr>
        <w:ind w:firstLine="420" w:firstLineChars="200"/>
      </w:pPr>
      <w:r>
        <w:rPr>
          <w:rFonts w:hint="eastAsia"/>
        </w:rPr>
        <w:t>莆田学院附属医院建成莆田版“小汤山”来救治确诊病人，提前开放肺科大楼病房用于隔离疑似病人。全院收治56名确诊病例、9名疑似病例，医院投入500多名医务人员参加救治工作，截止6月份确诊、疑似病人全部治愈出院，完成医务人员零感染率、病人零死亡率任务。</w:t>
      </w:r>
    </w:p>
    <w:p w14:paraId="07461EFD">
      <w:pPr>
        <w:ind w:firstLine="420" w:firstLineChars="200"/>
      </w:pPr>
      <w:r>
        <w:rPr>
          <w:rFonts w:hint="eastAsia"/>
        </w:rPr>
        <w:t>莆田市急救中心通过该项目资金采购了外科口罩5万个、普通口罩2万个、丁晴手套0.5万双等防护物资，采购隔离舱、上车担架、楼梯担架、空气过滤器、脊柱板等防控医疗设备，支付负压型救护车采购尾款等，为莆田市急救中心的疫情防控提供了坚实的物资保障。同时莆田市急救中心进一步加强了疫情防控业务培训，开展应急演练，做到人人熟练掌握转运疫情病人防护流程和技能。在防控中，莆田市急救中心全体医务工作者勇于担当，完成了转运疑似病人和确诊新冠病毒感染肺炎病人的任务，保护了群众生命健康，维持社会秩序。</w:t>
      </w:r>
    </w:p>
    <w:p w14:paraId="51C9D83F">
      <w:pPr>
        <w:ind w:firstLine="420" w:firstLineChars="200"/>
      </w:pPr>
      <w:r>
        <w:rPr>
          <w:rFonts w:hint="eastAsia"/>
        </w:rPr>
        <w:t>设置市级集中医学观察点（城厢区宜尚酒店），备用13个隔离点，拥有房间1397间，由莆田市卫健委总牵头与各县（区）疫情防控组党员干部25人组成驻集中医学观察点工作组，成立临时党支部，设置医疗保障、安全保障、消杀消毒、垃圾清运和后勤保障专班，单人单间并有独立的卫生间，具有分体式供风条件，观察点建筑建构、消防设施、应急通道、卫生安全和用电用气符合相关要求，配备全方位监控并备份，具有移动物体即时提醒功能，并落实24小时值班值守制度。垃圾清运做到日产日清，并定期对集中排污口进行消毒，委托第三方对集中医学观察点污水进行检测，疾控部门不定时对集中医学观察点内外环境进行核酸采样监测，消杀人员每日对内外环境、观察对象转运车辆和房间消毒消杀，观察对象离点后对房间进行终末消毒。对集中医学观察人员进行健康评估和健康监测，工作人员定期核酸检测，预防交叉感染，同时与莆田学院附属医院、莆田市第一医院和莆田市精神卫生中心建立联动巡诊转诊机制，保障观察人员身心健康。</w:t>
      </w:r>
    </w:p>
    <w:p w14:paraId="4F1486D2">
      <w:pPr>
        <w:ind w:firstLine="420" w:firstLineChars="200"/>
        <w:outlineLvl w:val="0"/>
      </w:pPr>
      <w:bookmarkStart w:id="154" w:name="_Toc13778"/>
      <w:r>
        <w:rPr>
          <w:rFonts w:hint="eastAsia"/>
        </w:rPr>
        <w:t>二、绩效评价工作开展情况</w:t>
      </w:r>
      <w:bookmarkEnd w:id="154"/>
    </w:p>
    <w:p w14:paraId="3F485449">
      <w:pPr>
        <w:ind w:firstLine="420" w:firstLineChars="200"/>
      </w:pPr>
      <w:bookmarkStart w:id="155" w:name="_Toc70616460"/>
      <w:bookmarkStart w:id="156" w:name="_Toc70494255"/>
      <w:r>
        <w:rPr>
          <w:rFonts w:hint="eastAsia"/>
        </w:rPr>
        <w:t>（一）绩效评价目的、对象和范围</w:t>
      </w:r>
      <w:bookmarkEnd w:id="155"/>
      <w:bookmarkEnd w:id="156"/>
    </w:p>
    <w:p w14:paraId="4667C205">
      <w:pPr>
        <w:ind w:firstLine="420" w:firstLineChars="200"/>
      </w:pPr>
      <w:r>
        <w:rPr>
          <w:rFonts w:hint="eastAsia"/>
        </w:rPr>
        <w:t>1.评价目的</w:t>
      </w:r>
    </w:p>
    <w:p w14:paraId="7D238346">
      <w:pPr>
        <w:ind w:firstLine="420" w:firstLineChars="200"/>
      </w:pPr>
      <w:r>
        <w:rPr>
          <w:rFonts w:hint="eastAsia"/>
        </w:rPr>
        <w:t>本次评价目的主要体现在以下三点：第一，在疫情防控的特殊时期，合规、公平使用疫情防控资金和财税政策，确保资金用在“刀刃”上，提高疫情防控资金使用效益，检验疫情防控资金是否实现经济性、效率性、效益性和公平性，确保财政资金不但拨得快，更要投得准、管得住、用得好、效益高；第二，通过绩效评价使预算单位树立绩效意识、成本意识和责任意识，提高财政专项资金的使用效益和管理水平；第三，全面了解莆田市卫健委2020年新冠病毒感染肺炎疫情防控经费项目的进展、资金使用、执行情况以及取得的成绩和综合效果，有利于预算单位总结经验、发现问题、加强管理，保证财政资金使用管理的规范性、安全性和有效性</w:t>
      </w:r>
      <w:r>
        <w:t>，并针对评价过程发现问题，提出合理化建议，</w:t>
      </w:r>
      <w:r>
        <w:rPr>
          <w:rFonts w:hint="eastAsia"/>
        </w:rPr>
        <w:t>为以后年度安排财政资金提供重要依据，进一步改进和加强莆田市财政资金使用效益。</w:t>
      </w:r>
    </w:p>
    <w:p w14:paraId="25D5A723">
      <w:pPr>
        <w:ind w:firstLine="420" w:firstLineChars="200"/>
      </w:pPr>
      <w:r>
        <w:rPr>
          <w:rFonts w:hint="eastAsia"/>
        </w:rPr>
        <w:t>2.评价对象和范围</w:t>
      </w:r>
    </w:p>
    <w:p w14:paraId="2E98764A">
      <w:pPr>
        <w:ind w:firstLine="420" w:firstLineChars="200"/>
      </w:pPr>
      <w:r>
        <w:rPr>
          <w:rFonts w:hint="eastAsia"/>
        </w:rPr>
        <w:t>本次评价的主体对象是莆田市卫健委、莆田市第一医院、莆田学院附属医院、莆田市疾控预防控制中心、莆田市急救中心、城厢区宜尚酒店（市级集中医学观察点）等防疫资金使用部门、单位。本次评价范围为莆田市财政局2020年拨付至相关单位的新冠病毒感染肺炎疫情防控经费项目，资金总额3350万元。</w:t>
      </w:r>
    </w:p>
    <w:p w14:paraId="60323278">
      <w:pPr>
        <w:ind w:firstLine="420" w:firstLineChars="200"/>
      </w:pPr>
      <w:bookmarkStart w:id="157" w:name="_Toc70494256"/>
      <w:bookmarkStart w:id="158" w:name="_Toc70616461"/>
      <w:r>
        <w:rPr>
          <w:rFonts w:hint="eastAsia"/>
        </w:rPr>
        <w:t>（二）绩效评价原则、评价指标体系（附表说明）、评价方法、评价标准等</w:t>
      </w:r>
      <w:bookmarkEnd w:id="157"/>
      <w:bookmarkEnd w:id="158"/>
    </w:p>
    <w:p w14:paraId="3E401E11">
      <w:pPr>
        <w:ind w:firstLine="420" w:firstLineChars="200"/>
      </w:pPr>
      <w:r>
        <w:rPr>
          <w:rFonts w:hint="eastAsia"/>
        </w:rPr>
        <w:t>1.评价原则</w:t>
      </w:r>
    </w:p>
    <w:p w14:paraId="593A3D95">
      <w:pPr>
        <w:ind w:firstLine="420" w:firstLineChars="200"/>
      </w:pPr>
      <w:r>
        <w:rPr>
          <w:rFonts w:hint="eastAsia"/>
        </w:rPr>
        <w:t>（1）目标导向性原则：以文件要求的各项绩效目标为导向，依据客观材料和数据，对设定的定量、定性评价指标进行对比分析，对财政资金的投入、产出和效益做出客观、公正的评价。</w:t>
      </w:r>
    </w:p>
    <w:p w14:paraId="0EFA3E5E">
      <w:pPr>
        <w:ind w:firstLine="420" w:firstLineChars="200"/>
      </w:pPr>
      <w:r>
        <w:rPr>
          <w:rFonts w:hint="eastAsia"/>
        </w:rPr>
        <w:t>（2）科学客观性原则：按照定性与定量、总量与比值相结合的方法，莆田市新冠病毒感染肺炎疫情防控经费的支出标准、整体水平和可持续发展状况进行客观评价。</w:t>
      </w:r>
    </w:p>
    <w:p w14:paraId="3BDCF4D1">
      <w:pPr>
        <w:ind w:firstLine="420" w:firstLineChars="200"/>
      </w:pPr>
      <w:r>
        <w:rPr>
          <w:rFonts w:hint="eastAsia"/>
        </w:rPr>
        <w:t>（3）公平公正性原则：依据各财政资金使用单位报送的统计数据和报告，通过定量分析和专家评审方式实施评价。</w:t>
      </w:r>
    </w:p>
    <w:p w14:paraId="53B940F4">
      <w:pPr>
        <w:ind w:firstLine="420" w:firstLineChars="200"/>
      </w:pPr>
      <w:r>
        <w:rPr>
          <w:rFonts w:hint="eastAsia"/>
        </w:rPr>
        <w:t>（4）分级分类原则：绩效评价由莆田市财政局、部门（单位）根据评价对象的特点分类组织实施。</w:t>
      </w:r>
      <w:r>
        <w:rPr>
          <w:rFonts w:hint="eastAsia"/>
        </w:rPr>
        <w:tab/>
      </w:r>
    </w:p>
    <w:p w14:paraId="64F7925F">
      <w:pPr>
        <w:ind w:firstLine="420" w:firstLineChars="200"/>
      </w:pPr>
      <w:r>
        <w:rPr>
          <w:rFonts w:hint="eastAsia"/>
        </w:rPr>
        <w:t>（5）绩效相关原则：针对各部门、单位的具体支出及其产生绩效进行，评价结果应清晰反映本项目支出和产生绩效之间的紧密对应关系。</w:t>
      </w:r>
    </w:p>
    <w:p w14:paraId="687E9766">
      <w:pPr>
        <w:ind w:firstLine="420" w:firstLineChars="200"/>
      </w:pPr>
      <w:r>
        <w:rPr>
          <w:rFonts w:hint="eastAsia"/>
        </w:rPr>
        <w:t>（6）保密原则：对被评部门、单位提供的佐证资料、评价结论等予以控制和保密。</w:t>
      </w:r>
    </w:p>
    <w:p w14:paraId="28248E87">
      <w:pPr>
        <w:ind w:firstLine="420" w:firstLineChars="200"/>
      </w:pPr>
      <w:r>
        <w:rPr>
          <w:rFonts w:hint="eastAsia"/>
        </w:rPr>
        <w:t>2.评价指标体系</w:t>
      </w:r>
    </w:p>
    <w:p w14:paraId="22735477">
      <w:pPr>
        <w:ind w:firstLine="420" w:firstLineChars="200"/>
      </w:pPr>
      <w:r>
        <w:rPr>
          <w:rFonts w:hint="eastAsia"/>
        </w:rPr>
        <w:t>表3 评价指标体系</w:t>
      </w:r>
    </w:p>
    <w:tbl>
      <w:tblPr>
        <w:tblStyle w:val="17"/>
        <w:tblW w:w="942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68"/>
        <w:gridCol w:w="793"/>
        <w:gridCol w:w="1333"/>
        <w:gridCol w:w="2237"/>
        <w:gridCol w:w="3631"/>
        <w:gridCol w:w="661"/>
      </w:tblGrid>
      <w:tr w14:paraId="013A2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768" w:type="dxa"/>
            <w:shd w:val="clear" w:color="auto" w:fill="FFFFFF"/>
            <w:vAlign w:val="center"/>
          </w:tcPr>
          <w:p w14:paraId="2CB9D4A9">
            <w:pPr>
              <w:spacing w:line="240" w:lineRule="exact"/>
            </w:pPr>
            <w:r>
              <w:t>一级指标</w:t>
            </w:r>
          </w:p>
        </w:tc>
        <w:tc>
          <w:tcPr>
            <w:tcW w:w="793" w:type="dxa"/>
            <w:shd w:val="clear" w:color="auto" w:fill="FFFFFF"/>
            <w:vAlign w:val="center"/>
          </w:tcPr>
          <w:p w14:paraId="0DD1764B">
            <w:pPr>
              <w:spacing w:line="240" w:lineRule="exact"/>
            </w:pPr>
            <w:r>
              <w:t>二级指标</w:t>
            </w:r>
          </w:p>
        </w:tc>
        <w:tc>
          <w:tcPr>
            <w:tcW w:w="1333" w:type="dxa"/>
            <w:shd w:val="clear" w:color="auto" w:fill="FFFFFF"/>
            <w:vAlign w:val="center"/>
          </w:tcPr>
          <w:p w14:paraId="4EF5FB56">
            <w:pPr>
              <w:spacing w:line="240" w:lineRule="exact"/>
              <w:ind w:firstLine="420" w:firstLineChars="200"/>
            </w:pPr>
            <w:r>
              <w:t>三级</w:t>
            </w:r>
          </w:p>
          <w:p w14:paraId="2D85F3C3">
            <w:pPr>
              <w:spacing w:line="240" w:lineRule="exact"/>
              <w:ind w:firstLine="420" w:firstLineChars="200"/>
            </w:pPr>
            <w:r>
              <w:t>指标</w:t>
            </w:r>
          </w:p>
        </w:tc>
        <w:tc>
          <w:tcPr>
            <w:tcW w:w="2237" w:type="dxa"/>
            <w:shd w:val="clear" w:color="auto" w:fill="FFFFFF"/>
            <w:vAlign w:val="center"/>
          </w:tcPr>
          <w:p w14:paraId="61CDF95C">
            <w:pPr>
              <w:spacing w:line="240" w:lineRule="exact"/>
            </w:pPr>
            <w:r>
              <w:t>指标解释</w:t>
            </w:r>
          </w:p>
        </w:tc>
        <w:tc>
          <w:tcPr>
            <w:tcW w:w="3631" w:type="dxa"/>
            <w:shd w:val="clear" w:color="auto" w:fill="FFFFFF"/>
            <w:vAlign w:val="center"/>
          </w:tcPr>
          <w:p w14:paraId="63FDC2EA">
            <w:pPr>
              <w:spacing w:line="240" w:lineRule="exact"/>
            </w:pPr>
            <w:r>
              <w:t>评分标准</w:t>
            </w:r>
          </w:p>
        </w:tc>
        <w:tc>
          <w:tcPr>
            <w:tcW w:w="661" w:type="dxa"/>
            <w:shd w:val="clear" w:color="auto" w:fill="FFFFFF"/>
            <w:vAlign w:val="center"/>
          </w:tcPr>
          <w:p w14:paraId="29161078">
            <w:pPr>
              <w:spacing w:line="240" w:lineRule="exact"/>
            </w:pPr>
            <w:r>
              <w:t>分值</w:t>
            </w:r>
          </w:p>
        </w:tc>
      </w:tr>
      <w:tr w14:paraId="78A3B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60" w:hRule="atLeast"/>
          <w:jc w:val="center"/>
        </w:trPr>
        <w:tc>
          <w:tcPr>
            <w:tcW w:w="768" w:type="dxa"/>
            <w:vMerge w:val="restart"/>
            <w:shd w:val="clear" w:color="auto" w:fill="FFFFFF"/>
            <w:vAlign w:val="center"/>
          </w:tcPr>
          <w:p w14:paraId="43DDC791">
            <w:pPr>
              <w:spacing w:line="240" w:lineRule="exact"/>
              <w:ind w:firstLine="420" w:firstLineChars="200"/>
            </w:pPr>
            <w:r>
              <w:rPr>
                <w:rFonts w:hint="eastAsia"/>
              </w:rPr>
              <w:t>项目</w:t>
            </w:r>
          </w:p>
          <w:p w14:paraId="74AA6EA1">
            <w:pPr>
              <w:spacing w:line="240" w:lineRule="exact"/>
              <w:ind w:firstLine="420" w:firstLineChars="200"/>
            </w:pPr>
            <w:r>
              <w:t>决策</w:t>
            </w:r>
          </w:p>
          <w:p w14:paraId="004C42B0">
            <w:pPr>
              <w:spacing w:line="240" w:lineRule="exact"/>
              <w:ind w:firstLine="420" w:firstLineChars="200"/>
            </w:pPr>
            <w:r>
              <w:rPr>
                <w:rFonts w:hint="eastAsia"/>
              </w:rPr>
              <w:t>15分</w:t>
            </w:r>
          </w:p>
        </w:tc>
        <w:tc>
          <w:tcPr>
            <w:tcW w:w="793" w:type="dxa"/>
            <w:vMerge w:val="restart"/>
            <w:shd w:val="clear" w:color="auto" w:fill="FFFFFF"/>
            <w:vAlign w:val="center"/>
          </w:tcPr>
          <w:p w14:paraId="4DE49909">
            <w:pPr>
              <w:spacing w:line="240" w:lineRule="exact"/>
              <w:ind w:firstLine="420" w:firstLineChars="200"/>
            </w:pPr>
            <w:r>
              <w:t>项目立项</w:t>
            </w:r>
          </w:p>
          <w:p w14:paraId="4B36D05B">
            <w:pPr>
              <w:spacing w:line="240" w:lineRule="exact"/>
              <w:ind w:firstLine="420" w:firstLineChars="200"/>
            </w:pPr>
            <w:r>
              <w:rPr>
                <w:rFonts w:hint="eastAsia"/>
              </w:rPr>
              <w:t>（6分）</w:t>
            </w:r>
          </w:p>
          <w:p w14:paraId="39855B49">
            <w:pPr>
              <w:spacing w:line="240" w:lineRule="exact"/>
              <w:ind w:firstLine="420" w:firstLineChars="200"/>
            </w:pPr>
            <w:r>
              <w:rPr>
                <w:rFonts w:hint="eastAsia"/>
              </w:rPr>
              <w:t>）</w:t>
            </w:r>
          </w:p>
        </w:tc>
        <w:tc>
          <w:tcPr>
            <w:tcW w:w="1333" w:type="dxa"/>
            <w:shd w:val="clear" w:color="auto" w:fill="FFFFFF"/>
            <w:vAlign w:val="center"/>
          </w:tcPr>
          <w:p w14:paraId="6EDE1FFA">
            <w:pPr>
              <w:spacing w:line="240" w:lineRule="exact"/>
              <w:ind w:firstLine="420" w:firstLineChars="200"/>
            </w:pPr>
            <w:r>
              <w:t>立项依据</w:t>
            </w:r>
          </w:p>
          <w:p w14:paraId="221AB7E0">
            <w:pPr>
              <w:spacing w:line="240" w:lineRule="exact"/>
              <w:ind w:firstLine="420" w:firstLineChars="200"/>
            </w:pPr>
            <w:r>
              <w:t>充分性</w:t>
            </w:r>
          </w:p>
        </w:tc>
        <w:tc>
          <w:tcPr>
            <w:tcW w:w="2237" w:type="dxa"/>
            <w:shd w:val="clear" w:color="auto" w:fill="FFFFFF"/>
            <w:vAlign w:val="center"/>
          </w:tcPr>
          <w:p w14:paraId="0381BF0A">
            <w:pPr>
              <w:spacing w:line="240" w:lineRule="exact"/>
            </w:pPr>
            <w:r>
              <w:t>项目立项是否符合法律法规、相关政策、发展规划以及部门职责，用以反映和考核项目立项依据情况。</w:t>
            </w:r>
          </w:p>
        </w:tc>
        <w:tc>
          <w:tcPr>
            <w:tcW w:w="3631" w:type="dxa"/>
            <w:shd w:val="clear" w:color="auto" w:fill="FFFFFF"/>
            <w:vAlign w:val="center"/>
          </w:tcPr>
          <w:p w14:paraId="738D82EF">
            <w:pPr>
              <w:spacing w:line="240" w:lineRule="exact"/>
              <w:ind w:firstLine="420" w:firstLineChars="200"/>
            </w:pPr>
            <w:r>
              <w:t>①项目立项符合国家法律法规、国民经济发展规划和相关政策，符合行业发展规划和政策要求，得1分；</w:t>
            </w:r>
          </w:p>
          <w:p w14:paraId="18EA79DA">
            <w:pPr>
              <w:spacing w:line="240" w:lineRule="exact"/>
              <w:ind w:firstLine="420" w:firstLineChars="200"/>
            </w:pPr>
            <w:r>
              <w:t>②项目立项与部门职责范围相符，属于部门履职所需，得1分；</w:t>
            </w:r>
          </w:p>
          <w:p w14:paraId="5CF151DD">
            <w:pPr>
              <w:spacing w:line="240" w:lineRule="exact"/>
              <w:ind w:firstLine="420" w:firstLineChars="200"/>
            </w:pPr>
            <w:r>
              <w:t>③项目属于公共财政支持范围，符合中央、地方事权支出责任划分原则，项目与相关部门同类项目或部门内部相关项目不重复</w:t>
            </w:r>
            <w:r>
              <w:rPr>
                <w:rFonts w:hint="eastAsia"/>
              </w:rPr>
              <w:t>，</w:t>
            </w:r>
            <w:r>
              <w:t>得1分。</w:t>
            </w:r>
          </w:p>
        </w:tc>
        <w:tc>
          <w:tcPr>
            <w:tcW w:w="661" w:type="dxa"/>
            <w:shd w:val="clear" w:color="auto" w:fill="FFFFFF"/>
            <w:vAlign w:val="center"/>
          </w:tcPr>
          <w:p w14:paraId="60410A8C">
            <w:pPr>
              <w:spacing w:line="240" w:lineRule="exact"/>
            </w:pPr>
            <w:r>
              <w:rPr>
                <w:rFonts w:hint="eastAsia"/>
              </w:rPr>
              <w:t>3</w:t>
            </w:r>
            <w:r>
              <w:t>分</w:t>
            </w:r>
          </w:p>
        </w:tc>
      </w:tr>
      <w:tr w14:paraId="64AF3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90" w:hRule="atLeast"/>
          <w:jc w:val="center"/>
        </w:trPr>
        <w:tc>
          <w:tcPr>
            <w:tcW w:w="768" w:type="dxa"/>
            <w:vMerge w:val="continue"/>
            <w:shd w:val="clear" w:color="auto" w:fill="FFFFFF"/>
            <w:vAlign w:val="center"/>
          </w:tcPr>
          <w:p w14:paraId="26FAB12B">
            <w:pPr>
              <w:spacing w:line="240" w:lineRule="exact"/>
            </w:pPr>
          </w:p>
        </w:tc>
        <w:tc>
          <w:tcPr>
            <w:tcW w:w="793" w:type="dxa"/>
            <w:vMerge w:val="continue"/>
            <w:shd w:val="clear" w:color="auto" w:fill="FFFFFF"/>
            <w:vAlign w:val="center"/>
          </w:tcPr>
          <w:p w14:paraId="36FE78AA">
            <w:pPr>
              <w:spacing w:line="240" w:lineRule="exact"/>
            </w:pPr>
          </w:p>
        </w:tc>
        <w:tc>
          <w:tcPr>
            <w:tcW w:w="1333" w:type="dxa"/>
            <w:shd w:val="clear" w:color="auto" w:fill="FFFFFF"/>
            <w:vAlign w:val="center"/>
          </w:tcPr>
          <w:p w14:paraId="5184AC9F">
            <w:pPr>
              <w:spacing w:line="240" w:lineRule="exact"/>
              <w:ind w:firstLine="420" w:firstLineChars="200"/>
            </w:pPr>
            <w:r>
              <w:t>立项程序</w:t>
            </w:r>
          </w:p>
          <w:p w14:paraId="76B32B22">
            <w:pPr>
              <w:spacing w:line="240" w:lineRule="exact"/>
              <w:ind w:firstLine="420" w:firstLineChars="200"/>
            </w:pPr>
            <w:r>
              <w:t>规范性</w:t>
            </w:r>
          </w:p>
        </w:tc>
        <w:tc>
          <w:tcPr>
            <w:tcW w:w="2237" w:type="dxa"/>
            <w:shd w:val="clear" w:color="auto" w:fill="FFFFFF"/>
            <w:vAlign w:val="center"/>
          </w:tcPr>
          <w:p w14:paraId="2D06E224">
            <w:pPr>
              <w:spacing w:line="240" w:lineRule="exact"/>
            </w:pPr>
            <w:r>
              <w:t>项目申请、设立过程是否符合相关要求，用以反映和考核项目立项的规范情况。</w:t>
            </w:r>
          </w:p>
        </w:tc>
        <w:tc>
          <w:tcPr>
            <w:tcW w:w="3631" w:type="dxa"/>
            <w:shd w:val="clear" w:color="auto" w:fill="FFFFFF"/>
            <w:vAlign w:val="center"/>
          </w:tcPr>
          <w:p w14:paraId="2F93C65B">
            <w:pPr>
              <w:spacing w:line="240" w:lineRule="exact"/>
              <w:ind w:firstLine="420" w:firstLineChars="200"/>
            </w:pPr>
            <w:r>
              <w:t>①项目按照规定的程序申请设立，得1分；</w:t>
            </w:r>
          </w:p>
          <w:p w14:paraId="6CA3709B">
            <w:pPr>
              <w:spacing w:line="240" w:lineRule="exact"/>
              <w:ind w:firstLine="420" w:firstLineChars="200"/>
            </w:pPr>
            <w:r>
              <w:t>②审批文件、材料符合相关要求，得1分；</w:t>
            </w:r>
          </w:p>
          <w:p w14:paraId="3F3219FD">
            <w:pPr>
              <w:spacing w:line="240" w:lineRule="exact"/>
              <w:ind w:firstLine="420" w:firstLineChars="200"/>
            </w:pPr>
            <w:r>
              <w:t>③事前已经过必要的可行性研究、专家论证、风险评估、绩效评估、集体决策，得1分。</w:t>
            </w:r>
          </w:p>
        </w:tc>
        <w:tc>
          <w:tcPr>
            <w:tcW w:w="661" w:type="dxa"/>
            <w:shd w:val="clear" w:color="auto" w:fill="FFFFFF"/>
            <w:vAlign w:val="center"/>
          </w:tcPr>
          <w:p w14:paraId="04895FD4">
            <w:pPr>
              <w:spacing w:line="240" w:lineRule="exact"/>
            </w:pPr>
            <w:r>
              <w:t>3分</w:t>
            </w:r>
          </w:p>
        </w:tc>
      </w:tr>
      <w:tr w14:paraId="594A2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27" w:hRule="atLeast"/>
          <w:jc w:val="center"/>
        </w:trPr>
        <w:tc>
          <w:tcPr>
            <w:tcW w:w="768" w:type="dxa"/>
            <w:vMerge w:val="continue"/>
            <w:shd w:val="clear" w:color="auto" w:fill="FFFFFF"/>
            <w:vAlign w:val="center"/>
          </w:tcPr>
          <w:p w14:paraId="67578147">
            <w:pPr>
              <w:spacing w:line="240" w:lineRule="exact"/>
            </w:pPr>
          </w:p>
        </w:tc>
        <w:tc>
          <w:tcPr>
            <w:tcW w:w="793" w:type="dxa"/>
            <w:vMerge w:val="restart"/>
            <w:shd w:val="clear" w:color="auto" w:fill="FFFFFF"/>
            <w:vAlign w:val="center"/>
          </w:tcPr>
          <w:p w14:paraId="79E3D755">
            <w:pPr>
              <w:spacing w:line="240" w:lineRule="exact"/>
              <w:ind w:firstLine="420" w:firstLineChars="200"/>
            </w:pPr>
            <w:r>
              <w:t>绩效目标</w:t>
            </w:r>
          </w:p>
          <w:p w14:paraId="51575732">
            <w:pPr>
              <w:spacing w:line="240" w:lineRule="exact"/>
              <w:ind w:firstLine="420" w:firstLineChars="200"/>
            </w:pPr>
            <w:r>
              <w:rPr>
                <w:rFonts w:hint="eastAsia"/>
              </w:rPr>
              <w:t>（5分）</w:t>
            </w:r>
            <w:r>
              <w:t>　</w:t>
            </w:r>
          </w:p>
        </w:tc>
        <w:tc>
          <w:tcPr>
            <w:tcW w:w="1333" w:type="dxa"/>
            <w:shd w:val="clear" w:color="auto" w:fill="FFFFFF"/>
            <w:vAlign w:val="center"/>
          </w:tcPr>
          <w:p w14:paraId="1EB457B1">
            <w:pPr>
              <w:spacing w:line="240" w:lineRule="exact"/>
              <w:ind w:firstLine="420" w:firstLineChars="200"/>
            </w:pPr>
            <w:r>
              <w:t>绩效目标</w:t>
            </w:r>
          </w:p>
          <w:p w14:paraId="76C77C41">
            <w:pPr>
              <w:spacing w:line="240" w:lineRule="exact"/>
              <w:ind w:firstLine="420" w:firstLineChars="200"/>
            </w:pPr>
            <w:r>
              <w:t>合理性</w:t>
            </w:r>
          </w:p>
        </w:tc>
        <w:tc>
          <w:tcPr>
            <w:tcW w:w="2237" w:type="dxa"/>
            <w:shd w:val="clear" w:color="000000" w:fill="FFFFFF"/>
            <w:vAlign w:val="center"/>
          </w:tcPr>
          <w:p w14:paraId="53834F7A">
            <w:pPr>
              <w:spacing w:line="240" w:lineRule="exact"/>
            </w:pPr>
            <w:r>
              <w:t>项目所设定的绩效目标是否依据充分，是否符合客观实际，用以反映和考核项目绩效目标与项目实施的相符情况。</w:t>
            </w:r>
          </w:p>
        </w:tc>
        <w:tc>
          <w:tcPr>
            <w:tcW w:w="3631" w:type="dxa"/>
            <w:shd w:val="clear" w:color="000000" w:fill="FFFFFF"/>
            <w:vAlign w:val="center"/>
          </w:tcPr>
          <w:p w14:paraId="25496632">
            <w:pPr>
              <w:spacing w:line="240" w:lineRule="exact"/>
              <w:ind w:firstLine="420" w:firstLineChars="200"/>
            </w:pPr>
            <w:r>
              <w:t>①项目有绩效目标</w:t>
            </w:r>
            <w:r>
              <w:rPr>
                <w:rFonts w:hint="eastAsia"/>
              </w:rPr>
              <w:t>，</w:t>
            </w:r>
            <w:r>
              <w:t>项目绩效目标与实际工作内容具有相关性，得1分；</w:t>
            </w:r>
          </w:p>
          <w:p w14:paraId="2BBFB36D">
            <w:pPr>
              <w:spacing w:line="240" w:lineRule="exact"/>
              <w:ind w:firstLine="420" w:firstLineChars="200"/>
            </w:pPr>
            <w:r>
              <w:t>②项目预期产出效益和效果符合正常的业绩水平，绩效目标与预算确定的项目投资额或资金量相匹配，得1分。</w:t>
            </w:r>
          </w:p>
        </w:tc>
        <w:tc>
          <w:tcPr>
            <w:tcW w:w="661" w:type="dxa"/>
            <w:shd w:val="clear" w:color="000000" w:fill="FFFFFF"/>
            <w:vAlign w:val="center"/>
          </w:tcPr>
          <w:p w14:paraId="05022CE4">
            <w:pPr>
              <w:spacing w:line="240" w:lineRule="exact"/>
            </w:pPr>
            <w:r>
              <w:rPr>
                <w:rFonts w:hint="eastAsia"/>
              </w:rPr>
              <w:t>2</w:t>
            </w:r>
            <w:r>
              <w:t>分</w:t>
            </w:r>
          </w:p>
        </w:tc>
      </w:tr>
      <w:tr w14:paraId="02F334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14:paraId="4924181B">
            <w:pPr>
              <w:spacing w:line="240" w:lineRule="exact"/>
            </w:pPr>
          </w:p>
        </w:tc>
        <w:tc>
          <w:tcPr>
            <w:tcW w:w="793" w:type="dxa"/>
            <w:vMerge w:val="continue"/>
            <w:shd w:val="clear" w:color="auto" w:fill="FFFFFF"/>
            <w:vAlign w:val="center"/>
          </w:tcPr>
          <w:p w14:paraId="41A67301">
            <w:pPr>
              <w:spacing w:line="240" w:lineRule="exact"/>
            </w:pPr>
          </w:p>
        </w:tc>
        <w:tc>
          <w:tcPr>
            <w:tcW w:w="1333" w:type="dxa"/>
            <w:shd w:val="clear" w:color="auto" w:fill="FFFFFF"/>
            <w:vAlign w:val="center"/>
          </w:tcPr>
          <w:p w14:paraId="340C9C85">
            <w:pPr>
              <w:spacing w:line="240" w:lineRule="exact"/>
              <w:ind w:firstLine="420" w:firstLineChars="200"/>
            </w:pPr>
            <w:r>
              <w:t>绩效指标</w:t>
            </w:r>
          </w:p>
          <w:p w14:paraId="3E4E4A7E">
            <w:pPr>
              <w:spacing w:line="240" w:lineRule="exact"/>
              <w:ind w:firstLine="420" w:firstLineChars="200"/>
            </w:pPr>
            <w:r>
              <w:t>明确性</w:t>
            </w:r>
          </w:p>
        </w:tc>
        <w:tc>
          <w:tcPr>
            <w:tcW w:w="2237" w:type="dxa"/>
            <w:shd w:val="clear" w:color="000000" w:fill="FFFFFF"/>
            <w:vAlign w:val="center"/>
          </w:tcPr>
          <w:p w14:paraId="473EFD28">
            <w:pPr>
              <w:spacing w:line="240" w:lineRule="exact"/>
            </w:pPr>
            <w:r>
              <w:t>依据绩效目标设定的绩效指标是否清晰、细化、可衡量等，用以反映和考核项目绩效目标的明细化情况。</w:t>
            </w:r>
          </w:p>
        </w:tc>
        <w:tc>
          <w:tcPr>
            <w:tcW w:w="3631" w:type="dxa"/>
            <w:shd w:val="clear" w:color="000000" w:fill="FFFFFF"/>
            <w:vAlign w:val="center"/>
          </w:tcPr>
          <w:p w14:paraId="7101F16C">
            <w:pPr>
              <w:spacing w:line="240" w:lineRule="exact"/>
              <w:ind w:firstLine="420" w:firstLineChars="200"/>
            </w:pPr>
            <w:r>
              <w:t>①将项目绩效目标细化分解为具体的绩效指标，得1分；</w:t>
            </w:r>
          </w:p>
          <w:p w14:paraId="5C2F2D26">
            <w:pPr>
              <w:spacing w:line="240" w:lineRule="exact"/>
              <w:ind w:firstLine="420" w:firstLineChars="200"/>
            </w:pPr>
            <w:r>
              <w:t>②通过清晰、可衡量的指标值予以体现，得1分；</w:t>
            </w:r>
          </w:p>
          <w:p w14:paraId="74CD4FD3">
            <w:pPr>
              <w:spacing w:line="240" w:lineRule="exact"/>
              <w:ind w:firstLine="420" w:firstLineChars="200"/>
            </w:pPr>
            <w:r>
              <w:t>③与项目目标任务数或计划数相对应，得1分。</w:t>
            </w:r>
          </w:p>
        </w:tc>
        <w:tc>
          <w:tcPr>
            <w:tcW w:w="661" w:type="dxa"/>
            <w:shd w:val="clear" w:color="000000" w:fill="FFFFFF"/>
            <w:vAlign w:val="center"/>
          </w:tcPr>
          <w:p w14:paraId="6AC7E5D2">
            <w:pPr>
              <w:spacing w:line="240" w:lineRule="exact"/>
            </w:pPr>
            <w:r>
              <w:t>3分</w:t>
            </w:r>
          </w:p>
        </w:tc>
      </w:tr>
      <w:tr w14:paraId="2D365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14:paraId="368D42B0">
            <w:pPr>
              <w:spacing w:line="240" w:lineRule="exact"/>
            </w:pPr>
          </w:p>
        </w:tc>
        <w:tc>
          <w:tcPr>
            <w:tcW w:w="793" w:type="dxa"/>
            <w:vMerge w:val="restart"/>
            <w:shd w:val="clear" w:color="auto" w:fill="FFFFFF"/>
            <w:vAlign w:val="center"/>
          </w:tcPr>
          <w:p w14:paraId="261DBF34">
            <w:pPr>
              <w:spacing w:line="240" w:lineRule="exact"/>
              <w:ind w:firstLine="420" w:firstLineChars="200"/>
            </w:pPr>
            <w:r>
              <w:t>资金投入</w:t>
            </w:r>
          </w:p>
          <w:p w14:paraId="67C5F2FF">
            <w:pPr>
              <w:spacing w:line="240" w:lineRule="exact"/>
              <w:ind w:firstLine="420" w:firstLineChars="200"/>
            </w:pPr>
            <w:r>
              <w:rPr>
                <w:rFonts w:hint="eastAsia"/>
              </w:rPr>
              <w:t>（4分）</w:t>
            </w:r>
          </w:p>
          <w:p w14:paraId="0086E13E">
            <w:pPr>
              <w:spacing w:line="240" w:lineRule="exact"/>
              <w:ind w:firstLine="420" w:firstLineChars="200"/>
            </w:pPr>
            <w:r>
              <w:rPr>
                <w:rFonts w:hint="eastAsia"/>
              </w:rPr>
              <w:t>4</w:t>
            </w:r>
          </w:p>
        </w:tc>
        <w:tc>
          <w:tcPr>
            <w:tcW w:w="1333" w:type="dxa"/>
            <w:shd w:val="clear" w:color="auto" w:fill="FFFFFF"/>
            <w:vAlign w:val="center"/>
          </w:tcPr>
          <w:p w14:paraId="56B02D22">
            <w:pPr>
              <w:spacing w:line="240" w:lineRule="exact"/>
              <w:ind w:firstLine="420" w:firstLineChars="200"/>
            </w:pPr>
            <w:r>
              <w:t>资金分配</w:t>
            </w:r>
          </w:p>
          <w:p w14:paraId="2EC86E4A">
            <w:pPr>
              <w:spacing w:line="240" w:lineRule="exact"/>
              <w:ind w:firstLine="420" w:firstLineChars="200"/>
            </w:pPr>
            <w:r>
              <w:t>合理性</w:t>
            </w:r>
          </w:p>
        </w:tc>
        <w:tc>
          <w:tcPr>
            <w:tcW w:w="2237" w:type="dxa"/>
            <w:shd w:val="clear" w:color="auto" w:fill="FFFFFF"/>
            <w:vAlign w:val="center"/>
          </w:tcPr>
          <w:p w14:paraId="5D1C3245">
            <w:pPr>
              <w:spacing w:line="240" w:lineRule="exact"/>
            </w:pPr>
            <w:r>
              <w:t>项目预算资金分配是否有测算依据，与补助单位或地方实际是否相适应，用以反映和考核项目预算资金分配的科学性、合理性情况。</w:t>
            </w:r>
          </w:p>
        </w:tc>
        <w:tc>
          <w:tcPr>
            <w:tcW w:w="3631" w:type="dxa"/>
            <w:shd w:val="clear" w:color="auto" w:fill="FFFFFF"/>
            <w:vAlign w:val="center"/>
          </w:tcPr>
          <w:p w14:paraId="3F6E0D06">
            <w:pPr>
              <w:spacing w:line="240" w:lineRule="exact"/>
              <w:ind w:firstLine="420" w:firstLineChars="200"/>
            </w:pPr>
            <w:r>
              <w:t>①预算资金分配依据充分，得1分；</w:t>
            </w:r>
          </w:p>
          <w:p w14:paraId="738B883B">
            <w:pPr>
              <w:spacing w:line="240" w:lineRule="exact"/>
              <w:ind w:firstLine="420" w:firstLineChars="200"/>
            </w:pPr>
            <w:r>
              <w:t>②资金分配额度合理，与项目单位或地方实际相适应，得1分。</w:t>
            </w:r>
          </w:p>
        </w:tc>
        <w:tc>
          <w:tcPr>
            <w:tcW w:w="661" w:type="dxa"/>
            <w:shd w:val="clear" w:color="auto" w:fill="FFFFFF"/>
            <w:vAlign w:val="center"/>
          </w:tcPr>
          <w:p w14:paraId="17EC29C8">
            <w:pPr>
              <w:spacing w:line="240" w:lineRule="exact"/>
            </w:pPr>
            <w:r>
              <w:t>2分</w:t>
            </w:r>
          </w:p>
        </w:tc>
      </w:tr>
      <w:tr w14:paraId="4B44E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88" w:hRule="atLeast"/>
          <w:jc w:val="center"/>
        </w:trPr>
        <w:tc>
          <w:tcPr>
            <w:tcW w:w="768" w:type="dxa"/>
            <w:vMerge w:val="continue"/>
            <w:shd w:val="clear" w:color="auto" w:fill="FFFFFF"/>
            <w:vAlign w:val="center"/>
          </w:tcPr>
          <w:p w14:paraId="55DD06E4">
            <w:pPr>
              <w:spacing w:line="240" w:lineRule="exact"/>
            </w:pPr>
          </w:p>
        </w:tc>
        <w:tc>
          <w:tcPr>
            <w:tcW w:w="793" w:type="dxa"/>
            <w:vMerge w:val="continue"/>
            <w:shd w:val="clear" w:color="auto" w:fill="FFFFFF"/>
            <w:vAlign w:val="center"/>
          </w:tcPr>
          <w:p w14:paraId="2AB2DED0">
            <w:pPr>
              <w:spacing w:line="240" w:lineRule="exact"/>
            </w:pPr>
          </w:p>
        </w:tc>
        <w:tc>
          <w:tcPr>
            <w:tcW w:w="1333" w:type="dxa"/>
            <w:shd w:val="clear" w:color="auto" w:fill="FFFFFF"/>
            <w:vAlign w:val="center"/>
          </w:tcPr>
          <w:p w14:paraId="4898C21D">
            <w:pPr>
              <w:spacing w:line="240" w:lineRule="exact"/>
              <w:ind w:firstLine="420" w:firstLineChars="200"/>
            </w:pPr>
            <w:r>
              <w:t>预算编制</w:t>
            </w:r>
          </w:p>
          <w:p w14:paraId="72E6A781">
            <w:pPr>
              <w:spacing w:line="240" w:lineRule="exact"/>
              <w:ind w:firstLine="420" w:firstLineChars="200"/>
            </w:pPr>
            <w:r>
              <w:t>科学性</w:t>
            </w:r>
          </w:p>
        </w:tc>
        <w:tc>
          <w:tcPr>
            <w:tcW w:w="2237" w:type="dxa"/>
            <w:shd w:val="clear" w:color="auto" w:fill="FFFFFF"/>
            <w:vAlign w:val="center"/>
          </w:tcPr>
          <w:p w14:paraId="1AEF9158">
            <w:pPr>
              <w:spacing w:line="240" w:lineRule="exact"/>
            </w:pPr>
            <w:r>
              <w:t>项目预算编制是否经过科学论证、有明确标准，资金额度与年度目标是否相适应，用以反映和考核项目预算编制的科学性、合理性情况。</w:t>
            </w:r>
          </w:p>
        </w:tc>
        <w:tc>
          <w:tcPr>
            <w:tcW w:w="3631" w:type="dxa"/>
            <w:shd w:val="clear" w:color="auto" w:fill="FFFFFF"/>
            <w:vAlign w:val="center"/>
          </w:tcPr>
          <w:p w14:paraId="0FEA6303">
            <w:pPr>
              <w:spacing w:line="240" w:lineRule="exact"/>
              <w:ind w:firstLine="420" w:firstLineChars="200"/>
            </w:pPr>
            <w:r>
              <w:t>①预算编制经过科学论证，预算内容与项目内容匹配，得1分；</w:t>
            </w:r>
          </w:p>
          <w:p w14:paraId="5DA8F142">
            <w:pPr>
              <w:spacing w:line="240" w:lineRule="exact"/>
              <w:ind w:firstLine="420" w:firstLineChars="200"/>
            </w:pPr>
            <w:r>
              <w:t>③预算额度测算依据充分，按照标准编制，预算确定的项目投资额或资金量与工作任务相匹配，得1分。</w:t>
            </w:r>
          </w:p>
        </w:tc>
        <w:tc>
          <w:tcPr>
            <w:tcW w:w="661" w:type="dxa"/>
            <w:shd w:val="clear" w:color="auto" w:fill="FFFFFF"/>
            <w:vAlign w:val="center"/>
          </w:tcPr>
          <w:p w14:paraId="246551B9">
            <w:pPr>
              <w:spacing w:line="240" w:lineRule="exact"/>
            </w:pPr>
            <w:r>
              <w:rPr>
                <w:rFonts w:hint="eastAsia"/>
              </w:rPr>
              <w:t>2</w:t>
            </w:r>
            <w:r>
              <w:t>分</w:t>
            </w:r>
          </w:p>
        </w:tc>
      </w:tr>
      <w:tr w14:paraId="73306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20" w:hRule="atLeast"/>
          <w:jc w:val="center"/>
        </w:trPr>
        <w:tc>
          <w:tcPr>
            <w:tcW w:w="768" w:type="dxa"/>
            <w:vMerge w:val="restart"/>
            <w:shd w:val="clear" w:color="auto" w:fill="FFFFFF"/>
            <w:vAlign w:val="center"/>
          </w:tcPr>
          <w:p w14:paraId="3AE9795B">
            <w:pPr>
              <w:spacing w:line="240" w:lineRule="exact"/>
              <w:ind w:firstLine="420" w:firstLineChars="200"/>
            </w:pPr>
            <w:r>
              <w:rPr>
                <w:rFonts w:hint="eastAsia"/>
              </w:rPr>
              <w:t>项目</w:t>
            </w:r>
          </w:p>
          <w:p w14:paraId="358B3E74">
            <w:pPr>
              <w:spacing w:line="240" w:lineRule="exact"/>
              <w:ind w:firstLine="420" w:firstLineChars="200"/>
            </w:pPr>
            <w:r>
              <w:rPr>
                <w:rFonts w:hint="eastAsia"/>
              </w:rPr>
              <w:t>过程</w:t>
            </w:r>
          </w:p>
          <w:p w14:paraId="30790F6F">
            <w:pPr>
              <w:spacing w:line="240" w:lineRule="exact"/>
              <w:ind w:firstLine="420" w:firstLineChars="200"/>
            </w:pPr>
            <w:r>
              <w:rPr>
                <w:rFonts w:hint="eastAsia"/>
              </w:rPr>
              <w:t>20分</w:t>
            </w:r>
          </w:p>
        </w:tc>
        <w:tc>
          <w:tcPr>
            <w:tcW w:w="793" w:type="dxa"/>
            <w:vMerge w:val="restart"/>
            <w:shd w:val="clear" w:color="auto" w:fill="FFFFFF"/>
            <w:vAlign w:val="center"/>
          </w:tcPr>
          <w:p w14:paraId="6EF0E5D5">
            <w:pPr>
              <w:spacing w:line="240" w:lineRule="exact"/>
              <w:ind w:firstLine="420" w:firstLineChars="200"/>
            </w:pPr>
            <w:r>
              <w:t>资金管理</w:t>
            </w:r>
          </w:p>
          <w:p w14:paraId="6EE7BB88">
            <w:pPr>
              <w:spacing w:line="240" w:lineRule="exact"/>
              <w:ind w:firstLine="420" w:firstLineChars="200"/>
            </w:pPr>
            <w:r>
              <w:rPr>
                <w:rFonts w:hint="eastAsia"/>
              </w:rPr>
              <w:t xml:space="preserve"> (10分）</w:t>
            </w:r>
          </w:p>
        </w:tc>
        <w:tc>
          <w:tcPr>
            <w:tcW w:w="1333" w:type="dxa"/>
            <w:shd w:val="clear" w:color="auto" w:fill="FFFFFF"/>
            <w:vAlign w:val="center"/>
          </w:tcPr>
          <w:p w14:paraId="5D20487F">
            <w:pPr>
              <w:spacing w:line="240" w:lineRule="exact"/>
              <w:ind w:firstLine="420" w:firstLineChars="200"/>
            </w:pPr>
            <w:r>
              <w:t>资金</w:t>
            </w:r>
          </w:p>
          <w:p w14:paraId="78A5B57F">
            <w:pPr>
              <w:spacing w:line="240" w:lineRule="exact"/>
              <w:ind w:firstLine="420" w:firstLineChars="200"/>
            </w:pPr>
            <w:r>
              <w:t>到位率</w:t>
            </w:r>
          </w:p>
        </w:tc>
        <w:tc>
          <w:tcPr>
            <w:tcW w:w="2237" w:type="dxa"/>
            <w:shd w:val="clear" w:color="000000" w:fill="FFFFFF"/>
            <w:vAlign w:val="center"/>
          </w:tcPr>
          <w:p w14:paraId="78DB9BDC">
            <w:pPr>
              <w:spacing w:line="240" w:lineRule="exact"/>
            </w:pPr>
            <w:r>
              <w:t>实际到位资金与预算资金的比率，用以反映和考核资金落实情况对项目实施的总体保障程度。</w:t>
            </w:r>
          </w:p>
        </w:tc>
        <w:tc>
          <w:tcPr>
            <w:tcW w:w="3631" w:type="dxa"/>
            <w:shd w:val="clear" w:color="000000" w:fill="FFFFFF"/>
            <w:vAlign w:val="center"/>
          </w:tcPr>
          <w:p w14:paraId="5C90095C">
            <w:pPr>
              <w:spacing w:line="240" w:lineRule="exact"/>
            </w:pPr>
            <w:r>
              <w:t>资金到位率=（实际到位资金/预算资金）×100%。资金到位率达到100%得满分，每不足5%扣1分，扣完为止。</w:t>
            </w:r>
          </w:p>
        </w:tc>
        <w:tc>
          <w:tcPr>
            <w:tcW w:w="661" w:type="dxa"/>
            <w:shd w:val="clear" w:color="000000" w:fill="FFFFFF"/>
            <w:vAlign w:val="center"/>
          </w:tcPr>
          <w:p w14:paraId="56E1D11F">
            <w:pPr>
              <w:spacing w:line="240" w:lineRule="exact"/>
            </w:pPr>
            <w:r>
              <w:rPr>
                <w:rFonts w:hint="eastAsia"/>
              </w:rPr>
              <w:t>3</w:t>
            </w:r>
            <w:r>
              <w:t>分</w:t>
            </w:r>
          </w:p>
        </w:tc>
      </w:tr>
      <w:tr w14:paraId="24361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56" w:hRule="atLeast"/>
          <w:jc w:val="center"/>
        </w:trPr>
        <w:tc>
          <w:tcPr>
            <w:tcW w:w="768" w:type="dxa"/>
            <w:vMerge w:val="continue"/>
            <w:shd w:val="clear" w:color="auto" w:fill="FFFFFF"/>
            <w:vAlign w:val="center"/>
          </w:tcPr>
          <w:p w14:paraId="7CA62B0A">
            <w:pPr>
              <w:spacing w:line="240" w:lineRule="exact"/>
            </w:pPr>
          </w:p>
        </w:tc>
        <w:tc>
          <w:tcPr>
            <w:tcW w:w="793" w:type="dxa"/>
            <w:vMerge w:val="continue"/>
            <w:shd w:val="clear" w:color="auto" w:fill="FFFFFF"/>
            <w:vAlign w:val="center"/>
          </w:tcPr>
          <w:p w14:paraId="22DBF9B1">
            <w:pPr>
              <w:spacing w:line="240" w:lineRule="exact"/>
            </w:pPr>
          </w:p>
        </w:tc>
        <w:tc>
          <w:tcPr>
            <w:tcW w:w="1333" w:type="dxa"/>
            <w:shd w:val="clear" w:color="auto" w:fill="FFFFFF"/>
            <w:vAlign w:val="center"/>
          </w:tcPr>
          <w:p w14:paraId="186C3252">
            <w:pPr>
              <w:spacing w:line="240" w:lineRule="exact"/>
              <w:ind w:firstLine="420" w:firstLineChars="200"/>
            </w:pPr>
            <w:r>
              <w:t>预算</w:t>
            </w:r>
          </w:p>
          <w:p w14:paraId="3FF57967">
            <w:pPr>
              <w:spacing w:line="240" w:lineRule="exact"/>
              <w:ind w:firstLine="420" w:firstLineChars="200"/>
            </w:pPr>
            <w:r>
              <w:t>执行率</w:t>
            </w:r>
          </w:p>
        </w:tc>
        <w:tc>
          <w:tcPr>
            <w:tcW w:w="2237" w:type="dxa"/>
            <w:shd w:val="clear" w:color="auto" w:fill="FFFFFF"/>
            <w:vAlign w:val="center"/>
          </w:tcPr>
          <w:p w14:paraId="16816061">
            <w:pPr>
              <w:spacing w:line="240" w:lineRule="exact"/>
            </w:pPr>
            <w:r>
              <w:t>项目预算资金是否按照计划执行，用以反映或考核项目预算执行情况。</w:t>
            </w:r>
          </w:p>
        </w:tc>
        <w:tc>
          <w:tcPr>
            <w:tcW w:w="3631" w:type="dxa"/>
            <w:shd w:val="clear" w:color="auto" w:fill="FFFFFF"/>
            <w:vAlign w:val="center"/>
          </w:tcPr>
          <w:p w14:paraId="624C3697">
            <w:pPr>
              <w:spacing w:line="240" w:lineRule="exact"/>
              <w:ind w:firstLine="420" w:firstLineChars="200"/>
            </w:pPr>
            <w:r>
              <w:t>预算执行率=（实际支出资金/实际到位资金）×100%。</w:t>
            </w:r>
          </w:p>
          <w:p w14:paraId="21E787AA">
            <w:pPr>
              <w:spacing w:line="240" w:lineRule="exact"/>
              <w:ind w:firstLine="420" w:firstLineChars="200"/>
            </w:pPr>
            <w:r>
              <w:t>预算执行率达到100%得满分，每</w:t>
            </w:r>
            <w:r>
              <w:rPr>
                <w:rFonts w:hint="eastAsia"/>
              </w:rPr>
              <w:t>降低</w:t>
            </w:r>
            <w:r>
              <w:t>5%扣1分，扣完为止。</w:t>
            </w:r>
          </w:p>
        </w:tc>
        <w:tc>
          <w:tcPr>
            <w:tcW w:w="661" w:type="dxa"/>
            <w:shd w:val="clear" w:color="auto" w:fill="FFFFFF"/>
            <w:vAlign w:val="center"/>
          </w:tcPr>
          <w:p w14:paraId="51744D64">
            <w:pPr>
              <w:spacing w:line="240" w:lineRule="exact"/>
            </w:pPr>
            <w:r>
              <w:rPr>
                <w:rFonts w:hint="eastAsia"/>
              </w:rPr>
              <w:t>3</w:t>
            </w:r>
            <w:r>
              <w:t>分</w:t>
            </w:r>
          </w:p>
        </w:tc>
      </w:tr>
      <w:tr w14:paraId="6BC9D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97" w:hRule="atLeast"/>
          <w:jc w:val="center"/>
        </w:trPr>
        <w:tc>
          <w:tcPr>
            <w:tcW w:w="768" w:type="dxa"/>
            <w:vMerge w:val="continue"/>
            <w:shd w:val="clear" w:color="auto" w:fill="FFFFFF"/>
            <w:vAlign w:val="center"/>
          </w:tcPr>
          <w:p w14:paraId="7DFF0C4A">
            <w:pPr>
              <w:spacing w:line="240" w:lineRule="exact"/>
            </w:pPr>
          </w:p>
        </w:tc>
        <w:tc>
          <w:tcPr>
            <w:tcW w:w="793" w:type="dxa"/>
            <w:vMerge w:val="continue"/>
            <w:shd w:val="clear" w:color="auto" w:fill="FFFFFF"/>
            <w:vAlign w:val="center"/>
          </w:tcPr>
          <w:p w14:paraId="666B0B71">
            <w:pPr>
              <w:spacing w:line="240" w:lineRule="exact"/>
            </w:pPr>
          </w:p>
        </w:tc>
        <w:tc>
          <w:tcPr>
            <w:tcW w:w="1333" w:type="dxa"/>
            <w:shd w:val="clear" w:color="auto" w:fill="FFFFFF"/>
            <w:vAlign w:val="center"/>
          </w:tcPr>
          <w:p w14:paraId="679B9BCE">
            <w:pPr>
              <w:spacing w:line="240" w:lineRule="exact"/>
              <w:ind w:firstLine="420" w:firstLineChars="200"/>
            </w:pPr>
            <w:r>
              <w:t>资金使用</w:t>
            </w:r>
          </w:p>
          <w:p w14:paraId="2236E51B">
            <w:pPr>
              <w:spacing w:line="240" w:lineRule="exact"/>
              <w:ind w:firstLine="420" w:firstLineChars="200"/>
            </w:pPr>
            <w:r>
              <w:t>合规性</w:t>
            </w:r>
          </w:p>
        </w:tc>
        <w:tc>
          <w:tcPr>
            <w:tcW w:w="2237" w:type="dxa"/>
            <w:shd w:val="clear" w:color="000000" w:fill="FFFFFF"/>
            <w:vAlign w:val="center"/>
          </w:tcPr>
          <w:p w14:paraId="1B46395A">
            <w:pPr>
              <w:spacing w:line="240" w:lineRule="exact"/>
            </w:pPr>
            <w:r>
              <w:t>项目资金使用是否符合相关的财务管理制度规定，用以反映和考核项目资金的规范运行情况。</w:t>
            </w:r>
          </w:p>
        </w:tc>
        <w:tc>
          <w:tcPr>
            <w:tcW w:w="3631" w:type="dxa"/>
            <w:shd w:val="clear" w:color="000000" w:fill="FFFFFF"/>
            <w:vAlign w:val="center"/>
          </w:tcPr>
          <w:p w14:paraId="7AD15BC7">
            <w:pPr>
              <w:spacing w:line="240" w:lineRule="exact"/>
              <w:ind w:firstLine="420" w:firstLineChars="200"/>
            </w:pPr>
            <w:r>
              <w:t>①符合国家财经法规和财务管理制度以及有关专项资金管理办法的规定，得1分；</w:t>
            </w:r>
          </w:p>
          <w:p w14:paraId="0032129A">
            <w:pPr>
              <w:spacing w:line="240" w:lineRule="exact"/>
              <w:ind w:firstLine="420" w:firstLineChars="200"/>
            </w:pPr>
            <w:r>
              <w:t>②资金的拨付有完整的审批程序和手续，得1分；</w:t>
            </w:r>
          </w:p>
          <w:p w14:paraId="1A8E3931">
            <w:pPr>
              <w:spacing w:line="240" w:lineRule="exact"/>
              <w:ind w:firstLine="420" w:firstLineChars="200"/>
            </w:pPr>
            <w:r>
              <w:t>③符合项目预算批复或合同规定的用途，得1分；</w:t>
            </w:r>
          </w:p>
          <w:p w14:paraId="7BE88F3F">
            <w:pPr>
              <w:spacing w:line="240" w:lineRule="exact"/>
              <w:ind w:firstLine="420" w:firstLineChars="200"/>
            </w:pPr>
            <w:r>
              <w:t>④未存在截留、挤占、挪用、虚列支出等情况，得1分。</w:t>
            </w:r>
          </w:p>
        </w:tc>
        <w:tc>
          <w:tcPr>
            <w:tcW w:w="661" w:type="dxa"/>
            <w:shd w:val="clear" w:color="000000" w:fill="FFFFFF"/>
            <w:vAlign w:val="center"/>
          </w:tcPr>
          <w:p w14:paraId="04DA8B3F">
            <w:pPr>
              <w:spacing w:line="240" w:lineRule="exact"/>
            </w:pPr>
            <w:r>
              <w:t>4分</w:t>
            </w:r>
          </w:p>
        </w:tc>
      </w:tr>
      <w:tr w14:paraId="3F52B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4" w:hRule="atLeast"/>
          <w:jc w:val="center"/>
        </w:trPr>
        <w:tc>
          <w:tcPr>
            <w:tcW w:w="768" w:type="dxa"/>
            <w:vMerge w:val="continue"/>
            <w:shd w:val="clear" w:color="auto" w:fill="FFFFFF"/>
            <w:vAlign w:val="center"/>
          </w:tcPr>
          <w:p w14:paraId="534AEAC7">
            <w:pPr>
              <w:spacing w:line="240" w:lineRule="exact"/>
            </w:pPr>
          </w:p>
        </w:tc>
        <w:tc>
          <w:tcPr>
            <w:tcW w:w="793" w:type="dxa"/>
            <w:vMerge w:val="restart"/>
            <w:shd w:val="clear" w:color="auto" w:fill="FFFFFF"/>
            <w:vAlign w:val="center"/>
          </w:tcPr>
          <w:p w14:paraId="0EFA99B2">
            <w:pPr>
              <w:spacing w:line="240" w:lineRule="exact"/>
              <w:ind w:firstLine="420" w:firstLineChars="200"/>
            </w:pPr>
            <w:r>
              <w:t>组织实施</w:t>
            </w:r>
          </w:p>
          <w:p w14:paraId="01E19DB0">
            <w:pPr>
              <w:spacing w:line="240" w:lineRule="exact"/>
              <w:ind w:firstLine="420" w:firstLineChars="200"/>
            </w:pPr>
            <w:r>
              <w:rPr>
                <w:rFonts w:hint="eastAsia"/>
              </w:rPr>
              <w:t>(10分）</w:t>
            </w:r>
          </w:p>
        </w:tc>
        <w:tc>
          <w:tcPr>
            <w:tcW w:w="1333" w:type="dxa"/>
            <w:shd w:val="clear" w:color="auto" w:fill="FFFFFF"/>
            <w:vAlign w:val="center"/>
          </w:tcPr>
          <w:p w14:paraId="34BA52F9">
            <w:pPr>
              <w:spacing w:line="240" w:lineRule="exact"/>
              <w:ind w:firstLine="420" w:firstLineChars="200"/>
            </w:pPr>
            <w:r>
              <w:t>管理制度</w:t>
            </w:r>
          </w:p>
          <w:p w14:paraId="2B76AE95">
            <w:pPr>
              <w:spacing w:line="240" w:lineRule="exact"/>
              <w:ind w:firstLine="420" w:firstLineChars="200"/>
            </w:pPr>
            <w:r>
              <w:t>健全性</w:t>
            </w:r>
          </w:p>
        </w:tc>
        <w:tc>
          <w:tcPr>
            <w:tcW w:w="2237" w:type="dxa"/>
            <w:shd w:val="clear" w:color="000000" w:fill="FFFFFF"/>
            <w:vAlign w:val="center"/>
          </w:tcPr>
          <w:p w14:paraId="3E221062">
            <w:pPr>
              <w:spacing w:line="240" w:lineRule="exact"/>
            </w:pPr>
            <w:r>
              <w:t>项目实施单位的财务和业务管理制度是否健全，用以反映和考核财务和业务管理制度对项目顺利实施的保障情况。</w:t>
            </w:r>
          </w:p>
        </w:tc>
        <w:tc>
          <w:tcPr>
            <w:tcW w:w="3631" w:type="dxa"/>
            <w:shd w:val="clear" w:color="000000" w:fill="FFFFFF"/>
            <w:vAlign w:val="center"/>
          </w:tcPr>
          <w:p w14:paraId="6256E5B9">
            <w:pPr>
              <w:spacing w:line="240" w:lineRule="exact"/>
              <w:ind w:firstLine="420" w:firstLineChars="200"/>
            </w:pPr>
            <w:r>
              <w:t>①已制定或具有相应的财务和业务管理制度，得1分；</w:t>
            </w:r>
          </w:p>
          <w:p w14:paraId="44DB32C8">
            <w:pPr>
              <w:spacing w:line="240" w:lineRule="exact"/>
              <w:ind w:firstLine="420" w:firstLineChars="200"/>
            </w:pPr>
            <w:r>
              <w:t>②财务和业务管理制度合法、合规、完整，得1分。</w:t>
            </w:r>
          </w:p>
        </w:tc>
        <w:tc>
          <w:tcPr>
            <w:tcW w:w="661" w:type="dxa"/>
            <w:shd w:val="clear" w:color="000000" w:fill="FFFFFF"/>
            <w:vAlign w:val="center"/>
          </w:tcPr>
          <w:p w14:paraId="419098DC">
            <w:pPr>
              <w:spacing w:line="240" w:lineRule="exact"/>
            </w:pPr>
            <w:r>
              <w:t>2分</w:t>
            </w:r>
          </w:p>
        </w:tc>
      </w:tr>
      <w:tr w14:paraId="1F085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12" w:hRule="atLeast"/>
          <w:jc w:val="center"/>
        </w:trPr>
        <w:tc>
          <w:tcPr>
            <w:tcW w:w="768" w:type="dxa"/>
            <w:vMerge w:val="continue"/>
            <w:shd w:val="clear" w:color="auto" w:fill="FFFFFF"/>
            <w:vAlign w:val="center"/>
          </w:tcPr>
          <w:p w14:paraId="04BFA58C">
            <w:pPr>
              <w:spacing w:line="240" w:lineRule="exact"/>
            </w:pPr>
          </w:p>
        </w:tc>
        <w:tc>
          <w:tcPr>
            <w:tcW w:w="793" w:type="dxa"/>
            <w:vMerge w:val="continue"/>
            <w:shd w:val="clear" w:color="auto" w:fill="FFFFFF"/>
            <w:vAlign w:val="center"/>
          </w:tcPr>
          <w:p w14:paraId="5F5520A1">
            <w:pPr>
              <w:spacing w:line="240" w:lineRule="exact"/>
            </w:pPr>
          </w:p>
        </w:tc>
        <w:tc>
          <w:tcPr>
            <w:tcW w:w="1333" w:type="dxa"/>
            <w:shd w:val="clear" w:color="auto" w:fill="FFFFFF"/>
            <w:vAlign w:val="center"/>
          </w:tcPr>
          <w:p w14:paraId="2018C829">
            <w:pPr>
              <w:spacing w:line="240" w:lineRule="exact"/>
              <w:ind w:firstLine="420" w:firstLineChars="200"/>
            </w:pPr>
            <w:r>
              <w:t>制度执行</w:t>
            </w:r>
          </w:p>
          <w:p w14:paraId="2EB16F05">
            <w:pPr>
              <w:spacing w:line="240" w:lineRule="exact"/>
              <w:ind w:firstLine="420" w:firstLineChars="200"/>
            </w:pPr>
            <w:r>
              <w:t>有效性</w:t>
            </w:r>
          </w:p>
        </w:tc>
        <w:tc>
          <w:tcPr>
            <w:tcW w:w="2237" w:type="dxa"/>
            <w:shd w:val="clear" w:color="000000" w:fill="FFFFFF"/>
            <w:vAlign w:val="center"/>
          </w:tcPr>
          <w:p w14:paraId="486B7D4D">
            <w:pPr>
              <w:spacing w:line="240" w:lineRule="exact"/>
            </w:pPr>
            <w:r>
              <w:t>项目实施是否符合相关管理规定，用以反映和考核相关管理制度的有效执行情况。</w:t>
            </w:r>
          </w:p>
        </w:tc>
        <w:tc>
          <w:tcPr>
            <w:tcW w:w="3631" w:type="dxa"/>
            <w:shd w:val="clear" w:color="000000" w:fill="FFFFFF"/>
            <w:vAlign w:val="center"/>
          </w:tcPr>
          <w:p w14:paraId="2FB4FFA2">
            <w:pPr>
              <w:spacing w:line="240" w:lineRule="exact"/>
              <w:ind w:firstLine="420" w:firstLineChars="200"/>
            </w:pPr>
            <w:r>
              <w:t>①遵守相关法律法规和相关管理规定，得1分；</w:t>
            </w:r>
          </w:p>
          <w:p w14:paraId="012B0254">
            <w:pPr>
              <w:spacing w:line="240" w:lineRule="exact"/>
              <w:ind w:firstLine="420" w:firstLineChars="200"/>
            </w:pPr>
            <w:r>
              <w:t>②项目调整及支出调整手续完备，得1分；</w:t>
            </w:r>
          </w:p>
          <w:p w14:paraId="20BBA0F0">
            <w:pPr>
              <w:spacing w:line="240" w:lineRule="exact"/>
              <w:ind w:firstLine="420" w:firstLineChars="200"/>
            </w:pPr>
            <w:r>
              <w:t>③项目合同书、验收报告、技术鉴定等资料齐全并及时归档，得1分；</w:t>
            </w:r>
          </w:p>
          <w:p w14:paraId="429892C7">
            <w:pPr>
              <w:spacing w:line="240" w:lineRule="exact"/>
              <w:ind w:firstLine="420" w:firstLineChars="200"/>
            </w:pPr>
            <w:r>
              <w:t>④项目实施的人员条件、场地设备、信息支撑等落实到位，得1分。</w:t>
            </w:r>
          </w:p>
        </w:tc>
        <w:tc>
          <w:tcPr>
            <w:tcW w:w="661" w:type="dxa"/>
            <w:shd w:val="clear" w:color="000000" w:fill="FFFFFF"/>
            <w:vAlign w:val="center"/>
          </w:tcPr>
          <w:p w14:paraId="3F332846">
            <w:pPr>
              <w:spacing w:line="240" w:lineRule="exact"/>
            </w:pPr>
            <w:r>
              <w:t>4分</w:t>
            </w:r>
          </w:p>
        </w:tc>
      </w:tr>
      <w:tr w14:paraId="35E96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96" w:hRule="atLeast"/>
          <w:jc w:val="center"/>
        </w:trPr>
        <w:tc>
          <w:tcPr>
            <w:tcW w:w="768" w:type="dxa"/>
            <w:vMerge w:val="continue"/>
            <w:shd w:val="clear" w:color="auto" w:fill="FFFFFF"/>
            <w:vAlign w:val="center"/>
          </w:tcPr>
          <w:p w14:paraId="2B10ACD4">
            <w:pPr>
              <w:spacing w:line="240" w:lineRule="exact"/>
            </w:pPr>
          </w:p>
        </w:tc>
        <w:tc>
          <w:tcPr>
            <w:tcW w:w="793" w:type="dxa"/>
            <w:vMerge w:val="continue"/>
            <w:shd w:val="clear" w:color="auto" w:fill="FFFFFF"/>
            <w:vAlign w:val="center"/>
          </w:tcPr>
          <w:p w14:paraId="3442F87B">
            <w:pPr>
              <w:spacing w:line="240" w:lineRule="exact"/>
            </w:pPr>
          </w:p>
        </w:tc>
        <w:tc>
          <w:tcPr>
            <w:tcW w:w="1333" w:type="dxa"/>
            <w:shd w:val="clear" w:color="auto" w:fill="FFFFFF"/>
            <w:vAlign w:val="center"/>
          </w:tcPr>
          <w:p w14:paraId="65605407">
            <w:pPr>
              <w:spacing w:line="240" w:lineRule="exact"/>
              <w:ind w:firstLine="420" w:firstLineChars="200"/>
            </w:pPr>
            <w:r>
              <w:rPr>
                <w:rFonts w:hint="eastAsia"/>
              </w:rPr>
              <w:t>信息报送</w:t>
            </w:r>
          </w:p>
          <w:p w14:paraId="70A0A16C">
            <w:pPr>
              <w:spacing w:line="240" w:lineRule="exact"/>
              <w:ind w:firstLine="420" w:firstLineChars="200"/>
            </w:pPr>
            <w:r>
              <w:rPr>
                <w:rFonts w:hint="eastAsia"/>
              </w:rPr>
              <w:t>制度完备性</w:t>
            </w:r>
          </w:p>
        </w:tc>
        <w:tc>
          <w:tcPr>
            <w:tcW w:w="2237" w:type="dxa"/>
            <w:shd w:val="clear" w:color="000000" w:fill="FFFFFF"/>
            <w:vAlign w:val="center"/>
          </w:tcPr>
          <w:p w14:paraId="103D0320">
            <w:pPr>
              <w:spacing w:line="240" w:lineRule="exact"/>
            </w:pPr>
            <w:r>
              <w:rPr>
                <w:rFonts w:hint="eastAsia"/>
              </w:rPr>
              <w:t>项目是否建立疫情信息报送制度，用以反映信息报备制度的完备性。</w:t>
            </w:r>
          </w:p>
        </w:tc>
        <w:tc>
          <w:tcPr>
            <w:tcW w:w="3631" w:type="dxa"/>
            <w:shd w:val="clear" w:color="000000" w:fill="FFFFFF"/>
            <w:vAlign w:val="center"/>
          </w:tcPr>
          <w:p w14:paraId="4FBA9CB6">
            <w:pPr>
              <w:spacing w:line="240" w:lineRule="exact"/>
            </w:pPr>
            <w:r>
              <w:rPr>
                <w:rFonts w:hint="eastAsia"/>
              </w:rPr>
              <w:t>建立疫情信息报送制度，未发生信息瞒报、漏报得2分，发现一起信息瞒报、漏报扣1分，扣完为止。</w:t>
            </w:r>
          </w:p>
        </w:tc>
        <w:tc>
          <w:tcPr>
            <w:tcW w:w="661" w:type="dxa"/>
            <w:shd w:val="clear" w:color="000000" w:fill="FFFFFF"/>
            <w:vAlign w:val="center"/>
          </w:tcPr>
          <w:p w14:paraId="7CD51284">
            <w:pPr>
              <w:spacing w:line="240" w:lineRule="exact"/>
            </w:pPr>
            <w:r>
              <w:rPr>
                <w:rFonts w:hint="eastAsia"/>
              </w:rPr>
              <w:t>2分</w:t>
            </w:r>
          </w:p>
        </w:tc>
      </w:tr>
      <w:tr w14:paraId="3A499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72" w:hRule="atLeast"/>
          <w:jc w:val="center"/>
        </w:trPr>
        <w:tc>
          <w:tcPr>
            <w:tcW w:w="768" w:type="dxa"/>
            <w:vMerge w:val="continue"/>
            <w:shd w:val="clear" w:color="auto" w:fill="FFFFFF"/>
            <w:vAlign w:val="center"/>
          </w:tcPr>
          <w:p w14:paraId="28187916">
            <w:pPr>
              <w:spacing w:line="240" w:lineRule="exact"/>
            </w:pPr>
          </w:p>
        </w:tc>
        <w:tc>
          <w:tcPr>
            <w:tcW w:w="793" w:type="dxa"/>
            <w:vMerge w:val="continue"/>
            <w:shd w:val="clear" w:color="auto" w:fill="FFFFFF"/>
            <w:vAlign w:val="center"/>
          </w:tcPr>
          <w:p w14:paraId="64C8F15E">
            <w:pPr>
              <w:spacing w:line="240" w:lineRule="exact"/>
            </w:pPr>
          </w:p>
        </w:tc>
        <w:tc>
          <w:tcPr>
            <w:tcW w:w="1333" w:type="dxa"/>
            <w:shd w:val="clear" w:color="auto" w:fill="FFFFFF"/>
            <w:vAlign w:val="center"/>
          </w:tcPr>
          <w:p w14:paraId="1D541F07">
            <w:pPr>
              <w:spacing w:line="240" w:lineRule="exact"/>
              <w:ind w:firstLine="420" w:firstLineChars="200"/>
            </w:pPr>
            <w:r>
              <w:rPr>
                <w:rFonts w:hint="eastAsia"/>
              </w:rPr>
              <w:t>应急队伍</w:t>
            </w:r>
          </w:p>
          <w:p w14:paraId="56CA5F43">
            <w:pPr>
              <w:spacing w:line="240" w:lineRule="exact"/>
              <w:ind w:firstLine="420" w:firstLineChars="200"/>
            </w:pPr>
            <w:r>
              <w:rPr>
                <w:rFonts w:hint="eastAsia"/>
              </w:rPr>
              <w:t>建设完备性</w:t>
            </w:r>
          </w:p>
        </w:tc>
        <w:tc>
          <w:tcPr>
            <w:tcW w:w="2237" w:type="dxa"/>
            <w:shd w:val="clear" w:color="000000" w:fill="FFFFFF"/>
            <w:vAlign w:val="center"/>
          </w:tcPr>
          <w:p w14:paraId="31261399">
            <w:pPr>
              <w:spacing w:line="240" w:lineRule="exact"/>
            </w:pPr>
            <w:r>
              <w:rPr>
                <w:rFonts w:hint="eastAsia"/>
              </w:rPr>
              <w:t>项目是否设置定点医院以及集中隔离医学观察点，用以反映应急队伍完备性。</w:t>
            </w:r>
          </w:p>
        </w:tc>
        <w:tc>
          <w:tcPr>
            <w:tcW w:w="3631" w:type="dxa"/>
            <w:shd w:val="clear" w:color="000000" w:fill="FFFFFF"/>
            <w:vAlign w:val="center"/>
          </w:tcPr>
          <w:p w14:paraId="7ADE844C">
            <w:pPr>
              <w:spacing w:line="240" w:lineRule="exact"/>
              <w:ind w:firstLine="420" w:firstLineChars="200"/>
            </w:pPr>
            <w:r>
              <w:rPr>
                <w:rFonts w:hint="eastAsia"/>
              </w:rPr>
              <w:t>①是否设置定点救治医院，建立医疗保障队伍；</w:t>
            </w:r>
          </w:p>
          <w:p w14:paraId="427EDEDE">
            <w:pPr>
              <w:spacing w:line="240" w:lineRule="exact"/>
              <w:ind w:firstLine="420" w:firstLineChars="200"/>
            </w:pPr>
            <w:r>
              <w:rPr>
                <w:rFonts w:hint="eastAsia"/>
              </w:rPr>
              <w:t>②是否设置符合要求的集中隔离医学观察场所。</w:t>
            </w:r>
          </w:p>
          <w:p w14:paraId="45214525">
            <w:pPr>
              <w:spacing w:line="240" w:lineRule="exact"/>
              <w:ind w:firstLine="420" w:firstLineChars="200"/>
            </w:pPr>
            <w:r>
              <w:rPr>
                <w:rFonts w:hint="eastAsia"/>
              </w:rPr>
              <w:t>每项符合得1分，基本符合得0.5分，不符合得0分。</w:t>
            </w:r>
          </w:p>
        </w:tc>
        <w:tc>
          <w:tcPr>
            <w:tcW w:w="661" w:type="dxa"/>
            <w:shd w:val="clear" w:color="000000" w:fill="FFFFFF"/>
            <w:vAlign w:val="center"/>
          </w:tcPr>
          <w:p w14:paraId="5A517ACC">
            <w:pPr>
              <w:spacing w:line="240" w:lineRule="exact"/>
            </w:pPr>
            <w:r>
              <w:rPr>
                <w:rFonts w:hint="eastAsia"/>
              </w:rPr>
              <w:t>2分</w:t>
            </w:r>
          </w:p>
        </w:tc>
      </w:tr>
      <w:tr w14:paraId="64923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5" w:hRule="atLeast"/>
          <w:jc w:val="center"/>
        </w:trPr>
        <w:tc>
          <w:tcPr>
            <w:tcW w:w="768" w:type="dxa"/>
            <w:vMerge w:val="restart"/>
            <w:shd w:val="clear" w:color="auto" w:fill="FFFFFF"/>
            <w:vAlign w:val="center"/>
          </w:tcPr>
          <w:p w14:paraId="5FEDC904">
            <w:pPr>
              <w:spacing w:line="240" w:lineRule="exact"/>
              <w:ind w:firstLine="420" w:firstLineChars="200"/>
            </w:pPr>
            <w:r>
              <w:rPr>
                <w:rFonts w:hint="eastAsia"/>
              </w:rPr>
              <w:t>项目</w:t>
            </w:r>
          </w:p>
          <w:p w14:paraId="53A1C58D">
            <w:pPr>
              <w:spacing w:line="240" w:lineRule="exact"/>
              <w:ind w:firstLine="420" w:firstLineChars="200"/>
            </w:pPr>
            <w:r>
              <w:rPr>
                <w:rFonts w:hint="eastAsia"/>
              </w:rPr>
              <w:t>产出</w:t>
            </w:r>
          </w:p>
          <w:p w14:paraId="5299E489">
            <w:pPr>
              <w:spacing w:line="240" w:lineRule="exact"/>
              <w:ind w:firstLine="420" w:firstLineChars="200"/>
            </w:pPr>
            <w:r>
              <w:rPr>
                <w:rFonts w:hint="eastAsia"/>
              </w:rPr>
              <w:t>30分</w:t>
            </w:r>
          </w:p>
        </w:tc>
        <w:tc>
          <w:tcPr>
            <w:tcW w:w="793" w:type="dxa"/>
            <w:vMerge w:val="restart"/>
            <w:shd w:val="clear" w:color="auto" w:fill="FFFFFF"/>
            <w:vAlign w:val="center"/>
          </w:tcPr>
          <w:p w14:paraId="7AD0A0C1">
            <w:pPr>
              <w:spacing w:line="240" w:lineRule="exact"/>
              <w:ind w:firstLine="420" w:firstLineChars="200"/>
            </w:pPr>
            <w:r>
              <w:t>产出数量</w:t>
            </w:r>
          </w:p>
          <w:p w14:paraId="0C6691FF">
            <w:pPr>
              <w:spacing w:line="240" w:lineRule="exact"/>
              <w:ind w:firstLine="420" w:firstLineChars="200"/>
            </w:pPr>
            <w:r>
              <w:rPr>
                <w:rFonts w:hint="eastAsia"/>
              </w:rPr>
              <w:t>(14分）</w:t>
            </w:r>
          </w:p>
        </w:tc>
        <w:tc>
          <w:tcPr>
            <w:tcW w:w="1333" w:type="dxa"/>
            <w:shd w:val="clear" w:color="auto" w:fill="FFFFFF"/>
            <w:vAlign w:val="center"/>
          </w:tcPr>
          <w:p w14:paraId="2B004B62">
            <w:pPr>
              <w:spacing w:line="240" w:lineRule="exact"/>
            </w:pPr>
            <w:r>
              <w:rPr>
                <w:rFonts w:hint="eastAsia"/>
              </w:rPr>
              <w:t>设定隔离点和集中医学观察酒店数量</w:t>
            </w:r>
          </w:p>
        </w:tc>
        <w:tc>
          <w:tcPr>
            <w:tcW w:w="2237" w:type="dxa"/>
            <w:shd w:val="clear" w:color="000000" w:fill="FFFFFF"/>
            <w:vAlign w:val="center"/>
          </w:tcPr>
          <w:p w14:paraId="146461AA">
            <w:pPr>
              <w:spacing w:line="240" w:lineRule="exact"/>
            </w:pPr>
            <w:r>
              <w:rPr>
                <w:rFonts w:hint="eastAsia"/>
              </w:rPr>
              <w:t>用以反映和考核项目产出数量目标的实现程度</w:t>
            </w:r>
          </w:p>
        </w:tc>
        <w:tc>
          <w:tcPr>
            <w:tcW w:w="3631" w:type="dxa"/>
            <w:shd w:val="clear" w:color="000000" w:fill="FFFFFF"/>
            <w:vAlign w:val="center"/>
          </w:tcPr>
          <w:p w14:paraId="6CAB2531">
            <w:pPr>
              <w:spacing w:line="240" w:lineRule="exact"/>
            </w:pPr>
            <w:r>
              <w:rPr>
                <w:rFonts w:hint="eastAsia"/>
              </w:rPr>
              <w:t>设定隔离点和集中医学观察酒店数量足够满足确诊病例的密切接触者、入境人员等隔离需求得满分，未能满足此项不得分</w:t>
            </w:r>
          </w:p>
        </w:tc>
        <w:tc>
          <w:tcPr>
            <w:tcW w:w="661" w:type="dxa"/>
            <w:shd w:val="clear" w:color="000000" w:fill="FFFFFF"/>
            <w:vAlign w:val="center"/>
          </w:tcPr>
          <w:p w14:paraId="01F73149">
            <w:pPr>
              <w:spacing w:line="240" w:lineRule="exact"/>
            </w:pPr>
            <w:r>
              <w:rPr>
                <w:rFonts w:hint="eastAsia"/>
              </w:rPr>
              <w:t>3分</w:t>
            </w:r>
          </w:p>
        </w:tc>
      </w:tr>
      <w:tr w14:paraId="4CD94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5" w:hRule="atLeast"/>
          <w:jc w:val="center"/>
        </w:trPr>
        <w:tc>
          <w:tcPr>
            <w:tcW w:w="768" w:type="dxa"/>
            <w:vMerge w:val="continue"/>
            <w:shd w:val="clear" w:color="auto" w:fill="FFFFFF"/>
            <w:vAlign w:val="center"/>
          </w:tcPr>
          <w:p w14:paraId="43DC3659">
            <w:pPr>
              <w:spacing w:line="240" w:lineRule="exact"/>
            </w:pPr>
          </w:p>
        </w:tc>
        <w:tc>
          <w:tcPr>
            <w:tcW w:w="793" w:type="dxa"/>
            <w:vMerge w:val="continue"/>
            <w:shd w:val="clear" w:color="auto" w:fill="FFFFFF"/>
            <w:vAlign w:val="center"/>
          </w:tcPr>
          <w:p w14:paraId="0080C3F5">
            <w:pPr>
              <w:spacing w:line="240" w:lineRule="exact"/>
            </w:pPr>
          </w:p>
        </w:tc>
        <w:tc>
          <w:tcPr>
            <w:tcW w:w="1333" w:type="dxa"/>
            <w:shd w:val="clear" w:color="auto" w:fill="FFFFFF"/>
            <w:vAlign w:val="center"/>
          </w:tcPr>
          <w:p w14:paraId="05601FC2">
            <w:pPr>
              <w:spacing w:line="240" w:lineRule="exact"/>
            </w:pPr>
            <w:r>
              <w:rPr>
                <w:rFonts w:hint="eastAsia"/>
              </w:rPr>
              <w:t>确诊、疑似病例和隔离留观治疗人数</w:t>
            </w:r>
          </w:p>
        </w:tc>
        <w:tc>
          <w:tcPr>
            <w:tcW w:w="2237" w:type="dxa"/>
            <w:shd w:val="clear" w:color="000000" w:fill="FFFFFF"/>
            <w:vAlign w:val="center"/>
          </w:tcPr>
          <w:p w14:paraId="33E8A2E8">
            <w:pPr>
              <w:spacing w:line="240" w:lineRule="exact"/>
            </w:pPr>
            <w:r>
              <w:rPr>
                <w:rFonts w:hint="eastAsia"/>
              </w:rPr>
              <w:t>用以反映和考核项目产出数量目标的实现程度。</w:t>
            </w:r>
          </w:p>
        </w:tc>
        <w:tc>
          <w:tcPr>
            <w:tcW w:w="3631" w:type="dxa"/>
            <w:shd w:val="clear" w:color="000000" w:fill="FFFFFF"/>
            <w:vAlign w:val="center"/>
          </w:tcPr>
          <w:p w14:paraId="5F9C6C0E">
            <w:pPr>
              <w:spacing w:line="240" w:lineRule="exact"/>
            </w:pPr>
            <w:r>
              <w:rPr>
                <w:rFonts w:hint="eastAsia"/>
              </w:rPr>
              <w:t>确诊、疑似病例和隔离留观治疗人数是否涉及对应全部人员，覆盖率达 100%得满分，否则根据实际核查覆盖率酌情给分。</w:t>
            </w:r>
          </w:p>
        </w:tc>
        <w:tc>
          <w:tcPr>
            <w:tcW w:w="661" w:type="dxa"/>
            <w:shd w:val="clear" w:color="000000" w:fill="FFFFFF"/>
            <w:vAlign w:val="center"/>
          </w:tcPr>
          <w:p w14:paraId="0A13C347">
            <w:pPr>
              <w:spacing w:line="240" w:lineRule="exact"/>
            </w:pPr>
            <w:r>
              <w:rPr>
                <w:rFonts w:hint="eastAsia"/>
              </w:rPr>
              <w:t>3分</w:t>
            </w:r>
          </w:p>
        </w:tc>
      </w:tr>
      <w:tr w14:paraId="5C102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5" w:hRule="atLeast"/>
          <w:jc w:val="center"/>
        </w:trPr>
        <w:tc>
          <w:tcPr>
            <w:tcW w:w="768" w:type="dxa"/>
            <w:vMerge w:val="continue"/>
            <w:shd w:val="clear" w:color="auto" w:fill="FFFFFF"/>
            <w:vAlign w:val="center"/>
          </w:tcPr>
          <w:p w14:paraId="49145FCA">
            <w:pPr>
              <w:spacing w:line="240" w:lineRule="exact"/>
            </w:pPr>
          </w:p>
        </w:tc>
        <w:tc>
          <w:tcPr>
            <w:tcW w:w="793" w:type="dxa"/>
            <w:vMerge w:val="continue"/>
            <w:shd w:val="clear" w:color="auto" w:fill="FFFFFF"/>
            <w:vAlign w:val="center"/>
          </w:tcPr>
          <w:p w14:paraId="33B7DBB4">
            <w:pPr>
              <w:spacing w:line="240" w:lineRule="exact"/>
            </w:pPr>
          </w:p>
        </w:tc>
        <w:tc>
          <w:tcPr>
            <w:tcW w:w="1333" w:type="dxa"/>
            <w:shd w:val="clear" w:color="auto" w:fill="FFFFFF"/>
            <w:vAlign w:val="center"/>
          </w:tcPr>
          <w:p w14:paraId="42FFCD19">
            <w:pPr>
              <w:spacing w:line="240" w:lineRule="exact"/>
              <w:ind w:firstLine="420" w:firstLineChars="200"/>
            </w:pPr>
            <w:r>
              <w:rPr>
                <w:rFonts w:hint="eastAsia"/>
              </w:rPr>
              <w:t>感染者</w:t>
            </w:r>
          </w:p>
          <w:p w14:paraId="22DE8627">
            <w:pPr>
              <w:spacing w:line="240" w:lineRule="exact"/>
              <w:ind w:firstLine="420" w:firstLineChars="200"/>
            </w:pPr>
            <w:r>
              <w:rPr>
                <w:rFonts w:hint="eastAsia"/>
              </w:rPr>
              <w:t>收治率</w:t>
            </w:r>
          </w:p>
        </w:tc>
        <w:tc>
          <w:tcPr>
            <w:tcW w:w="2237" w:type="dxa"/>
            <w:shd w:val="clear" w:color="000000" w:fill="FFFFFF"/>
            <w:vAlign w:val="center"/>
          </w:tcPr>
          <w:p w14:paraId="4B6AAEAF">
            <w:pPr>
              <w:spacing w:line="240" w:lineRule="exact"/>
            </w:pPr>
            <w:r>
              <w:rPr>
                <w:rFonts w:hint="eastAsia"/>
              </w:rPr>
              <w:t>根据新冠肺炎确诊标准，确诊患者均做收治处理，以收治率判断新冠肺炎患者是否得到有效救治，用以反映和考核项目产出数量目标的实现程度。</w:t>
            </w:r>
          </w:p>
        </w:tc>
        <w:tc>
          <w:tcPr>
            <w:tcW w:w="3631" w:type="dxa"/>
            <w:shd w:val="clear" w:color="000000" w:fill="FFFFFF"/>
            <w:vAlign w:val="center"/>
          </w:tcPr>
          <w:p w14:paraId="166522B0">
            <w:pPr>
              <w:spacing w:line="240" w:lineRule="exact"/>
            </w:pPr>
            <w:r>
              <w:rPr>
                <w:rFonts w:hint="eastAsia"/>
              </w:rPr>
              <w:t>收治率=当年度全市实际出现新冠肺炎病人数量/定点医疗机构收治数量*100%。收治率为100%得满分，否则不得分。</w:t>
            </w:r>
          </w:p>
        </w:tc>
        <w:tc>
          <w:tcPr>
            <w:tcW w:w="661" w:type="dxa"/>
            <w:shd w:val="clear" w:color="000000" w:fill="FFFFFF"/>
            <w:vAlign w:val="center"/>
          </w:tcPr>
          <w:p w14:paraId="019C46CB">
            <w:pPr>
              <w:spacing w:line="240" w:lineRule="exact"/>
            </w:pPr>
            <w:r>
              <w:rPr>
                <w:rFonts w:hint="eastAsia"/>
              </w:rPr>
              <w:t>3分</w:t>
            </w:r>
          </w:p>
        </w:tc>
      </w:tr>
      <w:tr w14:paraId="202A4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5" w:hRule="atLeast"/>
          <w:jc w:val="center"/>
        </w:trPr>
        <w:tc>
          <w:tcPr>
            <w:tcW w:w="768" w:type="dxa"/>
            <w:vMerge w:val="continue"/>
            <w:shd w:val="clear" w:color="auto" w:fill="FFFFFF"/>
            <w:vAlign w:val="center"/>
          </w:tcPr>
          <w:p w14:paraId="29745313">
            <w:pPr>
              <w:spacing w:line="240" w:lineRule="exact"/>
            </w:pPr>
          </w:p>
        </w:tc>
        <w:tc>
          <w:tcPr>
            <w:tcW w:w="793" w:type="dxa"/>
            <w:vMerge w:val="continue"/>
            <w:shd w:val="clear" w:color="auto" w:fill="FFFFFF"/>
            <w:vAlign w:val="center"/>
          </w:tcPr>
          <w:p w14:paraId="37AABB3F">
            <w:pPr>
              <w:spacing w:line="240" w:lineRule="exact"/>
            </w:pPr>
          </w:p>
        </w:tc>
        <w:tc>
          <w:tcPr>
            <w:tcW w:w="1333" w:type="dxa"/>
            <w:shd w:val="clear" w:color="auto" w:fill="FFFFFF"/>
            <w:vAlign w:val="center"/>
          </w:tcPr>
          <w:p w14:paraId="5F1E9BB1">
            <w:pPr>
              <w:spacing w:line="240" w:lineRule="exact"/>
              <w:ind w:firstLine="420" w:firstLineChars="200"/>
            </w:pPr>
            <w:r>
              <w:rPr>
                <w:rFonts w:hint="eastAsia"/>
              </w:rPr>
              <w:t>购置设备</w:t>
            </w:r>
          </w:p>
          <w:p w14:paraId="40ABE712">
            <w:pPr>
              <w:spacing w:line="240" w:lineRule="exact"/>
              <w:ind w:firstLine="420" w:firstLineChars="200"/>
            </w:pPr>
            <w:r>
              <w:rPr>
                <w:rFonts w:hint="eastAsia"/>
              </w:rPr>
              <w:t>验收合格率</w:t>
            </w:r>
          </w:p>
        </w:tc>
        <w:tc>
          <w:tcPr>
            <w:tcW w:w="2237" w:type="dxa"/>
            <w:shd w:val="clear" w:color="000000" w:fill="FFFFFF"/>
            <w:vAlign w:val="center"/>
          </w:tcPr>
          <w:p w14:paraId="078863E6">
            <w:pPr>
              <w:spacing w:line="240" w:lineRule="exact"/>
            </w:pPr>
            <w:r>
              <w:rPr>
                <w:rFonts w:hint="eastAsia"/>
              </w:rPr>
              <w:t>项目完成的质量达标产出数与实际产出数的比率， 用以反映和考核项目产出质量目标的实现程度。</w:t>
            </w:r>
          </w:p>
        </w:tc>
        <w:tc>
          <w:tcPr>
            <w:tcW w:w="3631" w:type="dxa"/>
            <w:shd w:val="clear" w:color="000000" w:fill="FFFFFF"/>
            <w:vAlign w:val="center"/>
          </w:tcPr>
          <w:p w14:paraId="48E61910">
            <w:pPr>
              <w:spacing w:line="240" w:lineRule="exact"/>
              <w:ind w:firstLine="420" w:firstLineChars="200"/>
            </w:pPr>
            <w:r>
              <w:rPr>
                <w:rFonts w:hint="eastAsia"/>
              </w:rPr>
              <w:t>质量达标率=（质量达标产出数/实际产出数）×100%。</w:t>
            </w:r>
          </w:p>
          <w:p w14:paraId="5FB4EFB0">
            <w:pPr>
              <w:spacing w:line="240" w:lineRule="exact"/>
              <w:ind w:firstLine="420" w:firstLineChars="200"/>
            </w:pPr>
            <w:r>
              <w:rPr>
                <w:rFonts w:hint="eastAsia"/>
              </w:rPr>
              <w:t>质量达标产出数：一定时期（本年度或项目期）内实际达到既定质量标准的产品或服务数量。既定质量标准是指项目实施单位设立绩效目标时依据计划标准、行业标准、历史标准或其他标准而设定的绩效指标值。</w:t>
            </w:r>
          </w:p>
          <w:p w14:paraId="78A8FA63">
            <w:pPr>
              <w:spacing w:line="240" w:lineRule="exact"/>
              <w:ind w:firstLine="420" w:firstLineChars="200"/>
            </w:pPr>
            <w:r>
              <w:rPr>
                <w:rFonts w:hint="eastAsia"/>
              </w:rPr>
              <w:t>分值=质量达标率*指标分值。</w:t>
            </w:r>
          </w:p>
        </w:tc>
        <w:tc>
          <w:tcPr>
            <w:tcW w:w="661" w:type="dxa"/>
            <w:shd w:val="clear" w:color="000000" w:fill="FFFFFF"/>
            <w:vAlign w:val="center"/>
          </w:tcPr>
          <w:p w14:paraId="0E4A066D">
            <w:pPr>
              <w:spacing w:line="240" w:lineRule="exact"/>
            </w:pPr>
            <w:r>
              <w:rPr>
                <w:rFonts w:hint="eastAsia"/>
              </w:rPr>
              <w:t>2分</w:t>
            </w:r>
          </w:p>
        </w:tc>
      </w:tr>
      <w:tr w14:paraId="63D3B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92" w:hRule="atLeast"/>
          <w:jc w:val="center"/>
        </w:trPr>
        <w:tc>
          <w:tcPr>
            <w:tcW w:w="768" w:type="dxa"/>
            <w:vMerge w:val="continue"/>
            <w:shd w:val="clear" w:color="auto" w:fill="FFFFFF"/>
            <w:vAlign w:val="center"/>
          </w:tcPr>
          <w:p w14:paraId="6B8219B7">
            <w:pPr>
              <w:spacing w:line="240" w:lineRule="exact"/>
            </w:pPr>
          </w:p>
        </w:tc>
        <w:tc>
          <w:tcPr>
            <w:tcW w:w="793" w:type="dxa"/>
            <w:vMerge w:val="continue"/>
            <w:shd w:val="clear" w:color="auto" w:fill="FFFFFF"/>
            <w:vAlign w:val="center"/>
          </w:tcPr>
          <w:p w14:paraId="7C90D69E">
            <w:pPr>
              <w:spacing w:line="240" w:lineRule="exact"/>
            </w:pPr>
          </w:p>
        </w:tc>
        <w:tc>
          <w:tcPr>
            <w:tcW w:w="1333" w:type="dxa"/>
            <w:shd w:val="clear" w:color="auto" w:fill="FFFFFF"/>
            <w:vAlign w:val="center"/>
          </w:tcPr>
          <w:p w14:paraId="4605BC20">
            <w:pPr>
              <w:spacing w:line="240" w:lineRule="exact"/>
              <w:ind w:firstLine="420" w:firstLineChars="200"/>
            </w:pPr>
            <w:r>
              <w:rPr>
                <w:rFonts w:hint="eastAsia"/>
              </w:rPr>
              <w:t>医疗人员</w:t>
            </w:r>
          </w:p>
          <w:p w14:paraId="2AD9BAE8">
            <w:pPr>
              <w:spacing w:line="240" w:lineRule="exact"/>
              <w:ind w:firstLine="420" w:firstLineChars="200"/>
            </w:pPr>
            <w:r>
              <w:rPr>
                <w:rFonts w:hint="eastAsia"/>
              </w:rPr>
              <w:t>补助覆盖率</w:t>
            </w:r>
          </w:p>
        </w:tc>
        <w:tc>
          <w:tcPr>
            <w:tcW w:w="2237" w:type="dxa"/>
            <w:shd w:val="clear" w:color="000000" w:fill="FFFFFF"/>
            <w:vAlign w:val="center"/>
          </w:tcPr>
          <w:p w14:paraId="16D1D8BB">
            <w:pPr>
              <w:spacing w:line="240" w:lineRule="exact"/>
            </w:pPr>
            <w:r>
              <w:rPr>
                <w:rFonts w:hint="eastAsia"/>
              </w:rPr>
              <w:t>用以反映和考核项目产出数量目标的实现程度。</w:t>
            </w:r>
          </w:p>
        </w:tc>
        <w:tc>
          <w:tcPr>
            <w:tcW w:w="3631" w:type="dxa"/>
            <w:shd w:val="clear" w:color="000000" w:fill="FFFFFF"/>
            <w:vAlign w:val="center"/>
          </w:tcPr>
          <w:p w14:paraId="788369F5">
            <w:pPr>
              <w:spacing w:line="240" w:lineRule="exact"/>
            </w:pPr>
            <w:r>
              <w:rPr>
                <w:rFonts w:hint="eastAsia"/>
              </w:rPr>
              <w:t>援鄂医护人员和一线医护人员补助覆盖率达到100%得满分，未达到100%发放，得分=3分*覆盖率</w:t>
            </w:r>
          </w:p>
        </w:tc>
        <w:tc>
          <w:tcPr>
            <w:tcW w:w="661" w:type="dxa"/>
            <w:shd w:val="clear" w:color="000000" w:fill="FFFFFF"/>
            <w:vAlign w:val="center"/>
          </w:tcPr>
          <w:p w14:paraId="7838E87C">
            <w:pPr>
              <w:spacing w:line="240" w:lineRule="exact"/>
            </w:pPr>
            <w:r>
              <w:rPr>
                <w:rFonts w:hint="eastAsia"/>
              </w:rPr>
              <w:t>3分</w:t>
            </w:r>
          </w:p>
        </w:tc>
      </w:tr>
      <w:tr w14:paraId="5D432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6" w:hRule="atLeast"/>
          <w:jc w:val="center"/>
        </w:trPr>
        <w:tc>
          <w:tcPr>
            <w:tcW w:w="768" w:type="dxa"/>
            <w:vMerge w:val="continue"/>
            <w:shd w:val="clear" w:color="auto" w:fill="FFFFFF"/>
            <w:vAlign w:val="center"/>
          </w:tcPr>
          <w:p w14:paraId="47002431">
            <w:pPr>
              <w:spacing w:line="240" w:lineRule="exact"/>
            </w:pPr>
          </w:p>
        </w:tc>
        <w:tc>
          <w:tcPr>
            <w:tcW w:w="793" w:type="dxa"/>
            <w:vMerge w:val="restart"/>
            <w:shd w:val="clear" w:color="auto" w:fill="FFFFFF"/>
            <w:vAlign w:val="center"/>
          </w:tcPr>
          <w:p w14:paraId="2BCD40C7">
            <w:pPr>
              <w:spacing w:line="240" w:lineRule="exact"/>
              <w:ind w:firstLine="420" w:firstLineChars="200"/>
            </w:pPr>
            <w:r>
              <w:t>产出质量</w:t>
            </w:r>
          </w:p>
          <w:p w14:paraId="33784FB3">
            <w:pPr>
              <w:spacing w:line="240" w:lineRule="exact"/>
              <w:ind w:firstLine="420" w:firstLineChars="200"/>
            </w:pPr>
            <w:r>
              <w:rPr>
                <w:rFonts w:hint="eastAsia"/>
              </w:rPr>
              <w:t>(10分）</w:t>
            </w:r>
          </w:p>
        </w:tc>
        <w:tc>
          <w:tcPr>
            <w:tcW w:w="1333" w:type="dxa"/>
            <w:shd w:val="clear" w:color="auto" w:fill="FFFFFF"/>
            <w:vAlign w:val="center"/>
          </w:tcPr>
          <w:p w14:paraId="5B1A61BE">
            <w:pPr>
              <w:spacing w:line="240" w:lineRule="exact"/>
            </w:pPr>
            <w:r>
              <w:rPr>
                <w:rFonts w:hint="eastAsia"/>
              </w:rPr>
              <w:t>感染者治愈率</w:t>
            </w:r>
          </w:p>
        </w:tc>
        <w:tc>
          <w:tcPr>
            <w:tcW w:w="2237" w:type="dxa"/>
            <w:shd w:val="clear" w:color="000000" w:fill="FFFFFF"/>
            <w:vAlign w:val="center"/>
          </w:tcPr>
          <w:p w14:paraId="2013581E">
            <w:pPr>
              <w:spacing w:line="240" w:lineRule="exact"/>
            </w:pPr>
            <w:r>
              <w:rPr>
                <w:rFonts w:hint="eastAsia"/>
              </w:rPr>
              <w:t>出院病人健康状况达到国家标准占比，反映新冠肺炎患者救治效果。</w:t>
            </w:r>
          </w:p>
        </w:tc>
        <w:tc>
          <w:tcPr>
            <w:tcW w:w="3631" w:type="dxa"/>
            <w:shd w:val="clear" w:color="000000" w:fill="FFFFFF"/>
            <w:vAlign w:val="center"/>
          </w:tcPr>
          <w:p w14:paraId="2C2A97F9">
            <w:pPr>
              <w:spacing w:line="240" w:lineRule="exact"/>
            </w:pPr>
            <w:r>
              <w:rPr>
                <w:rFonts w:hint="eastAsia"/>
              </w:rPr>
              <w:t>治愈率=出院病人健康状况达到国家标准数量/收治新冠肺炎患者数量*100%，治愈率=100%得满分，否则不得分。</w:t>
            </w:r>
          </w:p>
        </w:tc>
        <w:tc>
          <w:tcPr>
            <w:tcW w:w="661" w:type="dxa"/>
            <w:shd w:val="clear" w:color="000000" w:fill="FFFFFF"/>
            <w:vAlign w:val="center"/>
          </w:tcPr>
          <w:p w14:paraId="6CD53ECF">
            <w:pPr>
              <w:spacing w:line="240" w:lineRule="exact"/>
            </w:pPr>
            <w:r>
              <w:rPr>
                <w:rFonts w:hint="eastAsia"/>
              </w:rPr>
              <w:t>2分</w:t>
            </w:r>
          </w:p>
        </w:tc>
      </w:tr>
      <w:tr w14:paraId="13664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70" w:hRule="atLeast"/>
          <w:jc w:val="center"/>
        </w:trPr>
        <w:tc>
          <w:tcPr>
            <w:tcW w:w="768" w:type="dxa"/>
            <w:vMerge w:val="continue"/>
            <w:shd w:val="clear" w:color="auto" w:fill="FFFFFF"/>
            <w:vAlign w:val="center"/>
          </w:tcPr>
          <w:p w14:paraId="16034F2B">
            <w:pPr>
              <w:spacing w:line="240" w:lineRule="exact"/>
            </w:pPr>
          </w:p>
        </w:tc>
        <w:tc>
          <w:tcPr>
            <w:tcW w:w="793" w:type="dxa"/>
            <w:vMerge w:val="continue"/>
            <w:shd w:val="clear" w:color="auto" w:fill="FFFFFF"/>
            <w:vAlign w:val="center"/>
          </w:tcPr>
          <w:p w14:paraId="44AACC18">
            <w:pPr>
              <w:spacing w:line="240" w:lineRule="exact"/>
            </w:pPr>
          </w:p>
        </w:tc>
        <w:tc>
          <w:tcPr>
            <w:tcW w:w="1333" w:type="dxa"/>
            <w:shd w:val="clear" w:color="auto" w:fill="FFFFFF"/>
            <w:vAlign w:val="center"/>
          </w:tcPr>
          <w:p w14:paraId="2A7AE232">
            <w:pPr>
              <w:spacing w:line="240" w:lineRule="exact"/>
            </w:pPr>
            <w:r>
              <w:rPr>
                <w:rFonts w:hint="eastAsia"/>
              </w:rPr>
              <w:t>新型冠状标本核酸检测准确率</w:t>
            </w:r>
          </w:p>
        </w:tc>
        <w:tc>
          <w:tcPr>
            <w:tcW w:w="2237" w:type="dxa"/>
            <w:shd w:val="clear" w:color="000000" w:fill="FFFFFF"/>
            <w:vAlign w:val="center"/>
          </w:tcPr>
          <w:p w14:paraId="0BCFDE86">
            <w:pPr>
              <w:spacing w:line="240" w:lineRule="exact"/>
            </w:pPr>
            <w:r>
              <w:rPr>
                <w:rFonts w:hint="eastAsia"/>
              </w:rPr>
              <w:t>用以反映新冠标本检测质量。</w:t>
            </w:r>
          </w:p>
        </w:tc>
        <w:tc>
          <w:tcPr>
            <w:tcW w:w="3631" w:type="dxa"/>
            <w:shd w:val="clear" w:color="000000" w:fill="FFFFFF"/>
            <w:vAlign w:val="center"/>
          </w:tcPr>
          <w:p w14:paraId="3703FC9B">
            <w:pPr>
              <w:spacing w:line="240" w:lineRule="exact"/>
            </w:pPr>
            <w:r>
              <w:rPr>
                <w:rFonts w:hint="eastAsia"/>
              </w:rPr>
              <w:t>标本检测准确度是否精准，准确率=100%，否则不得分。</w:t>
            </w:r>
          </w:p>
        </w:tc>
        <w:tc>
          <w:tcPr>
            <w:tcW w:w="661" w:type="dxa"/>
            <w:shd w:val="clear" w:color="000000" w:fill="FFFFFF"/>
            <w:vAlign w:val="center"/>
          </w:tcPr>
          <w:p w14:paraId="7947BDA5">
            <w:pPr>
              <w:spacing w:line="240" w:lineRule="exact"/>
            </w:pPr>
            <w:r>
              <w:rPr>
                <w:rFonts w:hint="eastAsia"/>
              </w:rPr>
              <w:t>2分</w:t>
            </w:r>
          </w:p>
        </w:tc>
      </w:tr>
      <w:tr w14:paraId="00FB8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4" w:hRule="atLeast"/>
          <w:jc w:val="center"/>
        </w:trPr>
        <w:tc>
          <w:tcPr>
            <w:tcW w:w="768" w:type="dxa"/>
            <w:vMerge w:val="continue"/>
            <w:shd w:val="clear" w:color="auto" w:fill="FFFFFF"/>
            <w:vAlign w:val="center"/>
          </w:tcPr>
          <w:p w14:paraId="6058A7A3">
            <w:pPr>
              <w:spacing w:line="240" w:lineRule="exact"/>
            </w:pPr>
          </w:p>
        </w:tc>
        <w:tc>
          <w:tcPr>
            <w:tcW w:w="793" w:type="dxa"/>
            <w:vMerge w:val="continue"/>
            <w:shd w:val="clear" w:color="auto" w:fill="FFFFFF"/>
            <w:vAlign w:val="center"/>
          </w:tcPr>
          <w:p w14:paraId="7AFA070F">
            <w:pPr>
              <w:spacing w:line="240" w:lineRule="exact"/>
            </w:pPr>
          </w:p>
        </w:tc>
        <w:tc>
          <w:tcPr>
            <w:tcW w:w="1333" w:type="dxa"/>
            <w:shd w:val="clear" w:color="auto" w:fill="FFFFFF"/>
            <w:vAlign w:val="center"/>
          </w:tcPr>
          <w:p w14:paraId="640A2B8F">
            <w:pPr>
              <w:spacing w:line="240" w:lineRule="exact"/>
            </w:pPr>
            <w:r>
              <w:rPr>
                <w:rFonts w:hint="eastAsia"/>
              </w:rPr>
              <w:t>新型冠状标本核酸检测复核率</w:t>
            </w:r>
          </w:p>
        </w:tc>
        <w:tc>
          <w:tcPr>
            <w:tcW w:w="2237" w:type="dxa"/>
            <w:shd w:val="clear" w:color="000000" w:fill="FFFFFF"/>
            <w:vAlign w:val="center"/>
          </w:tcPr>
          <w:p w14:paraId="1AAD16D2">
            <w:pPr>
              <w:spacing w:line="240" w:lineRule="exact"/>
            </w:pPr>
            <w:r>
              <w:rPr>
                <w:rFonts w:hint="eastAsia"/>
              </w:rPr>
              <w:t>用以反映新冠标本检测质量。</w:t>
            </w:r>
          </w:p>
        </w:tc>
        <w:tc>
          <w:tcPr>
            <w:tcW w:w="3631" w:type="dxa"/>
            <w:shd w:val="clear" w:color="000000" w:fill="FFFFFF"/>
            <w:vAlign w:val="center"/>
          </w:tcPr>
          <w:p w14:paraId="6D2BD941">
            <w:pPr>
              <w:spacing w:line="240" w:lineRule="exact"/>
            </w:pPr>
            <w:r>
              <w:rPr>
                <w:rFonts w:hint="eastAsia"/>
              </w:rPr>
              <w:t>是否做到抽样复核，复核率大于5%得满分，否则不得分。</w:t>
            </w:r>
          </w:p>
        </w:tc>
        <w:tc>
          <w:tcPr>
            <w:tcW w:w="661" w:type="dxa"/>
            <w:shd w:val="clear" w:color="000000" w:fill="FFFFFF"/>
            <w:vAlign w:val="center"/>
          </w:tcPr>
          <w:p w14:paraId="05197EF7">
            <w:pPr>
              <w:spacing w:line="240" w:lineRule="exact"/>
            </w:pPr>
            <w:r>
              <w:rPr>
                <w:rFonts w:hint="eastAsia"/>
              </w:rPr>
              <w:t>2分</w:t>
            </w:r>
          </w:p>
        </w:tc>
      </w:tr>
      <w:tr w14:paraId="5E1BF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2" w:hRule="atLeast"/>
          <w:jc w:val="center"/>
        </w:trPr>
        <w:tc>
          <w:tcPr>
            <w:tcW w:w="768" w:type="dxa"/>
            <w:vMerge w:val="continue"/>
            <w:shd w:val="clear" w:color="auto" w:fill="FFFFFF"/>
            <w:vAlign w:val="center"/>
          </w:tcPr>
          <w:p w14:paraId="569E5ACC">
            <w:pPr>
              <w:spacing w:line="240" w:lineRule="exact"/>
            </w:pPr>
          </w:p>
        </w:tc>
        <w:tc>
          <w:tcPr>
            <w:tcW w:w="793" w:type="dxa"/>
            <w:vMerge w:val="continue"/>
            <w:shd w:val="clear" w:color="auto" w:fill="FFFFFF"/>
            <w:vAlign w:val="center"/>
          </w:tcPr>
          <w:p w14:paraId="4A99769B">
            <w:pPr>
              <w:spacing w:line="240" w:lineRule="exact"/>
            </w:pPr>
          </w:p>
        </w:tc>
        <w:tc>
          <w:tcPr>
            <w:tcW w:w="1333" w:type="dxa"/>
            <w:shd w:val="clear" w:color="auto" w:fill="FFFFFF"/>
            <w:vAlign w:val="center"/>
          </w:tcPr>
          <w:p w14:paraId="2C28FDF1">
            <w:pPr>
              <w:spacing w:line="240" w:lineRule="exact"/>
            </w:pPr>
            <w:r>
              <w:rPr>
                <w:rFonts w:hint="eastAsia"/>
              </w:rPr>
              <w:t>院内感染数</w:t>
            </w:r>
          </w:p>
        </w:tc>
        <w:tc>
          <w:tcPr>
            <w:tcW w:w="2237" w:type="dxa"/>
            <w:shd w:val="clear" w:color="000000" w:fill="FFFFFF"/>
            <w:vAlign w:val="center"/>
          </w:tcPr>
          <w:p w14:paraId="2AF76689">
            <w:pPr>
              <w:spacing w:line="240" w:lineRule="exact"/>
            </w:pPr>
            <w:r>
              <w:rPr>
                <w:rFonts w:hint="eastAsia"/>
              </w:rPr>
              <w:t>用以反映和考核项目产出质量目标的实现程度。</w:t>
            </w:r>
          </w:p>
        </w:tc>
        <w:tc>
          <w:tcPr>
            <w:tcW w:w="3631" w:type="dxa"/>
            <w:shd w:val="clear" w:color="000000" w:fill="FFFFFF"/>
            <w:vAlign w:val="center"/>
          </w:tcPr>
          <w:p w14:paraId="3445C705">
            <w:pPr>
              <w:spacing w:line="240" w:lineRule="exact"/>
            </w:pPr>
            <w:r>
              <w:rPr>
                <w:rFonts w:hint="eastAsia"/>
              </w:rPr>
              <w:t>院内“零感染”得满分，院内感染每增加1例扣1分，扣完为止。</w:t>
            </w:r>
          </w:p>
        </w:tc>
        <w:tc>
          <w:tcPr>
            <w:tcW w:w="661" w:type="dxa"/>
            <w:shd w:val="clear" w:color="000000" w:fill="FFFFFF"/>
            <w:vAlign w:val="center"/>
          </w:tcPr>
          <w:p w14:paraId="0EECB87B">
            <w:pPr>
              <w:spacing w:line="240" w:lineRule="exact"/>
            </w:pPr>
            <w:r>
              <w:rPr>
                <w:rFonts w:hint="eastAsia"/>
              </w:rPr>
              <w:t>2分</w:t>
            </w:r>
          </w:p>
        </w:tc>
      </w:tr>
      <w:tr w14:paraId="16F4A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2" w:hRule="atLeast"/>
          <w:jc w:val="center"/>
        </w:trPr>
        <w:tc>
          <w:tcPr>
            <w:tcW w:w="768" w:type="dxa"/>
            <w:vMerge w:val="continue"/>
            <w:shd w:val="clear" w:color="auto" w:fill="FFFFFF"/>
            <w:vAlign w:val="center"/>
          </w:tcPr>
          <w:p w14:paraId="30E8C2F6">
            <w:pPr>
              <w:spacing w:line="240" w:lineRule="exact"/>
            </w:pPr>
          </w:p>
        </w:tc>
        <w:tc>
          <w:tcPr>
            <w:tcW w:w="793" w:type="dxa"/>
            <w:vMerge w:val="continue"/>
            <w:tcBorders>
              <w:bottom w:val="single" w:color="auto" w:sz="4" w:space="0"/>
            </w:tcBorders>
            <w:shd w:val="clear" w:color="auto" w:fill="FFFFFF"/>
            <w:vAlign w:val="center"/>
          </w:tcPr>
          <w:p w14:paraId="41BF3E1A">
            <w:pPr>
              <w:spacing w:line="240" w:lineRule="exact"/>
            </w:pPr>
          </w:p>
        </w:tc>
        <w:tc>
          <w:tcPr>
            <w:tcW w:w="1333" w:type="dxa"/>
            <w:shd w:val="clear" w:color="auto" w:fill="FFFFFF"/>
            <w:vAlign w:val="center"/>
          </w:tcPr>
          <w:p w14:paraId="05E56091">
            <w:pPr>
              <w:spacing w:line="240" w:lineRule="exact"/>
            </w:pPr>
            <w:r>
              <w:rPr>
                <w:rFonts w:hint="eastAsia"/>
              </w:rPr>
              <w:t>疫点消杀情况</w:t>
            </w:r>
          </w:p>
        </w:tc>
        <w:tc>
          <w:tcPr>
            <w:tcW w:w="2237" w:type="dxa"/>
            <w:shd w:val="clear" w:color="000000" w:fill="FFFFFF"/>
            <w:vAlign w:val="center"/>
          </w:tcPr>
          <w:p w14:paraId="6BCF7D6A">
            <w:pPr>
              <w:spacing w:line="240" w:lineRule="exact"/>
            </w:pPr>
            <w:r>
              <w:rPr>
                <w:rFonts w:hint="eastAsia"/>
              </w:rPr>
              <w:t>疫点消毒覆盖率、疫点消毒后核酸检测率，反映疫点消杀质量。</w:t>
            </w:r>
          </w:p>
        </w:tc>
        <w:tc>
          <w:tcPr>
            <w:tcW w:w="3631" w:type="dxa"/>
            <w:shd w:val="clear" w:color="000000" w:fill="FFFFFF"/>
            <w:vAlign w:val="center"/>
          </w:tcPr>
          <w:p w14:paraId="1358C512">
            <w:pPr>
              <w:spacing w:line="240" w:lineRule="exact"/>
              <w:ind w:firstLine="420" w:firstLineChars="200"/>
            </w:pPr>
            <w:r>
              <w:rPr>
                <w:rFonts w:hint="eastAsia"/>
              </w:rPr>
              <w:t>疫点消毒是否全覆盖，疫点消毒后核酸检测是否还为阳性</w:t>
            </w:r>
          </w:p>
          <w:p w14:paraId="231FD004">
            <w:pPr>
              <w:spacing w:line="240" w:lineRule="exact"/>
              <w:ind w:firstLine="420" w:firstLineChars="200"/>
            </w:pPr>
            <w:r>
              <w:rPr>
                <w:rFonts w:hint="eastAsia"/>
              </w:rPr>
              <w:t>疫点消毒覆盖率=100%且疫点消毒后核酸检出率=0得满分，否则不得分</w:t>
            </w:r>
          </w:p>
        </w:tc>
        <w:tc>
          <w:tcPr>
            <w:tcW w:w="661" w:type="dxa"/>
            <w:shd w:val="clear" w:color="000000" w:fill="FFFFFF"/>
            <w:vAlign w:val="center"/>
          </w:tcPr>
          <w:p w14:paraId="72078FDE">
            <w:pPr>
              <w:spacing w:line="240" w:lineRule="exact"/>
            </w:pPr>
            <w:r>
              <w:rPr>
                <w:rFonts w:hint="eastAsia"/>
              </w:rPr>
              <w:t>2分</w:t>
            </w:r>
          </w:p>
        </w:tc>
      </w:tr>
      <w:tr w14:paraId="0AFAE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2" w:hRule="atLeast"/>
          <w:jc w:val="center"/>
        </w:trPr>
        <w:tc>
          <w:tcPr>
            <w:tcW w:w="768" w:type="dxa"/>
            <w:vMerge w:val="continue"/>
            <w:shd w:val="clear" w:color="auto" w:fill="FFFFFF"/>
            <w:vAlign w:val="center"/>
          </w:tcPr>
          <w:p w14:paraId="7B3E220B">
            <w:pPr>
              <w:spacing w:line="240" w:lineRule="exact"/>
            </w:pPr>
          </w:p>
        </w:tc>
        <w:tc>
          <w:tcPr>
            <w:tcW w:w="793" w:type="dxa"/>
            <w:vMerge w:val="restart"/>
            <w:tcBorders>
              <w:top w:val="single" w:color="auto" w:sz="4" w:space="0"/>
            </w:tcBorders>
            <w:shd w:val="clear" w:color="auto" w:fill="FFFFFF"/>
            <w:vAlign w:val="center"/>
          </w:tcPr>
          <w:p w14:paraId="37A53C63">
            <w:pPr>
              <w:spacing w:line="240" w:lineRule="exact"/>
              <w:ind w:firstLine="420" w:firstLineChars="200"/>
            </w:pPr>
            <w:r>
              <w:t>产出</w:t>
            </w:r>
            <w:r>
              <w:rPr>
                <w:rFonts w:hint="eastAsia"/>
              </w:rPr>
              <w:t>时效</w:t>
            </w:r>
          </w:p>
          <w:p w14:paraId="10FA75BD">
            <w:pPr>
              <w:spacing w:line="240" w:lineRule="exact"/>
              <w:ind w:firstLine="420" w:firstLineChars="200"/>
            </w:pPr>
            <w:r>
              <w:rPr>
                <w:rFonts w:hint="eastAsia"/>
              </w:rPr>
              <w:t>(6分）</w:t>
            </w:r>
          </w:p>
        </w:tc>
        <w:tc>
          <w:tcPr>
            <w:tcW w:w="1333" w:type="dxa"/>
            <w:shd w:val="clear" w:color="auto" w:fill="FFFFFF"/>
            <w:vAlign w:val="center"/>
          </w:tcPr>
          <w:p w14:paraId="575F5069">
            <w:pPr>
              <w:spacing w:line="240" w:lineRule="exact"/>
            </w:pPr>
            <w:r>
              <w:rPr>
                <w:rFonts w:hint="eastAsia"/>
              </w:rPr>
              <w:t>传染病疫情报告及时率</w:t>
            </w:r>
          </w:p>
        </w:tc>
        <w:tc>
          <w:tcPr>
            <w:tcW w:w="2237" w:type="dxa"/>
            <w:shd w:val="clear" w:color="000000" w:fill="FFFFFF"/>
            <w:vAlign w:val="center"/>
          </w:tcPr>
          <w:p w14:paraId="39ABCD42">
            <w:pPr>
              <w:spacing w:line="240" w:lineRule="exact"/>
            </w:pPr>
            <w:r>
              <w:rPr>
                <w:rFonts w:hint="eastAsia"/>
              </w:rPr>
              <w:t>用以反映本地新冠肺炎疫情报告及时性。</w:t>
            </w:r>
          </w:p>
        </w:tc>
        <w:tc>
          <w:tcPr>
            <w:tcW w:w="3631" w:type="dxa"/>
            <w:shd w:val="clear" w:color="000000" w:fill="FFFFFF"/>
            <w:vAlign w:val="center"/>
          </w:tcPr>
          <w:p w14:paraId="06CFFACD">
            <w:pPr>
              <w:spacing w:line="240" w:lineRule="exact"/>
            </w:pPr>
            <w:r>
              <w:rPr>
                <w:rFonts w:hint="eastAsia"/>
              </w:rPr>
              <w:t>每例确诊病例按要求于组织会诊后2 个小时内报送，否则不得分。</w:t>
            </w:r>
          </w:p>
        </w:tc>
        <w:tc>
          <w:tcPr>
            <w:tcW w:w="661" w:type="dxa"/>
            <w:shd w:val="clear" w:color="000000" w:fill="FFFFFF"/>
            <w:vAlign w:val="center"/>
          </w:tcPr>
          <w:p w14:paraId="19C76A29">
            <w:pPr>
              <w:spacing w:line="240" w:lineRule="exact"/>
            </w:pPr>
            <w:r>
              <w:rPr>
                <w:rFonts w:hint="eastAsia"/>
              </w:rPr>
              <w:t>3分</w:t>
            </w:r>
          </w:p>
        </w:tc>
      </w:tr>
      <w:tr w14:paraId="1196C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00" w:hRule="atLeast"/>
          <w:jc w:val="center"/>
        </w:trPr>
        <w:tc>
          <w:tcPr>
            <w:tcW w:w="768" w:type="dxa"/>
            <w:vMerge w:val="continue"/>
            <w:shd w:val="clear" w:color="auto" w:fill="FFFFFF"/>
            <w:vAlign w:val="center"/>
          </w:tcPr>
          <w:p w14:paraId="61405FDB">
            <w:pPr>
              <w:spacing w:line="240" w:lineRule="exact"/>
            </w:pPr>
          </w:p>
        </w:tc>
        <w:tc>
          <w:tcPr>
            <w:tcW w:w="793" w:type="dxa"/>
            <w:vMerge w:val="continue"/>
            <w:tcBorders>
              <w:top w:val="single" w:color="auto" w:sz="4" w:space="0"/>
              <w:bottom w:val="single" w:color="auto" w:sz="4" w:space="0"/>
            </w:tcBorders>
            <w:shd w:val="clear" w:color="auto" w:fill="FFFFFF"/>
            <w:vAlign w:val="center"/>
          </w:tcPr>
          <w:p w14:paraId="29652ED9">
            <w:pPr>
              <w:spacing w:line="240" w:lineRule="exact"/>
            </w:pPr>
          </w:p>
        </w:tc>
        <w:tc>
          <w:tcPr>
            <w:tcW w:w="1333" w:type="dxa"/>
            <w:shd w:val="clear" w:color="auto" w:fill="FFFFFF"/>
            <w:vAlign w:val="center"/>
          </w:tcPr>
          <w:p w14:paraId="46A7A0EB">
            <w:pPr>
              <w:spacing w:line="240" w:lineRule="exact"/>
            </w:pPr>
            <w:r>
              <w:rPr>
                <w:rFonts w:hint="eastAsia"/>
              </w:rPr>
              <w:t>新冠疑似病例检测及时性</w:t>
            </w:r>
          </w:p>
        </w:tc>
        <w:tc>
          <w:tcPr>
            <w:tcW w:w="2237" w:type="dxa"/>
            <w:shd w:val="clear" w:color="000000" w:fill="FFFFFF"/>
            <w:vAlign w:val="center"/>
          </w:tcPr>
          <w:p w14:paraId="6B2FFC35">
            <w:pPr>
              <w:spacing w:line="240" w:lineRule="exact"/>
            </w:pPr>
            <w:r>
              <w:rPr>
                <w:rFonts w:hint="eastAsia"/>
              </w:rPr>
              <w:t>疑似病例在48小时内完成检测占比，反映新冠肺炎检测效率。</w:t>
            </w:r>
          </w:p>
        </w:tc>
        <w:tc>
          <w:tcPr>
            <w:tcW w:w="3631" w:type="dxa"/>
            <w:shd w:val="clear" w:color="000000" w:fill="FFFFFF"/>
            <w:vAlign w:val="center"/>
          </w:tcPr>
          <w:p w14:paraId="2B2EEB65">
            <w:pPr>
              <w:spacing w:line="240" w:lineRule="exact"/>
              <w:ind w:firstLine="420" w:firstLineChars="200"/>
            </w:pPr>
            <w:r>
              <w:rPr>
                <w:rFonts w:hint="eastAsia"/>
              </w:rPr>
              <w:t>检测及时率=疑似病例在48小时以内完成检测数量/疑似病例数量*100%</w:t>
            </w:r>
          </w:p>
          <w:p w14:paraId="266EE120">
            <w:pPr>
              <w:spacing w:line="240" w:lineRule="exact"/>
              <w:ind w:firstLine="420" w:firstLineChars="200"/>
            </w:pPr>
            <w:r>
              <w:rPr>
                <w:rFonts w:hint="eastAsia"/>
              </w:rPr>
              <w:t>检测及时率=100%得满分，否则不得分。</w:t>
            </w:r>
          </w:p>
        </w:tc>
        <w:tc>
          <w:tcPr>
            <w:tcW w:w="661" w:type="dxa"/>
            <w:shd w:val="clear" w:color="000000" w:fill="FFFFFF"/>
            <w:vAlign w:val="center"/>
          </w:tcPr>
          <w:p w14:paraId="0B7398C3">
            <w:pPr>
              <w:spacing w:line="240" w:lineRule="exact"/>
            </w:pPr>
            <w:r>
              <w:rPr>
                <w:rFonts w:hint="eastAsia"/>
              </w:rPr>
              <w:t>3分</w:t>
            </w:r>
          </w:p>
        </w:tc>
      </w:tr>
      <w:tr w14:paraId="1DCA2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5" w:hRule="atLeast"/>
          <w:jc w:val="center"/>
        </w:trPr>
        <w:tc>
          <w:tcPr>
            <w:tcW w:w="768" w:type="dxa"/>
            <w:vMerge w:val="restart"/>
            <w:shd w:val="clear" w:color="auto" w:fill="FFFFFF"/>
            <w:vAlign w:val="center"/>
          </w:tcPr>
          <w:p w14:paraId="6C2C0875">
            <w:pPr>
              <w:spacing w:line="240" w:lineRule="exact"/>
              <w:ind w:firstLine="420" w:firstLineChars="200"/>
            </w:pPr>
            <w:r>
              <w:rPr>
                <w:rFonts w:hint="eastAsia"/>
              </w:rPr>
              <w:t>项目</w:t>
            </w:r>
          </w:p>
          <w:p w14:paraId="153961A8">
            <w:pPr>
              <w:spacing w:line="240" w:lineRule="exact"/>
              <w:ind w:firstLine="420" w:firstLineChars="200"/>
            </w:pPr>
            <w:r>
              <w:t>效益</w:t>
            </w:r>
          </w:p>
          <w:p w14:paraId="3972F4EF">
            <w:pPr>
              <w:spacing w:line="240" w:lineRule="exact"/>
              <w:ind w:firstLine="420" w:firstLineChars="200"/>
            </w:pPr>
            <w:r>
              <w:rPr>
                <w:rFonts w:hint="eastAsia"/>
              </w:rPr>
              <w:t>35分</w:t>
            </w:r>
            <w:r>
              <w:t>　</w:t>
            </w:r>
          </w:p>
        </w:tc>
        <w:tc>
          <w:tcPr>
            <w:tcW w:w="793" w:type="dxa"/>
            <w:vMerge w:val="restart"/>
            <w:shd w:val="clear" w:color="auto" w:fill="FFFFFF"/>
            <w:vAlign w:val="center"/>
          </w:tcPr>
          <w:p w14:paraId="5873B515">
            <w:pPr>
              <w:spacing w:line="240" w:lineRule="exact"/>
              <w:ind w:firstLine="420" w:firstLineChars="200"/>
            </w:pPr>
            <w:r>
              <w:t>项目效益</w:t>
            </w:r>
          </w:p>
          <w:p w14:paraId="5F384A06">
            <w:pPr>
              <w:spacing w:line="240" w:lineRule="exact"/>
              <w:ind w:firstLine="420" w:firstLineChars="200"/>
            </w:pPr>
            <w:r>
              <w:rPr>
                <w:rFonts w:hint="eastAsia"/>
              </w:rPr>
              <w:t>(16分）</w:t>
            </w:r>
            <w:r>
              <w:t>　</w:t>
            </w:r>
          </w:p>
        </w:tc>
        <w:tc>
          <w:tcPr>
            <w:tcW w:w="1333" w:type="dxa"/>
            <w:shd w:val="clear" w:color="auto" w:fill="FFFFFF"/>
            <w:vAlign w:val="center"/>
          </w:tcPr>
          <w:p w14:paraId="46279DD7">
            <w:pPr>
              <w:spacing w:line="240" w:lineRule="exact"/>
            </w:pPr>
            <w:r>
              <w:rPr>
                <w:rFonts w:hint="eastAsia"/>
              </w:rPr>
              <w:t>可供传染病治疗床位数</w:t>
            </w:r>
          </w:p>
        </w:tc>
        <w:tc>
          <w:tcPr>
            <w:tcW w:w="2237" w:type="dxa"/>
            <w:shd w:val="clear" w:color="auto" w:fill="FFFFFF"/>
            <w:vAlign w:val="center"/>
          </w:tcPr>
          <w:p w14:paraId="16859DE3">
            <w:pPr>
              <w:spacing w:line="240" w:lineRule="exact"/>
            </w:pPr>
            <w:r>
              <w:rPr>
                <w:rFonts w:hint="eastAsia"/>
              </w:rPr>
              <w:t>反映医院接收传染病病人容量。</w:t>
            </w:r>
          </w:p>
        </w:tc>
        <w:tc>
          <w:tcPr>
            <w:tcW w:w="3631" w:type="dxa"/>
            <w:shd w:val="clear" w:color="auto" w:fill="FFFFFF"/>
            <w:vAlign w:val="center"/>
          </w:tcPr>
          <w:p w14:paraId="07996746">
            <w:pPr>
              <w:spacing w:line="240" w:lineRule="exact"/>
            </w:pPr>
            <w:r>
              <w:rPr>
                <w:rFonts w:hint="eastAsia"/>
              </w:rPr>
              <w:t>每百万人床位数不少于100张，少于100张，每少5张扣1分，扣完为止。</w:t>
            </w:r>
          </w:p>
        </w:tc>
        <w:tc>
          <w:tcPr>
            <w:tcW w:w="661" w:type="dxa"/>
            <w:shd w:val="clear" w:color="auto" w:fill="FFFFFF"/>
            <w:vAlign w:val="center"/>
          </w:tcPr>
          <w:p w14:paraId="2D2DA6F2">
            <w:pPr>
              <w:spacing w:line="240" w:lineRule="exact"/>
            </w:pPr>
            <w:r>
              <w:rPr>
                <w:rFonts w:hint="eastAsia"/>
              </w:rPr>
              <w:t>4分</w:t>
            </w:r>
          </w:p>
        </w:tc>
      </w:tr>
      <w:tr w14:paraId="3169C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5" w:hRule="atLeast"/>
          <w:jc w:val="center"/>
        </w:trPr>
        <w:tc>
          <w:tcPr>
            <w:tcW w:w="768" w:type="dxa"/>
            <w:vMerge w:val="continue"/>
            <w:shd w:val="clear" w:color="auto" w:fill="FFFFFF"/>
            <w:vAlign w:val="center"/>
          </w:tcPr>
          <w:p w14:paraId="46B7A151">
            <w:pPr>
              <w:spacing w:line="240" w:lineRule="exact"/>
            </w:pPr>
          </w:p>
        </w:tc>
        <w:tc>
          <w:tcPr>
            <w:tcW w:w="793" w:type="dxa"/>
            <w:vMerge w:val="continue"/>
            <w:shd w:val="clear" w:color="auto" w:fill="FFFFFF"/>
            <w:vAlign w:val="center"/>
          </w:tcPr>
          <w:p w14:paraId="72765151">
            <w:pPr>
              <w:spacing w:line="240" w:lineRule="exact"/>
            </w:pPr>
          </w:p>
        </w:tc>
        <w:tc>
          <w:tcPr>
            <w:tcW w:w="1333" w:type="dxa"/>
            <w:shd w:val="clear" w:color="auto" w:fill="FFFFFF"/>
            <w:vAlign w:val="center"/>
          </w:tcPr>
          <w:p w14:paraId="4A7E2230">
            <w:pPr>
              <w:spacing w:line="240" w:lineRule="exact"/>
            </w:pPr>
            <w:r>
              <w:rPr>
                <w:rFonts w:hint="eastAsia"/>
              </w:rPr>
              <w:t>患者救治补助覆盖率</w:t>
            </w:r>
          </w:p>
        </w:tc>
        <w:tc>
          <w:tcPr>
            <w:tcW w:w="2237" w:type="dxa"/>
            <w:shd w:val="clear" w:color="auto" w:fill="FFFFFF"/>
            <w:vAlign w:val="center"/>
          </w:tcPr>
          <w:p w14:paraId="045264C5">
            <w:pPr>
              <w:spacing w:line="240" w:lineRule="exact"/>
            </w:pPr>
            <w:r>
              <w:rPr>
                <w:rFonts w:hint="eastAsia"/>
              </w:rPr>
              <w:t>反映患者补助情况。</w:t>
            </w:r>
          </w:p>
        </w:tc>
        <w:tc>
          <w:tcPr>
            <w:tcW w:w="3631" w:type="dxa"/>
            <w:shd w:val="clear" w:color="auto" w:fill="FFFFFF"/>
            <w:vAlign w:val="center"/>
          </w:tcPr>
          <w:p w14:paraId="60B12B0D">
            <w:pPr>
              <w:spacing w:line="240" w:lineRule="exact"/>
            </w:pPr>
            <w:r>
              <w:rPr>
                <w:rFonts w:hint="eastAsia"/>
              </w:rPr>
              <w:t>本土患者救治补助覆盖率达到100%得满分，未达到100%，得分=3分*覆盖率。</w:t>
            </w:r>
          </w:p>
        </w:tc>
        <w:tc>
          <w:tcPr>
            <w:tcW w:w="661" w:type="dxa"/>
            <w:shd w:val="clear" w:color="auto" w:fill="FFFFFF"/>
            <w:vAlign w:val="center"/>
          </w:tcPr>
          <w:p w14:paraId="1434274D">
            <w:pPr>
              <w:spacing w:line="240" w:lineRule="exact"/>
            </w:pPr>
            <w:r>
              <w:rPr>
                <w:rFonts w:hint="eastAsia"/>
              </w:rPr>
              <w:t>4分</w:t>
            </w:r>
          </w:p>
        </w:tc>
      </w:tr>
      <w:tr w14:paraId="56157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5" w:hRule="atLeast"/>
          <w:jc w:val="center"/>
        </w:trPr>
        <w:tc>
          <w:tcPr>
            <w:tcW w:w="768" w:type="dxa"/>
            <w:vMerge w:val="continue"/>
            <w:shd w:val="clear" w:color="auto" w:fill="FFFFFF"/>
            <w:vAlign w:val="center"/>
          </w:tcPr>
          <w:p w14:paraId="6807A165">
            <w:pPr>
              <w:spacing w:line="240" w:lineRule="exact"/>
            </w:pPr>
          </w:p>
        </w:tc>
        <w:tc>
          <w:tcPr>
            <w:tcW w:w="793" w:type="dxa"/>
            <w:vMerge w:val="continue"/>
            <w:shd w:val="clear" w:color="auto" w:fill="FFFFFF"/>
            <w:vAlign w:val="center"/>
          </w:tcPr>
          <w:p w14:paraId="59078058">
            <w:pPr>
              <w:spacing w:line="240" w:lineRule="exact"/>
            </w:pPr>
          </w:p>
        </w:tc>
        <w:tc>
          <w:tcPr>
            <w:tcW w:w="1333" w:type="dxa"/>
            <w:shd w:val="clear" w:color="auto" w:fill="FFFFFF"/>
            <w:vAlign w:val="center"/>
          </w:tcPr>
          <w:p w14:paraId="7347C5B9">
            <w:pPr>
              <w:spacing w:line="240" w:lineRule="exact"/>
            </w:pPr>
            <w:r>
              <w:rPr>
                <w:rFonts w:hint="eastAsia"/>
              </w:rPr>
              <w:t>隔离点疫情控制情况</w:t>
            </w:r>
          </w:p>
        </w:tc>
        <w:tc>
          <w:tcPr>
            <w:tcW w:w="2237" w:type="dxa"/>
            <w:shd w:val="clear" w:color="auto" w:fill="FFFFFF"/>
            <w:vAlign w:val="center"/>
          </w:tcPr>
          <w:p w14:paraId="68AFF037">
            <w:pPr>
              <w:spacing w:line="240" w:lineRule="exact"/>
            </w:pPr>
            <w:r>
              <w:rPr>
                <w:rFonts w:hint="eastAsia"/>
              </w:rPr>
              <w:t>疫情防控隔离点交叉感染率反映隔离点疫情控制情况</w:t>
            </w:r>
          </w:p>
        </w:tc>
        <w:tc>
          <w:tcPr>
            <w:tcW w:w="3631" w:type="dxa"/>
            <w:shd w:val="clear" w:color="auto" w:fill="FFFFFF"/>
            <w:vAlign w:val="center"/>
          </w:tcPr>
          <w:p w14:paraId="03201A8B">
            <w:pPr>
              <w:spacing w:line="240" w:lineRule="exact"/>
            </w:pPr>
            <w:r>
              <w:rPr>
                <w:rFonts w:hint="eastAsia"/>
              </w:rPr>
              <w:t>感染率＝隔离点发生交叉感染的人员数量／同期隔离点人员总数＊100%，感染率等于零得满分，否则不得分。</w:t>
            </w:r>
          </w:p>
        </w:tc>
        <w:tc>
          <w:tcPr>
            <w:tcW w:w="661" w:type="dxa"/>
            <w:shd w:val="clear" w:color="auto" w:fill="FFFFFF"/>
            <w:vAlign w:val="center"/>
          </w:tcPr>
          <w:p w14:paraId="1B768A0A">
            <w:pPr>
              <w:spacing w:line="240" w:lineRule="exact"/>
            </w:pPr>
            <w:r>
              <w:rPr>
                <w:rFonts w:hint="eastAsia"/>
              </w:rPr>
              <w:t>4分</w:t>
            </w:r>
          </w:p>
        </w:tc>
      </w:tr>
      <w:tr w14:paraId="59970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14:paraId="2F5698A7">
            <w:pPr>
              <w:spacing w:line="240" w:lineRule="exact"/>
            </w:pPr>
          </w:p>
        </w:tc>
        <w:tc>
          <w:tcPr>
            <w:tcW w:w="793" w:type="dxa"/>
            <w:vMerge w:val="continue"/>
            <w:shd w:val="clear" w:color="auto" w:fill="FFFFFF"/>
            <w:vAlign w:val="center"/>
          </w:tcPr>
          <w:p w14:paraId="20AA744A">
            <w:pPr>
              <w:spacing w:line="240" w:lineRule="exact"/>
            </w:pPr>
          </w:p>
        </w:tc>
        <w:tc>
          <w:tcPr>
            <w:tcW w:w="1333" w:type="dxa"/>
            <w:shd w:val="clear" w:color="auto" w:fill="FFFFFF"/>
            <w:vAlign w:val="center"/>
          </w:tcPr>
          <w:p w14:paraId="12F84B50">
            <w:pPr>
              <w:spacing w:line="240" w:lineRule="exact"/>
            </w:pPr>
            <w:r>
              <w:rPr>
                <w:rFonts w:hint="eastAsia"/>
              </w:rPr>
              <w:t>有效控制新冠疫情传播</w:t>
            </w:r>
          </w:p>
        </w:tc>
        <w:tc>
          <w:tcPr>
            <w:tcW w:w="2237" w:type="dxa"/>
            <w:shd w:val="clear" w:color="auto" w:fill="FFFFFF"/>
            <w:vAlign w:val="center"/>
          </w:tcPr>
          <w:p w14:paraId="39D816FE">
            <w:pPr>
              <w:spacing w:line="240" w:lineRule="exact"/>
            </w:pPr>
            <w:r>
              <w:rPr>
                <w:rFonts w:hint="eastAsia"/>
              </w:rPr>
              <w:t>反映新冠肺炎传播控制情况。</w:t>
            </w:r>
          </w:p>
        </w:tc>
        <w:tc>
          <w:tcPr>
            <w:tcW w:w="3631" w:type="dxa"/>
            <w:shd w:val="clear" w:color="auto" w:fill="FFFFFF"/>
            <w:vAlign w:val="center"/>
          </w:tcPr>
          <w:p w14:paraId="0D4B942F">
            <w:pPr>
              <w:spacing w:line="240" w:lineRule="exact"/>
            </w:pPr>
            <w:r>
              <w:rPr>
                <w:rFonts w:hint="eastAsia"/>
              </w:rPr>
              <w:t>降为低风险后未再次列入中高风险地区得满分，否则不得分。</w:t>
            </w:r>
          </w:p>
        </w:tc>
        <w:tc>
          <w:tcPr>
            <w:tcW w:w="661" w:type="dxa"/>
            <w:shd w:val="clear" w:color="auto" w:fill="FFFFFF"/>
            <w:vAlign w:val="center"/>
          </w:tcPr>
          <w:p w14:paraId="662E616F">
            <w:pPr>
              <w:spacing w:line="240" w:lineRule="exact"/>
            </w:pPr>
            <w:r>
              <w:rPr>
                <w:rFonts w:hint="eastAsia"/>
              </w:rPr>
              <w:t>4分</w:t>
            </w:r>
          </w:p>
        </w:tc>
      </w:tr>
      <w:tr w14:paraId="469EB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14:paraId="4C7117FE">
            <w:pPr>
              <w:spacing w:line="240" w:lineRule="exact"/>
            </w:pPr>
          </w:p>
        </w:tc>
        <w:tc>
          <w:tcPr>
            <w:tcW w:w="793" w:type="dxa"/>
            <w:vMerge w:val="restart"/>
            <w:tcBorders>
              <w:top w:val="single" w:color="auto" w:sz="4" w:space="0"/>
            </w:tcBorders>
            <w:shd w:val="clear" w:color="auto" w:fill="FFFFFF"/>
            <w:vAlign w:val="center"/>
          </w:tcPr>
          <w:p w14:paraId="6635EF32">
            <w:pPr>
              <w:spacing w:line="240" w:lineRule="exact"/>
              <w:ind w:firstLine="420" w:firstLineChars="200"/>
            </w:pPr>
            <w:r>
              <w:rPr>
                <w:rFonts w:hint="eastAsia"/>
              </w:rPr>
              <w:t>可持续</w:t>
            </w:r>
          </w:p>
          <w:p w14:paraId="6B0553CE">
            <w:pPr>
              <w:spacing w:line="240" w:lineRule="exact"/>
              <w:ind w:firstLine="420" w:firstLineChars="200"/>
            </w:pPr>
            <w:r>
              <w:rPr>
                <w:rFonts w:hint="eastAsia"/>
              </w:rPr>
              <w:t>影响</w:t>
            </w:r>
          </w:p>
          <w:p w14:paraId="1ECFC334">
            <w:pPr>
              <w:spacing w:line="240" w:lineRule="exact"/>
              <w:ind w:firstLine="420" w:firstLineChars="200"/>
            </w:pPr>
            <w:r>
              <w:rPr>
                <w:rFonts w:hint="eastAsia"/>
              </w:rPr>
              <w:t>(9分）</w:t>
            </w:r>
          </w:p>
        </w:tc>
        <w:tc>
          <w:tcPr>
            <w:tcW w:w="1333" w:type="dxa"/>
            <w:shd w:val="clear" w:color="auto" w:fill="FFFFFF"/>
            <w:vAlign w:val="center"/>
          </w:tcPr>
          <w:p w14:paraId="214C1609">
            <w:pPr>
              <w:spacing w:line="240" w:lineRule="exact"/>
              <w:ind w:firstLine="420" w:firstLineChars="200"/>
            </w:pPr>
            <w:r>
              <w:rPr>
                <w:rFonts w:hint="eastAsia"/>
              </w:rPr>
              <w:t>核酸检测</w:t>
            </w:r>
          </w:p>
          <w:p w14:paraId="0D8A7B48">
            <w:pPr>
              <w:spacing w:line="240" w:lineRule="exact"/>
              <w:ind w:firstLine="420" w:firstLineChars="200"/>
            </w:pPr>
            <w:r>
              <w:rPr>
                <w:rFonts w:hint="eastAsia"/>
              </w:rPr>
              <w:t>能力建设</w:t>
            </w:r>
          </w:p>
        </w:tc>
        <w:tc>
          <w:tcPr>
            <w:tcW w:w="2237" w:type="dxa"/>
            <w:shd w:val="clear" w:color="000000" w:fill="FFFFFF"/>
            <w:vAlign w:val="center"/>
          </w:tcPr>
          <w:p w14:paraId="0C7483D8">
            <w:pPr>
              <w:spacing w:line="240" w:lineRule="exact"/>
            </w:pPr>
            <w:r>
              <w:rPr>
                <w:rFonts w:hint="eastAsia"/>
              </w:rPr>
              <w:t>反映项目实施核酸检测数量和核酸检测能力。</w:t>
            </w:r>
          </w:p>
        </w:tc>
        <w:tc>
          <w:tcPr>
            <w:tcW w:w="3631" w:type="dxa"/>
            <w:shd w:val="clear" w:color="000000" w:fill="FFFFFF"/>
            <w:vAlign w:val="center"/>
          </w:tcPr>
          <w:p w14:paraId="50A2B122">
            <w:pPr>
              <w:spacing w:line="240" w:lineRule="exact"/>
              <w:ind w:firstLine="420" w:firstLineChars="200"/>
            </w:pPr>
            <w:r>
              <w:rPr>
                <w:rFonts w:hint="eastAsia"/>
              </w:rPr>
              <w:t>1.全市日核酸检测量≥1万份得2分，日核酸检测量&lt;1万人份，每减少1千人扣1分，最多扣2分；</w:t>
            </w:r>
          </w:p>
          <w:p w14:paraId="074E8338">
            <w:pPr>
              <w:spacing w:line="240" w:lineRule="exact"/>
              <w:ind w:firstLine="420" w:firstLineChars="200"/>
            </w:pPr>
            <w:r>
              <w:rPr>
                <w:rFonts w:hint="eastAsia"/>
              </w:rPr>
              <w:t>2.市内全部公共核酸实验室核酸检测能力≥10万份/天得2分，每减少1万人，扣1分，最多扣2分。</w:t>
            </w:r>
          </w:p>
        </w:tc>
        <w:tc>
          <w:tcPr>
            <w:tcW w:w="661" w:type="dxa"/>
            <w:shd w:val="clear" w:color="000000" w:fill="FFFFFF"/>
            <w:vAlign w:val="center"/>
          </w:tcPr>
          <w:p w14:paraId="1FF09945">
            <w:pPr>
              <w:spacing w:line="240" w:lineRule="exact"/>
            </w:pPr>
            <w:r>
              <w:rPr>
                <w:rFonts w:hint="eastAsia"/>
              </w:rPr>
              <w:t>4分</w:t>
            </w:r>
          </w:p>
        </w:tc>
      </w:tr>
      <w:tr w14:paraId="4DBEEF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14:paraId="20CA3F2E">
            <w:pPr>
              <w:spacing w:line="240" w:lineRule="exact"/>
            </w:pPr>
          </w:p>
        </w:tc>
        <w:tc>
          <w:tcPr>
            <w:tcW w:w="793" w:type="dxa"/>
            <w:vMerge w:val="continue"/>
            <w:shd w:val="clear" w:color="auto" w:fill="FFFFFF"/>
            <w:vAlign w:val="center"/>
          </w:tcPr>
          <w:p w14:paraId="38FADDA8">
            <w:pPr>
              <w:spacing w:line="240" w:lineRule="exact"/>
            </w:pPr>
          </w:p>
        </w:tc>
        <w:tc>
          <w:tcPr>
            <w:tcW w:w="1333" w:type="dxa"/>
            <w:shd w:val="clear" w:color="auto" w:fill="FFFFFF"/>
            <w:vAlign w:val="center"/>
          </w:tcPr>
          <w:p w14:paraId="6D541446">
            <w:pPr>
              <w:spacing w:line="240" w:lineRule="exact"/>
            </w:pPr>
            <w:r>
              <w:rPr>
                <w:rFonts w:hint="eastAsia"/>
              </w:rPr>
              <w:t>防疫物资储备供应</w:t>
            </w:r>
          </w:p>
        </w:tc>
        <w:tc>
          <w:tcPr>
            <w:tcW w:w="2237" w:type="dxa"/>
            <w:shd w:val="clear" w:color="000000" w:fill="FFFFFF"/>
            <w:vAlign w:val="center"/>
          </w:tcPr>
          <w:p w14:paraId="14632905">
            <w:pPr>
              <w:spacing w:line="240" w:lineRule="exact"/>
            </w:pPr>
            <w:r>
              <w:rPr>
                <w:rFonts w:hint="eastAsia"/>
              </w:rPr>
              <w:t>反映项目实施物资储备的充裕度。</w:t>
            </w:r>
          </w:p>
        </w:tc>
        <w:tc>
          <w:tcPr>
            <w:tcW w:w="3631" w:type="dxa"/>
            <w:shd w:val="clear" w:color="000000" w:fill="FFFFFF"/>
            <w:vAlign w:val="center"/>
          </w:tcPr>
          <w:p w14:paraId="0B54A00D">
            <w:pPr>
              <w:spacing w:line="240" w:lineRule="exact"/>
            </w:pPr>
            <w:r>
              <w:rPr>
                <w:rFonts w:hint="eastAsia"/>
              </w:rPr>
              <w:t>储备物资合格、数量充足的医用口罩、隔离衣、眼罩等防护用品不少用10日用量得满分，少于10日用量每少1日用量扣1分，扣完为止。</w:t>
            </w:r>
          </w:p>
        </w:tc>
        <w:tc>
          <w:tcPr>
            <w:tcW w:w="661" w:type="dxa"/>
            <w:shd w:val="clear" w:color="000000" w:fill="FFFFFF"/>
            <w:vAlign w:val="center"/>
          </w:tcPr>
          <w:p w14:paraId="1F69F887">
            <w:pPr>
              <w:spacing w:line="240" w:lineRule="exact"/>
            </w:pPr>
            <w:r>
              <w:rPr>
                <w:rFonts w:hint="eastAsia"/>
              </w:rPr>
              <w:t>3分</w:t>
            </w:r>
          </w:p>
        </w:tc>
      </w:tr>
      <w:tr w14:paraId="00758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14:paraId="4A13C003">
            <w:pPr>
              <w:spacing w:line="240" w:lineRule="exact"/>
            </w:pPr>
          </w:p>
        </w:tc>
        <w:tc>
          <w:tcPr>
            <w:tcW w:w="793" w:type="dxa"/>
            <w:vMerge w:val="continue"/>
            <w:tcBorders>
              <w:bottom w:val="single" w:color="auto" w:sz="4" w:space="0"/>
            </w:tcBorders>
            <w:shd w:val="clear" w:color="auto" w:fill="FFFFFF"/>
            <w:vAlign w:val="center"/>
          </w:tcPr>
          <w:p w14:paraId="18A18557">
            <w:pPr>
              <w:spacing w:line="240" w:lineRule="exact"/>
            </w:pPr>
          </w:p>
        </w:tc>
        <w:tc>
          <w:tcPr>
            <w:tcW w:w="1333" w:type="dxa"/>
            <w:shd w:val="clear" w:color="auto" w:fill="FFFFFF"/>
            <w:vAlign w:val="center"/>
          </w:tcPr>
          <w:p w14:paraId="73212884">
            <w:pPr>
              <w:spacing w:line="240" w:lineRule="exact"/>
              <w:ind w:firstLine="420" w:firstLineChars="200"/>
            </w:pPr>
            <w:r>
              <w:rPr>
                <w:rFonts w:hint="eastAsia"/>
              </w:rPr>
              <w:t>疫情信息</w:t>
            </w:r>
          </w:p>
          <w:p w14:paraId="0869B53D">
            <w:pPr>
              <w:spacing w:line="240" w:lineRule="exact"/>
              <w:ind w:firstLine="420" w:firstLineChars="200"/>
            </w:pPr>
            <w:r>
              <w:rPr>
                <w:rFonts w:hint="eastAsia"/>
              </w:rPr>
              <w:t>公开的及时性</w:t>
            </w:r>
          </w:p>
        </w:tc>
        <w:tc>
          <w:tcPr>
            <w:tcW w:w="2237" w:type="dxa"/>
            <w:shd w:val="clear" w:color="000000" w:fill="FFFFFF"/>
            <w:vAlign w:val="center"/>
          </w:tcPr>
          <w:p w14:paraId="2CD10FCA">
            <w:pPr>
              <w:spacing w:line="240" w:lineRule="exact"/>
            </w:pPr>
            <w:r>
              <w:rPr>
                <w:rFonts w:hint="eastAsia"/>
              </w:rPr>
              <w:t>反映疫情信息及时公开。</w:t>
            </w:r>
          </w:p>
        </w:tc>
        <w:tc>
          <w:tcPr>
            <w:tcW w:w="3631" w:type="dxa"/>
            <w:shd w:val="clear" w:color="000000" w:fill="FFFFFF"/>
            <w:vAlign w:val="center"/>
          </w:tcPr>
          <w:p w14:paraId="5548FE95">
            <w:pPr>
              <w:spacing w:line="240" w:lineRule="exact"/>
            </w:pPr>
            <w:r>
              <w:rPr>
                <w:rFonts w:hint="eastAsia"/>
              </w:rPr>
              <w:t>及时向社会公众公开发布疫情及流调情况，24小时内发布最新数据得满分，48小时内发布得2分，超过72小时发布不得分。</w:t>
            </w:r>
          </w:p>
        </w:tc>
        <w:tc>
          <w:tcPr>
            <w:tcW w:w="661" w:type="dxa"/>
            <w:shd w:val="clear" w:color="000000" w:fill="FFFFFF"/>
            <w:vAlign w:val="center"/>
          </w:tcPr>
          <w:p w14:paraId="4AE09DBE">
            <w:pPr>
              <w:spacing w:line="240" w:lineRule="exact"/>
            </w:pPr>
            <w:r>
              <w:rPr>
                <w:rFonts w:hint="eastAsia"/>
              </w:rPr>
              <w:t>2分</w:t>
            </w:r>
          </w:p>
        </w:tc>
      </w:tr>
      <w:tr w14:paraId="4E676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14:paraId="74AB3C09">
            <w:pPr>
              <w:spacing w:line="240" w:lineRule="exact"/>
            </w:pPr>
          </w:p>
        </w:tc>
        <w:tc>
          <w:tcPr>
            <w:tcW w:w="793" w:type="dxa"/>
            <w:vMerge w:val="restart"/>
            <w:tcBorders>
              <w:top w:val="single" w:color="auto" w:sz="4" w:space="0"/>
            </w:tcBorders>
            <w:shd w:val="clear" w:color="auto" w:fill="FFFFFF"/>
            <w:vAlign w:val="center"/>
          </w:tcPr>
          <w:p w14:paraId="716468F3">
            <w:pPr>
              <w:spacing w:line="240" w:lineRule="exact"/>
              <w:ind w:firstLine="420" w:firstLineChars="200"/>
            </w:pPr>
            <w:r>
              <w:rPr>
                <w:rFonts w:hint="eastAsia"/>
              </w:rPr>
              <w:t>满意度</w:t>
            </w:r>
          </w:p>
          <w:p w14:paraId="67A38AC5">
            <w:pPr>
              <w:spacing w:line="240" w:lineRule="exact"/>
              <w:ind w:firstLine="420" w:firstLineChars="200"/>
            </w:pPr>
            <w:r>
              <w:rPr>
                <w:rFonts w:hint="eastAsia"/>
              </w:rPr>
              <w:t>(10分）</w:t>
            </w:r>
          </w:p>
        </w:tc>
        <w:tc>
          <w:tcPr>
            <w:tcW w:w="1333" w:type="dxa"/>
            <w:shd w:val="clear" w:color="auto" w:fill="FFFFFF"/>
            <w:vAlign w:val="center"/>
          </w:tcPr>
          <w:p w14:paraId="7322607B">
            <w:pPr>
              <w:spacing w:line="240" w:lineRule="exact"/>
            </w:pPr>
            <w:r>
              <w:rPr>
                <w:rFonts w:hint="eastAsia"/>
              </w:rPr>
              <w:t>疫情防控一线工作人员</w:t>
            </w:r>
          </w:p>
        </w:tc>
        <w:tc>
          <w:tcPr>
            <w:tcW w:w="2237" w:type="dxa"/>
            <w:shd w:val="clear" w:color="000000" w:fill="FFFFFF"/>
            <w:vAlign w:val="center"/>
          </w:tcPr>
          <w:p w14:paraId="3A833C39">
            <w:pPr>
              <w:spacing w:line="240" w:lineRule="exact"/>
            </w:pPr>
            <w:r>
              <w:rPr>
                <w:rFonts w:hint="eastAsia"/>
              </w:rPr>
              <w:t>反映项目实施疫情防控一线工作人员对于服务的满意度。</w:t>
            </w:r>
          </w:p>
        </w:tc>
        <w:tc>
          <w:tcPr>
            <w:tcW w:w="3631" w:type="dxa"/>
            <w:shd w:val="clear" w:color="000000" w:fill="FFFFFF"/>
            <w:vAlign w:val="center"/>
          </w:tcPr>
          <w:p w14:paraId="769D2D2D">
            <w:pPr>
              <w:spacing w:line="240" w:lineRule="exact"/>
            </w:pPr>
            <w:r>
              <w:rPr>
                <w:rFonts w:hint="eastAsia"/>
              </w:rPr>
              <w:t>疫情防控一线工作人员满意度得分=本指标得分×</w:t>
            </w:r>
            <w:r>
              <w:rPr>
                <w:rFonts w:hint="eastAsia"/>
                <w:position w:val="-8"/>
                <w:szCs w:val="21"/>
              </w:rPr>
              <w:object>
                <v:shape id="_x0000_i1025" o:spt="75" type="#_x0000_t75" style="height:15pt;width:13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rPr>
              <w:t>对应疫情防控一线工作人员满意度百分比。</w:t>
            </w:r>
          </w:p>
        </w:tc>
        <w:tc>
          <w:tcPr>
            <w:tcW w:w="661" w:type="dxa"/>
            <w:shd w:val="clear" w:color="000000" w:fill="FFFFFF"/>
            <w:vAlign w:val="center"/>
          </w:tcPr>
          <w:p w14:paraId="0CE53AB3">
            <w:pPr>
              <w:spacing w:line="240" w:lineRule="exact"/>
            </w:pPr>
            <w:r>
              <w:rPr>
                <w:rFonts w:hint="eastAsia"/>
              </w:rPr>
              <w:t>5分</w:t>
            </w:r>
          </w:p>
        </w:tc>
      </w:tr>
      <w:tr w14:paraId="697A7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14:paraId="285CCFE2">
            <w:pPr>
              <w:spacing w:line="240" w:lineRule="exact"/>
            </w:pPr>
          </w:p>
        </w:tc>
        <w:tc>
          <w:tcPr>
            <w:tcW w:w="793" w:type="dxa"/>
            <w:vMerge w:val="continue"/>
            <w:shd w:val="clear" w:color="auto" w:fill="FFFFFF"/>
            <w:vAlign w:val="center"/>
          </w:tcPr>
          <w:p w14:paraId="1AFE5812">
            <w:pPr>
              <w:spacing w:line="240" w:lineRule="exact"/>
            </w:pPr>
          </w:p>
        </w:tc>
        <w:tc>
          <w:tcPr>
            <w:tcW w:w="1333" w:type="dxa"/>
            <w:shd w:val="clear" w:color="auto" w:fill="FFFFFF"/>
            <w:vAlign w:val="center"/>
          </w:tcPr>
          <w:p w14:paraId="0683F5A2">
            <w:pPr>
              <w:spacing w:line="240" w:lineRule="exact"/>
            </w:pPr>
            <w:r>
              <w:rPr>
                <w:rFonts w:hint="eastAsia"/>
              </w:rPr>
              <w:t>公众满意度</w:t>
            </w:r>
          </w:p>
        </w:tc>
        <w:tc>
          <w:tcPr>
            <w:tcW w:w="2237" w:type="dxa"/>
            <w:shd w:val="clear" w:color="000000" w:fill="FFFFFF"/>
            <w:vAlign w:val="center"/>
          </w:tcPr>
          <w:p w14:paraId="1BA761B8">
            <w:pPr>
              <w:spacing w:line="240" w:lineRule="exact"/>
            </w:pPr>
            <w:r>
              <w:rPr>
                <w:rFonts w:hint="eastAsia"/>
              </w:rPr>
              <w:t>用以反映项目实施公众对服务的满意度。</w:t>
            </w:r>
          </w:p>
        </w:tc>
        <w:tc>
          <w:tcPr>
            <w:tcW w:w="3631" w:type="dxa"/>
            <w:shd w:val="clear" w:color="000000" w:fill="FFFFFF"/>
            <w:vAlign w:val="center"/>
          </w:tcPr>
          <w:p w14:paraId="337896C5">
            <w:pPr>
              <w:spacing w:line="240" w:lineRule="exact"/>
            </w:pPr>
            <w:r>
              <w:rPr>
                <w:rFonts w:hint="eastAsia"/>
              </w:rPr>
              <w:t>公众满意度得分=本指标得分×</w:t>
            </w:r>
            <w:r>
              <w:rPr>
                <w:rFonts w:hint="eastAsia"/>
                <w:position w:val="-8"/>
                <w:szCs w:val="21"/>
              </w:rPr>
              <w:object>
                <v:shape id="_x0000_i1026" o:spt="75" type="#_x0000_t75" style="height:15pt;width:13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9">
                  <o:LockedField>false</o:LockedField>
                </o:OLEObject>
              </w:object>
            </w:r>
            <w:r>
              <w:rPr>
                <w:rFonts w:hint="eastAsia"/>
              </w:rPr>
              <w:t>对应公众满意度百分比。</w:t>
            </w:r>
          </w:p>
        </w:tc>
        <w:tc>
          <w:tcPr>
            <w:tcW w:w="661" w:type="dxa"/>
            <w:shd w:val="clear" w:color="000000" w:fill="FFFFFF"/>
            <w:vAlign w:val="center"/>
          </w:tcPr>
          <w:p w14:paraId="4B9C52F7">
            <w:pPr>
              <w:spacing w:line="240" w:lineRule="exact"/>
            </w:pPr>
            <w:r>
              <w:rPr>
                <w:rFonts w:hint="eastAsia"/>
              </w:rPr>
              <w:t>5分</w:t>
            </w:r>
          </w:p>
        </w:tc>
      </w:tr>
    </w:tbl>
    <w:p w14:paraId="64E98CF7">
      <w:pPr>
        <w:ind w:firstLine="420" w:firstLineChars="200"/>
      </w:pPr>
      <w:r>
        <w:rPr>
          <w:rFonts w:hint="eastAsia"/>
        </w:rPr>
        <w:t>3.评价方法</w:t>
      </w:r>
    </w:p>
    <w:p w14:paraId="42195A6D">
      <w:pPr>
        <w:ind w:firstLine="420" w:firstLineChars="200"/>
      </w:pPr>
      <w:r>
        <w:rPr>
          <w:rFonts w:hint="eastAsia"/>
        </w:rPr>
        <w:t>根据财政部《项目支出绩效评价管理办法》（财预〔2020〕第10号）规定的绩效评价方法，莆田市卫健委新冠病毒感染肺炎疫情防控经费绩效评价主要采用案卷研究法、实地调研法、比较法、公众评判法和目标评价法。</w:t>
      </w:r>
    </w:p>
    <w:p w14:paraId="08B894DD">
      <w:pPr>
        <w:ind w:firstLine="420" w:firstLineChars="200"/>
      </w:pPr>
      <w:r>
        <w:rPr>
          <w:rFonts w:hint="eastAsia"/>
        </w:rPr>
        <w:t>（1）</w:t>
      </w:r>
      <w:r>
        <w:t>案卷研究法。从现有的项目文件、国家和地方的发展政策和战略规划、各种相关的研究和咨询报告等文档资料中寻找数据，并对同一绩效评价指标在不同文件中的数据进行对比核实，最后确定选择使用的数据。</w:t>
      </w:r>
    </w:p>
    <w:p w14:paraId="7349DA0D">
      <w:pPr>
        <w:ind w:firstLine="420" w:firstLineChars="200"/>
      </w:pPr>
      <w:r>
        <w:rPr>
          <w:rFonts w:hint="eastAsia"/>
        </w:rPr>
        <w:t>（2）</w:t>
      </w:r>
      <w:r>
        <w:t>实地调研</w:t>
      </w:r>
      <w:r>
        <w:rPr>
          <w:rFonts w:hint="eastAsia"/>
        </w:rPr>
        <w:t>法</w:t>
      </w:r>
      <w:r>
        <w:t>。首先从项目利益相关方中确定访谈对象，包括项目的管理人员、实施人员、项目受益者及参与项目立项、决策、实施、管理的行业专家，根据调查的内容范围和主要问题，设计访谈提纲并开展访谈；其次通过现场勘查询问、核对、勘查、检查等方法进行调查，获取绩效评价业务需要的基础资料，调研结束后将调研记录进行整理与分析并形成调研记录。</w:t>
      </w:r>
      <w:r>
        <w:rPr>
          <w:rFonts w:hint="eastAsia"/>
        </w:rPr>
        <w:t>评价小组先后前往莆田市卫健委（含莆田市疾控中心、莆田市第一医院、莆田学院附属医院、莆田市疾控预防控制中心、莆田市急救中心、城厢区宜尚酒店-市级集中医学观察点）等部门进行调研，与相关业务人员进行座谈，查阅有关资金的档案、资料，收集基础数据等。</w:t>
      </w:r>
    </w:p>
    <w:p w14:paraId="5DC6CB29">
      <w:pPr>
        <w:ind w:firstLine="420" w:firstLineChars="200"/>
      </w:pPr>
      <w:r>
        <w:rPr>
          <w:rFonts w:hint="eastAsia"/>
        </w:rPr>
        <w:t>（3）比较法。指通过实际支出、实施效果等与绩效目标、历史情况、不同地区同类支出等的比较，综合分析绩效目标实现程度。新冠病毒感染肺炎疫情防控经费绩效评价将以资金拨付用途要求为标准，将项目执行单位实际产出数量、产出质量与绩效目标相比较，综合分析绩效目标实现程度。</w:t>
      </w:r>
    </w:p>
    <w:p w14:paraId="28748063">
      <w:pPr>
        <w:ind w:firstLine="420" w:firstLineChars="200"/>
      </w:pPr>
      <w:r>
        <w:rPr>
          <w:rFonts w:hint="eastAsia"/>
        </w:rPr>
        <w:t>（4）公众评判法。指通过专家评估、公众问卷及抽样调查等对财政资金效果进行评判，评价绩效目标实现程度。服务对象满意度即通过问卷调查方式获取相关数据资料。通过问卷回答情况了解服务对象的真实感受，从而对该专项资金支出的社会效益和满意度进行评判。评价小组分别设计了面向医护人员和面向群众的网络调查问卷，面向医护人员的网络调查问卷市卫健委再下发至医院由医护人员填写，面向群众的调查问卷由工作组成员通过网络发放，获取满意度数据。</w:t>
      </w:r>
    </w:p>
    <w:p w14:paraId="02C467AE">
      <w:pPr>
        <w:ind w:firstLine="420" w:firstLineChars="200"/>
      </w:pPr>
      <w:r>
        <w:rPr>
          <w:rFonts w:hint="eastAsia"/>
        </w:rPr>
        <w:t>（5）目标评价法。指将当期经济效益或社会效益水平与其预先目标标准进行对比分析的方法。该方法主要以《关于印发公共卫生防控救治能力建设方案的通知》（发改社会〔2020〕735号）和《国务院应对新型冠状病毒感染肺炎疫情联防联控机制关于印发进一步推进新冠病毒核酸检测能力建设工作方案的通知》（国办发明电〔2020〕22号）要求为标准，用于社会效益和可持续影响的评价。</w:t>
      </w:r>
    </w:p>
    <w:p w14:paraId="44CCBB59">
      <w:pPr>
        <w:ind w:firstLine="420" w:firstLineChars="200"/>
      </w:pPr>
      <w:r>
        <w:rPr>
          <w:rFonts w:hint="eastAsia"/>
        </w:rPr>
        <w:t>4.评价标准</w:t>
      </w:r>
    </w:p>
    <w:p w14:paraId="387CF26D">
      <w:pPr>
        <w:ind w:firstLine="420" w:firstLineChars="200"/>
      </w:pPr>
      <w:r>
        <w:rPr>
          <w:rFonts w:hint="eastAsia"/>
        </w:rPr>
        <w:t>专项资金绩效评价标准是衡量专项资金绩效目标完成程度的尺度。依据财政部制定的《项目支出绩效评价管理办法》（财预〔2020〕第10号）、中共莆田市委、市政府《关于全面实施预算绩效管理的实施意见》（莆委发〔2019〕2号）和《项目支出绩效评价管理》（莆财绩〔2020〕2号）等文件精神，评价标准主要参照计划标准、行业标准、历史标准、其他标准等。计划标准是指以预算制定的目标、计划、预算、定额等数据作为评价的标准。行业标准是指参照国家公布的行业指标数据制定的评价标准。历史标准是指参照同类指标的历史数据制定的评价标准。其他标准主要是以经验或常识确定的标准。评价小组根据福建省卫健委新冠疫情防控政策与资金项目实施的实际情况，主要采用计划标准和行业标准对该项目绩效目标完成度进行评价。</w:t>
      </w:r>
    </w:p>
    <w:p w14:paraId="4964F03E">
      <w:pPr>
        <w:ind w:firstLine="420" w:firstLineChars="200"/>
      </w:pPr>
      <w:r>
        <w:rPr>
          <w:rFonts w:hint="eastAsia"/>
        </w:rPr>
        <w:t>（三）绩效评价工作过程</w:t>
      </w:r>
    </w:p>
    <w:p w14:paraId="41048CB4">
      <w:pPr>
        <w:ind w:firstLine="420" w:firstLineChars="200"/>
      </w:pPr>
      <w:bookmarkStart w:id="159" w:name="fi_xm_year2"/>
      <w:bookmarkEnd w:id="159"/>
      <w:r>
        <w:rPr>
          <w:rFonts w:hint="eastAsia"/>
        </w:rPr>
        <w:t>本项目资金绩效评价包含以下六个阶段：</w:t>
      </w:r>
    </w:p>
    <w:p w14:paraId="2FCEBFE2">
      <w:pPr>
        <w:ind w:firstLine="420" w:firstLineChars="200"/>
      </w:pPr>
      <w:r>
        <w:rPr>
          <w:rFonts w:hint="eastAsia"/>
        </w:rPr>
        <w:t>1.成立评价工作小组。确定评价工作小组的成员构成和分工，成立评价小组，负责拟定评价工作方案和评价工作的具体实施。</w:t>
      </w:r>
    </w:p>
    <w:p w14:paraId="34F62504">
      <w:pPr>
        <w:ind w:firstLine="420" w:firstLineChars="200"/>
      </w:pPr>
      <w:r>
        <w:rPr>
          <w:rFonts w:hint="eastAsia"/>
        </w:rPr>
        <w:t>2.制定绩效评价方案。评价小组根据评价项目的性质和特点，就评价指标体系和评价工作的组织实施等拟定绩效评价工作方案，为评价实施提供工作指引和具体安排。</w:t>
      </w:r>
    </w:p>
    <w:p w14:paraId="6D5140B7">
      <w:pPr>
        <w:ind w:firstLine="420" w:firstLineChars="200"/>
      </w:pPr>
      <w:r>
        <w:rPr>
          <w:rFonts w:hint="eastAsia"/>
        </w:rPr>
        <w:t>3.收集绩效评价相关材料。评价小组根据评价对象的特点和评价内容及工作需要，收集绩效评价相关材料。</w:t>
      </w:r>
    </w:p>
    <w:p w14:paraId="1B0A6983">
      <w:pPr>
        <w:ind w:firstLine="420" w:firstLineChars="200"/>
      </w:pPr>
      <w:r>
        <w:rPr>
          <w:rFonts w:hint="eastAsia"/>
        </w:rPr>
        <w:t>4.审核相关评价材料。评价小组根据所取得的相关材料，设</w:t>
      </w:r>
      <w:r>
        <w:t>计</w:t>
      </w:r>
      <w:r>
        <w:rPr>
          <w:rFonts w:hint="eastAsia"/>
        </w:rPr>
        <w:t>莆田市卫健委2020年新冠病毒感染肺炎疫情防控经费项目专项资金绩效评价指标体系。</w:t>
      </w:r>
    </w:p>
    <w:p w14:paraId="1C6E4C45">
      <w:pPr>
        <w:ind w:firstLine="420" w:firstLineChars="200"/>
      </w:pPr>
      <w:r>
        <w:rPr>
          <w:rFonts w:hint="eastAsia"/>
        </w:rPr>
        <w:t>5.撰写绩效评价报告。根据评价小组评价结论等相关材料，归纳问题，分析原因，提出对策，形成并提交评价报告。</w:t>
      </w:r>
    </w:p>
    <w:p w14:paraId="2F1C10D1">
      <w:pPr>
        <w:ind w:firstLine="420" w:firstLineChars="200"/>
      </w:pPr>
      <w:r>
        <w:rPr>
          <w:rFonts w:hint="eastAsia"/>
        </w:rPr>
        <w:t>6.建立绩效评价档案。评价小组完成绩效评价工作后，根据评价工作路径，整理、保管工作底稿和评价有关资料，建立绩效评价档案并移交给相关部门。</w:t>
      </w:r>
    </w:p>
    <w:p w14:paraId="3714DA2F">
      <w:pPr>
        <w:ind w:firstLine="420" w:firstLineChars="200"/>
        <w:outlineLvl w:val="0"/>
      </w:pPr>
      <w:bookmarkStart w:id="160" w:name="_Toc31330"/>
      <w:r>
        <w:rPr>
          <w:rFonts w:hint="eastAsia"/>
        </w:rPr>
        <w:t>三、综合评价情况及评价结论（附相关评分表）</w:t>
      </w:r>
      <w:bookmarkEnd w:id="160"/>
    </w:p>
    <w:p w14:paraId="0874F565">
      <w:pPr>
        <w:ind w:firstLine="420" w:firstLineChars="200"/>
      </w:pPr>
      <w:bookmarkStart w:id="161" w:name="_Toc70494261"/>
      <w:bookmarkStart w:id="162" w:name="_Toc70616466"/>
      <w:r>
        <w:rPr>
          <w:rFonts w:hint="eastAsia"/>
        </w:rPr>
        <w:t>为了全面、客观、有效的进行绩效评价，评价小组审阅了该项目资金相关材料，与莆田市卫健委以及疫情一线单位代表进行座谈和征求意见，查阅项目相关资料，收集相关信息，指标评分、问卷调查、以及对若干关键绩效环节的访谈调研和资料整理等定量和定性分析法，通过对4大类11项二级指标34项三级指标逐步评价，对2020年莆田市卫健委新冠病毒感染肺炎疫情防控经费项目的立项情况、项目资金预算执行情况、项目管理、资金管理、项目产出和项目效益等方面进行综合评价，发现该项目立项依据充分，新冠疫情防控资金在疫情防控紧急时期拨付及时，为保障物资供应和组织运行起到了积极作用，产生较好的效果。能有效提高医疗卫生部门的疫情防控水平，改善传染病防治条件，显著地提高了社会效益和可持续影响，群众满意度较高。由此可见，该项财政支出为防控疫情蔓延，有效诊断与救治确诊患者发挥了积极的作用。</w:t>
      </w:r>
    </w:p>
    <w:p w14:paraId="5631A242">
      <w:pPr>
        <w:ind w:firstLine="420" w:firstLineChars="200"/>
      </w:pPr>
      <w:r>
        <w:rPr>
          <w:rFonts w:hint="eastAsia"/>
        </w:rPr>
        <w:t>经过工作组的审慎和科学评估，莆田市卫健委</w:t>
      </w:r>
      <w:r>
        <w:t>20</w:t>
      </w:r>
      <w:r>
        <w:rPr>
          <w:rFonts w:hint="eastAsia"/>
        </w:rPr>
        <w:t>20</w:t>
      </w:r>
      <w:r>
        <w:t>年</w:t>
      </w:r>
      <w:r>
        <w:rPr>
          <w:rFonts w:hint="eastAsia"/>
        </w:rPr>
        <w:t>新冠病毒感染肺炎疫情防控经费绩效总得分92.32分，评价等级结果为优，分指标分析详见第四部分。</w:t>
      </w:r>
    </w:p>
    <w:p w14:paraId="617C24D5">
      <w:pPr>
        <w:ind w:firstLine="420" w:firstLineChars="200"/>
        <w:outlineLvl w:val="0"/>
      </w:pPr>
      <w:bookmarkStart w:id="163" w:name="_Toc22711"/>
      <w:r>
        <w:rPr>
          <w:rFonts w:hint="eastAsia"/>
        </w:rPr>
        <w:t>四、绩效评价指标分析</w:t>
      </w:r>
      <w:bookmarkEnd w:id="161"/>
      <w:bookmarkEnd w:id="162"/>
      <w:bookmarkEnd w:id="163"/>
    </w:p>
    <w:p w14:paraId="1BFADBCB">
      <w:pPr>
        <w:ind w:firstLine="420" w:firstLineChars="200"/>
      </w:pPr>
      <w:bookmarkStart w:id="164" w:name="_Toc70494262"/>
      <w:bookmarkStart w:id="165" w:name="_Toc70616467"/>
      <w:r>
        <w:rPr>
          <w:rFonts w:hint="eastAsia"/>
        </w:rPr>
        <w:t>（一）项目决策情况</w:t>
      </w:r>
      <w:bookmarkEnd w:id="164"/>
      <w:bookmarkEnd w:id="165"/>
      <w:r>
        <w:rPr>
          <w:rFonts w:hint="eastAsia"/>
        </w:rPr>
        <w:t>（满分15分，得14分）</w:t>
      </w:r>
    </w:p>
    <w:p w14:paraId="763059E3">
      <w:pPr>
        <w:ind w:firstLine="420" w:firstLineChars="200"/>
      </w:pPr>
      <w:r>
        <w:rPr>
          <w:rFonts w:hint="eastAsia"/>
        </w:rPr>
        <w:t>该一级指标下设3个二级指标：项目立项、绩效目标和资金投入。</w:t>
      </w:r>
    </w:p>
    <w:p w14:paraId="5C9CDE7A">
      <w:pPr>
        <w:ind w:firstLine="420" w:firstLineChars="200"/>
      </w:pPr>
      <w:bookmarkStart w:id="166" w:name="_Toc70616468"/>
      <w:r>
        <w:rPr>
          <w:rFonts w:hint="eastAsia"/>
        </w:rPr>
        <w:t>1.项目立项</w:t>
      </w:r>
      <w:bookmarkEnd w:id="166"/>
      <w:r>
        <w:rPr>
          <w:rFonts w:hint="eastAsia"/>
        </w:rPr>
        <w:t>（满分6分，得6分）</w:t>
      </w:r>
    </w:p>
    <w:p w14:paraId="6821CDFE">
      <w:pPr>
        <w:ind w:firstLine="420" w:firstLineChars="200"/>
      </w:pPr>
      <w:r>
        <w:rPr>
          <w:rFonts w:hint="eastAsia"/>
        </w:rPr>
        <w:t>该二级指标下设2个三级指标，即立项依据充分性和立项程序规范性。</w:t>
      </w:r>
    </w:p>
    <w:p w14:paraId="008999A6">
      <w:pPr>
        <w:ind w:firstLine="420" w:firstLineChars="200"/>
      </w:pPr>
      <w:r>
        <w:rPr>
          <w:rFonts w:hint="eastAsia"/>
        </w:rPr>
        <w:t>（1）立项依据充分性（满分3分，得3分）。通过查阅相关资料，该项目的立项符合</w:t>
      </w:r>
      <w:r>
        <w:t>《财政部国家卫生健康委关于新型冠状病毒感染肺炎疫情防控有关经费保障政策的通知》（财社〔2020〕2 号）</w:t>
      </w:r>
      <w:r>
        <w:rPr>
          <w:rFonts w:hint="eastAsia"/>
        </w:rPr>
        <w:t>、莆田</w:t>
      </w:r>
      <w:r>
        <w:t>市财政局、</w:t>
      </w:r>
      <w:r>
        <w:rPr>
          <w:rFonts w:hint="eastAsia"/>
        </w:rPr>
        <w:t>莆田</w:t>
      </w:r>
      <w:r>
        <w:t>市卫生健康委员会发布</w:t>
      </w:r>
      <w:r>
        <w:rPr>
          <w:rFonts w:hint="eastAsia"/>
        </w:rPr>
        <w:t>莆田市财政局 莆田市卫健委关于落实新型冠状病毒感染肺炎疫情防控有关经费保障政策的通知》（莆财社〔2020〕32号）等文件的相关政策规定，</w:t>
      </w:r>
      <w:r>
        <w:t>项目立项与</w:t>
      </w:r>
      <w:r>
        <w:rPr>
          <w:rFonts w:hint="eastAsia"/>
        </w:rPr>
        <w:t>莆田市卫健委</w:t>
      </w:r>
      <w:r>
        <w:t>部门职责范围相符，属于部门履职所需</w:t>
      </w:r>
      <w:r>
        <w:rPr>
          <w:rFonts w:hint="eastAsia"/>
        </w:rPr>
        <w:t>，</w:t>
      </w:r>
      <w:r>
        <w:t>项目属于公共财政支持范围，</w:t>
      </w:r>
      <w:r>
        <w:rPr>
          <w:rFonts w:hint="eastAsia"/>
        </w:rPr>
        <w:t>并</w:t>
      </w:r>
      <w:r>
        <w:t>与相关部门同类项目或部门内部相关项目不重复</w:t>
      </w:r>
      <w:r>
        <w:rPr>
          <w:rFonts w:hint="eastAsia"/>
        </w:rPr>
        <w:t>，该指标得满分3分。</w:t>
      </w:r>
    </w:p>
    <w:p w14:paraId="23D6A67C">
      <w:pPr>
        <w:ind w:firstLine="420" w:firstLineChars="200"/>
      </w:pPr>
      <w:r>
        <w:rPr>
          <w:rFonts w:hint="eastAsia"/>
        </w:rPr>
        <w:t>（2）立项程序规范性（满分3分，得3分）。通过查阅相关资料，该项目立项合规，提交的文件、材料符合有关要求，经费支出已经过必要的会议决策等。根据评分标准，该指标分值得满分3分。</w:t>
      </w:r>
    </w:p>
    <w:p w14:paraId="0D0C954F">
      <w:pPr>
        <w:ind w:firstLine="420" w:firstLineChars="200"/>
      </w:pPr>
      <w:bookmarkStart w:id="167" w:name="_Toc70616469"/>
      <w:r>
        <w:rPr>
          <w:rFonts w:hint="eastAsia"/>
        </w:rPr>
        <w:t>2.绩效目标</w:t>
      </w:r>
      <w:bookmarkEnd w:id="167"/>
      <w:r>
        <w:rPr>
          <w:rFonts w:hint="eastAsia"/>
        </w:rPr>
        <w:t>（满分5分，得4分）</w:t>
      </w:r>
    </w:p>
    <w:p w14:paraId="0AC9A0BD">
      <w:pPr>
        <w:ind w:firstLine="420" w:firstLineChars="200"/>
      </w:pPr>
      <w:r>
        <w:rPr>
          <w:rFonts w:hint="eastAsia"/>
        </w:rPr>
        <w:t>该二级指标下设2个三级指标，即绩效目标合理性和绩效指标明确性。</w:t>
      </w:r>
    </w:p>
    <w:p w14:paraId="0BA4C482">
      <w:pPr>
        <w:ind w:firstLine="420" w:firstLineChars="200"/>
      </w:pPr>
      <w:r>
        <w:rPr>
          <w:rFonts w:hint="eastAsia"/>
        </w:rPr>
        <w:t>（1）绩效目标合理性（满分2分，得2分）。通过查阅相关资料，该项目绩效目标设置合理、全面、契合实际，与项目实施单位职责密切相关，项目预期产出效益和结果也符合正常的业绩水平。2020年莆田市卫健委新冠病毒感染肺炎疫情防控经费项目涉及到整个莆田市多个一线防疫部门、单位。新冠肺炎疫情暴发后，全国各地都快速响应疫情防控工作，专项资金使用的各种工作项目为莆田市委市政府确定的专门项目，符合 2020年莆田市政府防疫重点工作部署和当时的首要工作任务。项目绩效目标设置与实际工作相关、与项目投资额相匹配，根据评分标准，绩效目标合理性得满分2分。</w:t>
      </w:r>
    </w:p>
    <w:p w14:paraId="6023C0A3">
      <w:pPr>
        <w:ind w:firstLine="420" w:firstLineChars="200"/>
      </w:pPr>
      <w:r>
        <w:rPr>
          <w:rFonts w:hint="eastAsia"/>
        </w:rPr>
        <w:t>（2）绩效指标明确性（满分3分，得2分）。通过查阅相关资料，项目实施内容符合新冠疫情防疫工作的实际需求。本项目资金下拨文件有明确的实施范围、使用方向、补助对象、补助标准，符合疫情资金使用的特殊要求。但在针对各个部门、单位分工特点补充完善个性指标的方面尚有较大的努力空间，目前存在个别效益类绩效指标难以细化分解和量化的情况。根据评分标准，该指标满分3分，绩效指标明确性得2分。</w:t>
      </w:r>
    </w:p>
    <w:p w14:paraId="2DD1798B">
      <w:pPr>
        <w:ind w:firstLine="420" w:firstLineChars="200"/>
      </w:pPr>
      <w:bookmarkStart w:id="168" w:name="_Toc70616470"/>
      <w:r>
        <w:rPr>
          <w:rFonts w:hint="eastAsia"/>
        </w:rPr>
        <w:t>3.资金投入</w:t>
      </w:r>
      <w:bookmarkEnd w:id="168"/>
      <w:r>
        <w:rPr>
          <w:rFonts w:hint="eastAsia"/>
        </w:rPr>
        <w:t>（满分4分，得4分）</w:t>
      </w:r>
    </w:p>
    <w:p w14:paraId="7EBDD532">
      <w:pPr>
        <w:ind w:firstLine="420" w:firstLineChars="200"/>
      </w:pPr>
      <w:r>
        <w:rPr>
          <w:rFonts w:hint="eastAsia"/>
        </w:rPr>
        <w:t>该二级指标下设2个三级指标，即资金分配合理性和应急资金的准备。</w:t>
      </w:r>
    </w:p>
    <w:p w14:paraId="25F6CC8B">
      <w:pPr>
        <w:ind w:firstLine="420" w:firstLineChars="200"/>
      </w:pPr>
      <w:r>
        <w:rPr>
          <w:rFonts w:hint="eastAsia"/>
        </w:rPr>
        <w:t>（1）资金分配合理性（满分2分，得2分）。通过查阅相关资料，根据资金分配方案将资金分配给莆田市第一医院、莆田学院附属医院、莆田市疾病预防控制中心、莆田市急救中心、集中隔离点用于各自职责所需各项开支及疫情防控指挥部日常开支。该项目资金分配依据充分、额度合理，与部门实际相适应，得满分2分。</w:t>
      </w:r>
    </w:p>
    <w:p w14:paraId="4AB3508A">
      <w:pPr>
        <w:ind w:firstLine="420" w:firstLineChars="200"/>
      </w:pPr>
      <w:r>
        <w:rPr>
          <w:rFonts w:hint="eastAsia"/>
        </w:rPr>
        <w:t>（2）预算编制科学性（满分2分，得2分）。新型冠状病毒感染的肺炎疫情防控经费项目为突发新增项目，无预算申报表。由于新冠疫情爆发的突发性和不可控性，疫情持续时间较长，本次防疫资金基本上都是先拨付，后使用结算，初期拨付的资金无法编制预算也是应急之举。大部分一线防疫单位拨付资金足够疫情防控工作使用。除部分疫情防控压力较大的一线单位出现拨付经费使用超支现象，还有由于防疫后期疫情防控转为防止境外输入，工作任务加大造成先期预算不足，需要追加拨款。查阅相关佐证资料，工作项目基本正常履行了相关内部调整程序和调整审批手续，并合理分析、说明了原因。但今后仍需加强立项准确性与政策性风险的分析与防范，减少因工作项目调整影响财政资金支出效益的情况，该项指标得满分2分。</w:t>
      </w:r>
    </w:p>
    <w:p w14:paraId="30BC11FB">
      <w:pPr>
        <w:ind w:firstLine="420" w:firstLineChars="200"/>
      </w:pPr>
      <w:bookmarkStart w:id="169" w:name="_Toc70494263"/>
      <w:bookmarkStart w:id="170" w:name="_Toc70616471"/>
      <w:r>
        <w:rPr>
          <w:rFonts w:hint="eastAsia"/>
        </w:rPr>
        <w:t>（二）项目过程</w:t>
      </w:r>
      <w:bookmarkEnd w:id="169"/>
      <w:bookmarkEnd w:id="170"/>
      <w:r>
        <w:rPr>
          <w:rFonts w:hint="eastAsia"/>
        </w:rPr>
        <w:t>（满分20分，得19分）</w:t>
      </w:r>
    </w:p>
    <w:p w14:paraId="55FC348D">
      <w:pPr>
        <w:ind w:firstLine="420" w:firstLineChars="200"/>
      </w:pPr>
      <w:r>
        <w:rPr>
          <w:rFonts w:hint="eastAsia"/>
        </w:rPr>
        <w:t>该一级指标下设2个二级指标：资金管理和组织实施。</w:t>
      </w:r>
    </w:p>
    <w:p w14:paraId="6DF9C290">
      <w:pPr>
        <w:ind w:firstLine="420" w:firstLineChars="200"/>
      </w:pPr>
      <w:r>
        <w:rPr>
          <w:rFonts w:hint="eastAsia"/>
        </w:rPr>
        <w:t>1.资金管理（满分10分，得10分）</w:t>
      </w:r>
    </w:p>
    <w:p w14:paraId="68064BD6">
      <w:pPr>
        <w:ind w:firstLine="420" w:firstLineChars="200"/>
      </w:pPr>
      <w:r>
        <w:rPr>
          <w:rFonts w:hint="eastAsia"/>
        </w:rPr>
        <w:t>该二级指标下设3个三级指标，即资金到位率、预算执行率和资金使用合规性。</w:t>
      </w:r>
    </w:p>
    <w:p w14:paraId="376558AC">
      <w:pPr>
        <w:ind w:firstLine="420" w:firstLineChars="200"/>
      </w:pPr>
      <w:r>
        <w:rPr>
          <w:rFonts w:hint="eastAsia"/>
        </w:rPr>
        <w:t>（1）资金到位率（满分3分，得3分）。通过查阅相关资料，2020年，该项目无预算资金，根据实际所需资金申请，莆田市财政局根据申请金额拨付到位。实际到位资金3350万元，资金到位率100%，该指标得满分3分。</w:t>
      </w:r>
    </w:p>
    <w:p w14:paraId="6E85DFE5">
      <w:pPr>
        <w:ind w:firstLine="420" w:firstLineChars="200"/>
      </w:pPr>
      <w:r>
        <w:rPr>
          <w:rFonts w:hint="eastAsia"/>
        </w:rPr>
        <w:t>（2）预算执行率（满分3分，得3分）。通过查阅相关资料，2020年该项目实际到位资3350万元，实际支出资金3350万元，预算执行率100%，该指标得满分3分。</w:t>
      </w:r>
    </w:p>
    <w:p w14:paraId="63E7B0DE">
      <w:pPr>
        <w:ind w:firstLine="420" w:firstLineChars="200"/>
      </w:pPr>
      <w:r>
        <w:rPr>
          <w:rFonts w:hint="eastAsia"/>
        </w:rPr>
        <w:t>（3）资金使用合规性（满分4分，得4分）。通过查阅相关资料，该项目资金使用符合相关制度，无虚列项目支出情况，无截留挤占挪用情况，无超标准开支情况，资金的使用符合项目申报的用途。根据评分标准，资金使用合规性得满分4分。</w:t>
      </w:r>
    </w:p>
    <w:p w14:paraId="0C4F0790">
      <w:pPr>
        <w:ind w:firstLine="420" w:firstLineChars="200"/>
      </w:pPr>
      <w:r>
        <w:rPr>
          <w:rFonts w:hint="eastAsia"/>
        </w:rPr>
        <w:t>2.组织实施（满分10分，得9分）</w:t>
      </w:r>
    </w:p>
    <w:p w14:paraId="6573AD29">
      <w:pPr>
        <w:ind w:firstLine="420" w:firstLineChars="200"/>
      </w:pPr>
      <w:r>
        <w:rPr>
          <w:rFonts w:hint="eastAsia"/>
        </w:rPr>
        <w:t>该二级指标下设4个三级指标，即管理制度健全性、制度执行有效性、信息报备制度完备性和应急队伍建设完备性。</w:t>
      </w:r>
    </w:p>
    <w:p w14:paraId="43A60562">
      <w:pPr>
        <w:ind w:firstLine="420" w:firstLineChars="200"/>
      </w:pPr>
      <w:r>
        <w:rPr>
          <w:rFonts w:hint="eastAsia"/>
        </w:rPr>
        <w:t>（1）管理制度健全性（满分2分，得2分）。莆田市卫健委制定了一系列相关的《莆田市财政局 莆田市卫生健康委员会关于落实新型冠状病毒感染肺炎疫情防控经费有关经费保障政策的通知》（莆财社〔2020〕32号）、《莆田市医保局 莆田市财政局 莆田市卫健委转发福建省医保局 福建省财政厅 福建省卫健委关于做好新型冠状病毒感染的肺炎疫情医疗保障工作的补充通知》（莆医保综〔2020〕18号）等文件。莆田市卫健委会同市财政局出台《莆田市新型冠状病毒感染的肺炎疫情防治工作专项补助资金管理办法》（莆财社〔2020〕38号），明确疫情防控专项资金管理原则、管理职责、具体使用内容、全流程监管等。同时要求资金使用单位应建立相关统计数据台账，及时登记相关信息，由同级卫生健康部门汇总审核后报财政部门备案。该项指标可得满分2分。</w:t>
      </w:r>
    </w:p>
    <w:p w14:paraId="32CE1F9B">
      <w:pPr>
        <w:ind w:firstLine="420" w:firstLineChars="200"/>
      </w:pPr>
      <w:r>
        <w:rPr>
          <w:rFonts w:hint="eastAsia"/>
        </w:rPr>
        <w:t>（2）制度执行有效（满分4分，得3分）。评价小组通过莆田卫健委、莆田市疾控中心、莆田市第一医院、莆田学院附属医院、莆田市疾控预防控制中心、莆田市急救中心等实地调研、查阅项目资料，物资采购遵循《莆田市财政局转发福建省财政厅关于落实疫情防控采购便利化有关政策的通知》（莆财购〔2020〕2号）、《莆田市财政局转发福建省财政厅关于做好疫情防控期间政府采购有关工作的通知》（莆财购〔2020〕3号）要求，物资采购合同书、验收材料等资料齐全并及时归档，未发现存在未执行相关规定的问题。但采购开展疫情防控所需的防护、诊断和治疗专用设备以及快速诊断试剂等物资应急采购流程和监督方案缺乏；部分资金支付进度较慢，且项目立项审批、合同书、评审验收资料、成果资料等档案管理比较分散。对于项目的质量监控，主要通过事后专家评审的方式作为项目验收的质量达标依据，需加强项目实施过程的质量可控性，根据评分标准，该项指标满分4分，得3分。</w:t>
      </w:r>
    </w:p>
    <w:p w14:paraId="65384F68">
      <w:pPr>
        <w:ind w:firstLine="420" w:firstLineChars="200"/>
      </w:pPr>
      <w:r>
        <w:rPr>
          <w:rFonts w:hint="eastAsia"/>
        </w:rPr>
        <w:t>（3）信息报送制度完备（满分2分，得2分）。经评价小组调查了解，根据《莆田市关于成立莆田市新型冠状病毒感染的肺炎防控领导小组的通知》（莆委发电〔2020〕1号）已建立疫情信息报送制度，未发现信息瞒报、漏报，根据评分标准，该项指标可得满分2分。</w:t>
      </w:r>
    </w:p>
    <w:p w14:paraId="7AFE7C58">
      <w:pPr>
        <w:ind w:firstLine="420" w:firstLineChars="200"/>
      </w:pPr>
      <w:r>
        <w:rPr>
          <w:rFonts w:hint="eastAsia"/>
        </w:rPr>
        <w:t>（4）应急队伍建设完备性（满分2分，得2分）。“应急队伍建设完备性”指标用于评价疫情防控救治队伍建设情况。莆田市设置了定点救治医院和符合要求的集中隔离医学观察场所，根据评分标准，该项指标可得满分2分。</w:t>
      </w:r>
    </w:p>
    <w:p w14:paraId="440BABB8">
      <w:pPr>
        <w:ind w:firstLine="420" w:firstLineChars="200"/>
      </w:pPr>
      <w:bookmarkStart w:id="171" w:name="_Toc70616472"/>
      <w:bookmarkStart w:id="172" w:name="_Toc70494264"/>
      <w:r>
        <w:rPr>
          <w:rFonts w:hint="eastAsia"/>
        </w:rPr>
        <w:t>（三）项目产出</w:t>
      </w:r>
      <w:bookmarkEnd w:id="171"/>
      <w:bookmarkEnd w:id="172"/>
      <w:r>
        <w:rPr>
          <w:rFonts w:hint="eastAsia"/>
        </w:rPr>
        <w:t>（满分30分，得26分）</w:t>
      </w:r>
    </w:p>
    <w:p w14:paraId="30CFA354">
      <w:pPr>
        <w:ind w:firstLine="420" w:firstLineChars="200"/>
      </w:pPr>
      <w:r>
        <w:rPr>
          <w:rFonts w:hint="eastAsia"/>
        </w:rPr>
        <w:t>该一级指标下设2个二级指标：产出数量和产出质量。</w:t>
      </w:r>
    </w:p>
    <w:p w14:paraId="53F542FA">
      <w:pPr>
        <w:ind w:firstLine="420" w:firstLineChars="200"/>
      </w:pPr>
      <w:r>
        <w:rPr>
          <w:rFonts w:hint="eastAsia"/>
        </w:rPr>
        <w:t>1.产出数量（满分14分，得14分）</w:t>
      </w:r>
    </w:p>
    <w:p w14:paraId="55683FFC">
      <w:pPr>
        <w:ind w:firstLine="420" w:firstLineChars="200"/>
      </w:pPr>
      <w:r>
        <w:rPr>
          <w:rFonts w:hint="eastAsia"/>
        </w:rPr>
        <w:t>该二级指标下设5个三级指标，即设定隔离观察定点酒店数量、确诊/疑似病例和隔离留观治疗人数、感染者收治率、购置设备验收合格率、医疗人员补助覆盖率。</w:t>
      </w:r>
    </w:p>
    <w:p w14:paraId="3ABC3AB9">
      <w:pPr>
        <w:ind w:firstLine="420" w:firstLineChars="200"/>
      </w:pPr>
      <w:r>
        <w:rPr>
          <w:rFonts w:hint="eastAsia"/>
        </w:rPr>
        <w:t>（1）设定隔离点和集中医学观察酒店数量（满分3分，得3分）。设置市级集中医学观察点-凤达酒店集中医学观察点、城厢区宜尚酒店等，备用13个隔离点，拥有房间1397间，由莆田市卫健委总牵头与各县（区）疫情防控组党员干部25人组成驻集中医学观察点工作组，成立临时党支部，设置医疗保障、安全保障、消杀消毒、垃圾清运和后勤保障专班，并落实24小时值班值守制度。根据现场了解等实际情况，设定隔离酒店房间数量满足需隔离人员数量的需求，不存在需隔离人员无隔离房间的情况，该项指标可得满分3分。</w:t>
      </w:r>
    </w:p>
    <w:p w14:paraId="1C74B856">
      <w:pPr>
        <w:ind w:firstLine="420" w:firstLineChars="200"/>
      </w:pPr>
      <w:r>
        <w:rPr>
          <w:rFonts w:hint="eastAsia"/>
        </w:rPr>
        <w:t>（2）确诊、疑似病例和隔离留观治疗人数（满分3分，得3分）。莆田市第一医院免费救治新冠疫情确诊患者29人，疑似患者45人；莆田学院附属医院建成莆田版“小汤山”来救治确诊病人，提前开放肺科大楼病房用于隔离疑似病人，全院收治56名确诊病例、9名疑似病例。截至12月31日24时，莆田市累计报告新型冠状病毒肺炎确诊病例56例。其中：城厢区31例、涵江区3例、荔城区8例、秀屿区6例、湄洲湾北岸3例、仙游县5例。新型冠状病毒肺炎累计治愈出院病例56例，目前无住院病例。确诊、疑似病例及无症状感染者的密切接触者已解除医学观察1803人，尚有1人正在接受医学观察。根据评分标准，该项指标可得满分3分。</w:t>
      </w:r>
    </w:p>
    <w:p w14:paraId="7220439F">
      <w:pPr>
        <w:ind w:firstLine="420" w:firstLineChars="200"/>
      </w:pPr>
      <w:r>
        <w:rPr>
          <w:rFonts w:hint="eastAsia"/>
        </w:rPr>
        <w:t xml:space="preserve">（3）感染者收治率（满分3分，得3分）。“感染者收治率＝当年度全市实际出现新冠肺炎病人数量／定点医疗机构收治数量＊100%”表示，莆田学院附属医院是定点救助单位，市一接诊的确诊或疑似的29例全部转送至莆田学院附属医院进行救治，莆田学院附属医院总共免费救治新冠疫情确诊患者56人，即本土确诊患者56人全部获得救治，收治率达100%,根据评分标准，该项指标可得满分3分。   </w:t>
      </w:r>
    </w:p>
    <w:p w14:paraId="08BBC7EE">
      <w:pPr>
        <w:ind w:firstLine="420" w:firstLineChars="200"/>
      </w:pPr>
      <w:r>
        <w:rPr>
          <w:rFonts w:hint="eastAsia"/>
        </w:rPr>
        <w:t>（4）购置设备验收合格率（满分2分，得2分）。莆田市急救中心通过该项目资金采购了外科口罩5万个、普通口罩2万个、丁晴手套0.5万双等防护物资，采购隔离舱、上车担架、楼梯担架、空气过滤器、脊柱板等防控医疗设备，支付负压型救护车采购尾款等，对购置相关设备及配备物资均有验收登记及贴有专用物资标签进行分类，根据《莆田市急救中心设备验收登记表》记录，购置的相关设备运行良好，均验收合格。根据评分标准，该项指标可得满分2分。</w:t>
      </w:r>
    </w:p>
    <w:p w14:paraId="43690FCE">
      <w:pPr>
        <w:ind w:firstLine="420" w:firstLineChars="200"/>
      </w:pPr>
      <w:r>
        <w:rPr>
          <w:rFonts w:hint="eastAsia"/>
        </w:rPr>
        <w:t>（5）医疗人员补助覆盖率（满分3分，得3分）。“医疗人员补助覆盖率”用于评价按照文件要求应予以发放临时性工作补助得援鄂医疗人员和一线医护人员是否全面发放补助。根据评价小组调查了解，市级参加情防控救治的人员达到900人以上，通过查阅卫健委每个月制作的《一线医务人员临时性工作补助发放明细表》，符合《莆田市财政局 莆田市卫健委关于落实新型冠状病毒感染肺炎疫情防控有关经费保障政策的通知》（莆财社〔2020〕32号）文件要求的莆田市第一医院和莆田学院附属医院的医护人员已全部发放临时性工作补助，补助覆盖率达到100%。该项指标可得满分3分。</w:t>
      </w:r>
    </w:p>
    <w:p w14:paraId="6117541A">
      <w:pPr>
        <w:ind w:firstLine="420" w:firstLineChars="200"/>
      </w:pPr>
      <w:r>
        <w:rPr>
          <w:rFonts w:hint="eastAsia"/>
        </w:rPr>
        <w:t>2.产出质量（满分10分，得6分）</w:t>
      </w:r>
    </w:p>
    <w:p w14:paraId="34604D6E">
      <w:pPr>
        <w:ind w:firstLine="420" w:firstLineChars="200"/>
      </w:pPr>
      <w:r>
        <w:rPr>
          <w:rFonts w:hint="eastAsia"/>
        </w:rPr>
        <w:t>该二级指标下设5个三级指标，即感染者治愈率、新型冠状标本核酸检测准确率、新型冠状标本核酸检测复核率、院内感染率和疫点消杀情况。</w:t>
      </w:r>
    </w:p>
    <w:p w14:paraId="1C9FCAE3">
      <w:pPr>
        <w:ind w:firstLine="420" w:firstLineChars="200"/>
      </w:pPr>
      <w:r>
        <w:rPr>
          <w:rFonts w:hint="eastAsia"/>
        </w:rPr>
        <w:t>（1）感染者治愈率（满分2分，得2分）。莆田市本土确诊病例56例病例，截止2020年6月底56例确诊病人、疑似病人全部治愈出院，完成病人零死亡率任务，治愈率100%。根据评分标准，该项指标可得满分2分。</w:t>
      </w:r>
    </w:p>
    <w:p w14:paraId="09D1953D">
      <w:pPr>
        <w:ind w:firstLine="420" w:firstLineChars="200"/>
      </w:pPr>
      <w:r>
        <w:rPr>
          <w:rFonts w:hint="eastAsia"/>
        </w:rPr>
        <w:t>（2）新型冠状标本核酸检测准确率（满分2分，得0分）。莆田市第一医院新建PCR实验室及莆田市城市核酸检测基地，保障24小时内完成核酸检测，全年完成核酸检测约11.30万例，检测准确率为100%。莆田学院附属医院2020年全年新型冠状标本检测数量为143218 份，准确率为99%，虽然附属医院准确率达到目标，但根据控新冠病毒检测率从严的要求，该项指标满分2分，得0分。</w:t>
      </w:r>
    </w:p>
    <w:p w14:paraId="0BA43F34">
      <w:pPr>
        <w:ind w:firstLine="420" w:firstLineChars="200"/>
      </w:pPr>
      <w:r>
        <w:rPr>
          <w:rFonts w:hint="eastAsia"/>
        </w:rPr>
        <w:t>（3）新型冠状标本核酸检测复核率（满分2分，得0分）。莆田学院附属医院核酸检测复检率须达5%,根据评价小组调查发现，莆田学院附属医院核酸检测复检率实际为1%，主要原因是由于莆田市疾控中心每天接受复检的数量有限，所以实际复检率有所下降。根据评分标准，该项指标满分2分，得0分。</w:t>
      </w:r>
    </w:p>
    <w:p w14:paraId="046A88C2">
      <w:pPr>
        <w:ind w:firstLine="420" w:firstLineChars="200"/>
      </w:pPr>
      <w:r>
        <w:rPr>
          <w:rFonts w:hint="eastAsia"/>
        </w:rPr>
        <w:t>（4）院内感染率（满分2分，得2分）。“院内感染率”指标用于评价医院是否做好疫情防控措施。疫情爆发至今，莆田市第一医院补助抗击疫情一线医务人员153人，保障全院2150名医务工作者零感染，医院于2020年3月份起复工复产，全年未发生院内疫情感染事件。莆田学院附属医院建成莆田版“小汤山”来救治确诊病人，提前开放肺科大楼病房用于隔离疑似病人。医院投入606名医务人员参加救治工作，完成医务人员零感染率任务。根据评分标准，该项指标可得满分2分。</w:t>
      </w:r>
    </w:p>
    <w:p w14:paraId="52AC6C05">
      <w:pPr>
        <w:ind w:firstLine="420" w:firstLineChars="200"/>
      </w:pPr>
      <w:r>
        <w:rPr>
          <w:rFonts w:hint="eastAsia"/>
        </w:rPr>
        <w:t>（5）疫点消杀情况（满分2分，得2分）。评价小组经过调查发现，隔离点以及医院垃圾清运做到日产日清，并定期对集中排污口进行消毒，委托第三方对集中医学观察点污水进行检测，疾控部门不定时对集中医学观察点内外环境进行核酸采样监测，消杀人员每日对内外环境、观察对象转运车辆和房间消毒消杀，观察对象离点后对房间进行终末消毒。对集中医学观察人员进行健康评估和健康监测，工作人员定期核酸检测，预防交叉感染。因此，疫点消毒覆盖率达到100%，疫点消毒后核酸检出率等于零。根据评分标准，该项指标满分2分，得2分。</w:t>
      </w:r>
    </w:p>
    <w:p w14:paraId="7A9CCC5A">
      <w:pPr>
        <w:ind w:firstLine="420" w:firstLineChars="200"/>
      </w:pPr>
      <w:r>
        <w:rPr>
          <w:rFonts w:hint="eastAsia"/>
        </w:rPr>
        <w:t>3.产出时效（满分6分，得6分）</w:t>
      </w:r>
    </w:p>
    <w:p w14:paraId="5D0A22B4">
      <w:pPr>
        <w:ind w:firstLine="420" w:firstLineChars="200"/>
      </w:pPr>
      <w:r>
        <w:rPr>
          <w:rFonts w:hint="eastAsia"/>
        </w:rPr>
        <w:t>该二级指标下设2个三级指标，即传染病疫情报告及时率和新冠疑似病例检测及</w:t>
      </w:r>
    </w:p>
    <w:p w14:paraId="4A860A03">
      <w:pPr>
        <w:ind w:firstLine="420" w:firstLineChars="200"/>
      </w:pPr>
      <w:r>
        <w:rPr>
          <w:rFonts w:hint="eastAsia"/>
        </w:rPr>
        <w:t>时性。</w:t>
      </w:r>
    </w:p>
    <w:p w14:paraId="7F3BB713">
      <w:pPr>
        <w:ind w:firstLine="420" w:firstLineChars="200"/>
      </w:pPr>
      <w:r>
        <w:rPr>
          <w:rFonts w:hint="eastAsia"/>
        </w:rPr>
        <w:t>（1）传染病疫情报告及时率（满分3分，得3分）。莆田市全市累计报告确诊病例56例，</w:t>
      </w:r>
      <w:r>
        <w:rPr>
          <w:rFonts w:hint="eastAsia"/>
          <w:lang w:eastAsia="zh-CN"/>
        </w:rPr>
        <w:t>已</w:t>
      </w:r>
      <w:r>
        <w:rPr>
          <w:rFonts w:hint="eastAsia"/>
        </w:rPr>
        <w:t>全部上报，而且基本做到检测体温异常者必报。</w:t>
      </w:r>
      <w:r>
        <w:t>在工作管理上做到</w:t>
      </w:r>
      <w:r>
        <w:rPr>
          <w:rFonts w:hint="eastAsia"/>
        </w:rPr>
        <w:t>了</w:t>
      </w:r>
      <w:r>
        <w:t>“1+4”。“1”即一旦发现观察对象有符合疫情相关症状，必须立即报告。“4”即四个立即，立即报告辖区卫生健康部门；辖区卫健部门立即指定专用救护车送至定点医院就诊；医疗机构立即上报疑似病例；医疗机构立即采样送检。</w:t>
      </w:r>
      <w:r>
        <w:rPr>
          <w:rFonts w:hint="eastAsia"/>
        </w:rPr>
        <w:t>因此，实际按规定时间报送完成及时率为100%, 根据评分标准，该项指标满分3分，得3分。</w:t>
      </w:r>
    </w:p>
    <w:p w14:paraId="6C2B3E52">
      <w:pPr>
        <w:ind w:firstLine="420" w:firstLineChars="200"/>
      </w:pPr>
      <w:r>
        <w:rPr>
          <w:rFonts w:hint="eastAsia"/>
        </w:rPr>
        <w:t>（2）新冠疑似病例检测及时性（满分3分，得3分）。该项指标要求新冠肺炎疑似病例检测需在48小时内完成，经过评价小组测算，2020年新冠肺炎疑似病例检测平均时间为32小时，根据评分标准，该项指标满分3分，得3分。</w:t>
      </w:r>
    </w:p>
    <w:p w14:paraId="0CAF0A79">
      <w:pPr>
        <w:ind w:firstLine="420" w:firstLineChars="200"/>
      </w:pPr>
      <w:r>
        <w:rPr>
          <w:rFonts w:hint="eastAsia"/>
        </w:rPr>
        <w:t>（四）项目效益（满分35分，得33.32分）</w:t>
      </w:r>
    </w:p>
    <w:p w14:paraId="03206010">
      <w:pPr>
        <w:ind w:firstLine="420" w:firstLineChars="200"/>
      </w:pPr>
      <w:r>
        <w:rPr>
          <w:rFonts w:hint="eastAsia"/>
        </w:rPr>
        <w:t>该一级指标下设3个二级指标：项目效益、可持续发展和满意度。</w:t>
      </w:r>
    </w:p>
    <w:p w14:paraId="53EA18A0">
      <w:pPr>
        <w:ind w:firstLine="420" w:firstLineChars="200"/>
      </w:pPr>
      <w:r>
        <w:rPr>
          <w:rFonts w:hint="eastAsia"/>
        </w:rPr>
        <w:t>1.项目效益（满分16分，得16分）</w:t>
      </w:r>
    </w:p>
    <w:p w14:paraId="41A2E9D5">
      <w:pPr>
        <w:ind w:firstLine="420" w:firstLineChars="200"/>
      </w:pPr>
      <w:r>
        <w:rPr>
          <w:rFonts w:hint="eastAsia"/>
        </w:rPr>
        <w:t>该二级指标下设个4个三级指标，即可供传染病治疗床位数、患者救治补助覆盖率、隔离点疫情控制情况和有效控制新冠疫情传播。</w:t>
      </w:r>
    </w:p>
    <w:p w14:paraId="4906B634">
      <w:pPr>
        <w:ind w:firstLine="420" w:firstLineChars="200"/>
      </w:pPr>
      <w:r>
        <w:rPr>
          <w:rFonts w:hint="eastAsia"/>
        </w:rPr>
        <w:t>（1）可供传染病治疗床位数（满分4分，得4分）。根据国家发展改革委、国家卫生健康委、国家中医药局制定的《公共卫生防控救治能力建设方案》，参照《综合医院建设标准》《中医医院建设标准》，30万人口以下的县可供传染病治疗床位数不低于20张，30-50万人口的县不低于50张，50-100万人口的县不低于80张，100万以上人口的县不低于100张。参照《传染病医院建设标准》，100万人口以下城市，设置病床60-100张；100-500万人口城市，设置病床100-600张；500万人口以上城市，设置病床不少于600张。综合上述要求，可认为应达到每百万人口设置不少于100张床位。为做好医疗救治工作，莆田市成立了市级医疗救治组和疫情防控工作专家指导组，将全市确诊病例集中至莆田学院附属医院，由市本级负责集中救治，并改造提升莆田学院附属医院肺科病房大楼，用于确诊病例集中救治；确定救治定点医院5所，具备隔离条件床位278张，对发热、咳嗽等症状患者进行定点就诊；设置28个医学观察点，对重点人员按要求就近进行隔离观察。莆田市2020年末常住</w:t>
      </w:r>
      <w:r>
        <w:t>人口数为365.55万人</w:t>
      </w:r>
      <w:r>
        <w:rPr>
          <w:rFonts w:hint="eastAsia"/>
        </w:rPr>
        <w:t>，莆田学院附属医院为莆田市定点救助医院，安排250张病床用于疫情需要，已达到上述建设方案要求。根据评分标准，该项指标可得满分4分。</w:t>
      </w:r>
    </w:p>
    <w:p w14:paraId="052E98A8">
      <w:pPr>
        <w:ind w:firstLine="420" w:firstLineChars="200"/>
      </w:pPr>
      <w:r>
        <w:rPr>
          <w:rFonts w:hint="eastAsia"/>
        </w:rPr>
        <w:t>（2）患者救治补助覆盖率（满分4分，得4分）。莆田市本土确诊56名患者救治均可获得医保缴费外的全额补助，覆盖率达到100%。根据评分标准，该项指标可得满分4分。</w:t>
      </w:r>
    </w:p>
    <w:p w14:paraId="72E38768">
      <w:pPr>
        <w:ind w:firstLine="420" w:firstLineChars="200"/>
      </w:pPr>
      <w:r>
        <w:rPr>
          <w:rFonts w:hint="eastAsia"/>
        </w:rPr>
        <w:t>（3）隔离点疫情控制情况（满分4分，得4分）。“隔离点疫情控制情况”用“感染率＝隔离点发生交叉感染的人员数量／同期隔离点人员总数＊100%”表示，评价小组经过调查得出感染率＝0,根据评分标准，根据评分标准，该项指标可得满分4分。</w:t>
      </w:r>
    </w:p>
    <w:p w14:paraId="6A42B3A6">
      <w:pPr>
        <w:ind w:firstLine="420" w:firstLineChars="200"/>
      </w:pPr>
      <w:r>
        <w:rPr>
          <w:rFonts w:hint="eastAsia"/>
        </w:rPr>
        <w:t>（4）有效控制新冠疫情传播（满分4分，得4分）。自2020年3月7日以来，莆田市全市本土住院病例、确诊病例、疑似病例全部“清零”，莆田市所有地区均已降为低风险地区，并再未成为中高风险地区，新冠疫情传播得到有效控制。新冠疫情防控项目建立了科学、合理、可操作的长效管理制度，并落实了相关人员负责实施，严防新冠疫情发生，切实保障人民群众身体健康和生命安全，保障经济平稳较快发展和社会稳定。根据评分标准，该项指标可得满分4分。</w:t>
      </w:r>
    </w:p>
    <w:p w14:paraId="0539F56F">
      <w:pPr>
        <w:ind w:firstLine="420" w:firstLineChars="200"/>
      </w:pPr>
      <w:r>
        <w:rPr>
          <w:rFonts w:hint="eastAsia"/>
        </w:rPr>
        <w:t>2.可持续发展（满分9分，得9分）该二级指标下设3个三级指标，即核酸检测能力建设、保障防疫物资储备供应和疫情信息及时公开。</w:t>
      </w:r>
    </w:p>
    <w:p w14:paraId="26BD178B">
      <w:pPr>
        <w:ind w:firstLine="420" w:firstLineChars="200"/>
      </w:pPr>
      <w:r>
        <w:rPr>
          <w:rFonts w:hint="eastAsia"/>
        </w:rPr>
        <w:t>（1）核酸检测能力建设（满分4分，得4分）。“核酸检测能力建设”以《进一</w:t>
      </w:r>
    </w:p>
    <w:p w14:paraId="38B1AAC7">
      <w:pPr>
        <w:ind w:firstLine="420" w:firstLineChars="200"/>
      </w:pPr>
      <w:r>
        <w:rPr>
          <w:rFonts w:hint="eastAsia"/>
        </w:rPr>
        <w:t>步推进新冠病毒核酸检测能力建设工作方案》（国办发明电〔2020〕22号）文件要求为目标值。至2020年12月31日，莆田市拥有莆田市疾病预防控制中心、莆田市第一医院、莆田学院附属医院、荔城区疾病预防控制中心、莆田市荔城区医院、莆田市城厢区疾病预防控制中心、莆田市城厢区医院、莆田市安泰医学检验实验室、莆田博奥医学检验实验室、莆田市涵江区疾病预防控制中心、莆田市涵江区医院、仙游县疾病预防控制中心、福建省仙游县总医院、仙游县妇幼保健院、莆田市秀屿区医院等15家新冠病毒核酸检测机构。评价小组经过数据测算，莆田学院附属医院2020年日最大核酸检测量为3000份，市一日最大检测量为1122份。莆田市第一医院作为指定的莆田市城市核酸检测基地建设项目单位，根据国务院应对新冠肺炎疫情联防联控机制有关加快推进新冠病毒核酸检测能力建设工作的有关精神及市委市政府对莆田市新冠疫情秋冬防控工作的部署，占地面积500多平方米，共设置2个大型PCR实验室，实验室面积380平方米，配置荧光定量PCR仪器33台，2台全自动核酸提取仪，10台半自动核酸提取仪及其他医疗设备，严格按照PCR实验室建设标准，于2020年12月25日建成并投入使用，可完成1万人次/8小时的新冠病毒核酸检测工作，大规模检测时期，采用稀释混样检测5合1法，可具备每日检测15万人次的城市检测能力，形成核酸检测平时练兵、战时高效运转的快速反应机制。根据评分标准，该项指标可得满分4分。</w:t>
      </w:r>
    </w:p>
    <w:p w14:paraId="18B02A9F">
      <w:pPr>
        <w:ind w:firstLine="420" w:firstLineChars="200"/>
      </w:pPr>
      <w:r>
        <w:rPr>
          <w:rFonts w:hint="eastAsia"/>
        </w:rPr>
        <w:t>（2）保障防疫物资储备供应（满分3分，得3分）。“保障防疫物资储备供应”指标以《公共卫生防控救治能力建设方案》要求为目标值，确保医疗机构储备质量合格、数量充足的医用口罩、隔离衣、眼罩等防护用品，一般不少于10日用量。疫情防控应急物资资源保障关乎疫情防控工作的有序有力开展，是确保疫情防控顺利开展的重要基础。莆田市卫健委向福建省泉州市医药有限责任公司、莆田市众鞋网络科技有限公司、沈阳众药熙康连锁药店有限公司、莆田仁德医疗器械有限公司城厢分公司、福建省疾控中心、普天医疗器械（福建）有限公司、江西益健隆医疗器械有限公司等购入8个批次总共价值63730元的口罩；向福建春辉服装科技有限公司购入3个批次总共价值165900元的防护服；向莆田市金贝壳电子科技有限公司购入2个批次总共价值23435元的手持红外线测温仪；向福建省医疗器械有限责任公司购入3个批次总共价值37690元的防护目镜；向福建省商务厅支付4万个价值23868.57元的丁腈手套防疫物资款。莆田市目前医疗物资储备基本能够满足满负荷运转30天需求，该项指标可得满分3分。</w:t>
      </w:r>
    </w:p>
    <w:p w14:paraId="0442CBD5">
      <w:pPr>
        <w:ind w:firstLine="420" w:firstLineChars="200"/>
      </w:pPr>
      <w:r>
        <w:rPr>
          <w:rFonts w:hint="eastAsia"/>
        </w:rPr>
        <w:t>（3）疫情信息公开的及时性（满分2分，得2分）。疫情信息及时公开有助于确诊病例密切接触者的发现及公众及时做好防范措施。目前公众可通过莆田市卫健委网站及时获取莆田市截止至一天前的最新疫情数据及流调情况。该项指标得满分2分。</w:t>
      </w:r>
    </w:p>
    <w:p w14:paraId="714FEB6F">
      <w:pPr>
        <w:ind w:firstLine="420" w:firstLineChars="200"/>
      </w:pPr>
      <w:r>
        <w:rPr>
          <w:rFonts w:hint="eastAsia"/>
        </w:rPr>
        <w:t>3.满意度（满分10分，得8.32分）</w:t>
      </w:r>
    </w:p>
    <w:p w14:paraId="6733278F">
      <w:pPr>
        <w:ind w:firstLine="420" w:firstLineChars="200"/>
      </w:pPr>
      <w:r>
        <w:rPr>
          <w:rFonts w:hint="eastAsia"/>
        </w:rPr>
        <w:t>该二级指标下设2个三级指标，即疫情防控一线工作人员满意度和公众满意度。因疫情防控资金服务对象包括医护人员和广大群众，评价小组根据调查对象的不同，通过问卷星通过莆田市卫健委向疫情防控一线工作人员和广大群众发放和回收有效问卷1183份，问卷统计分析报告详见附件2。根据问卷分析结果计算，统计分析结果分别如表4、表5所示。</w:t>
      </w:r>
    </w:p>
    <w:p w14:paraId="5DD346EA">
      <w:pPr>
        <w:ind w:firstLine="420" w:firstLineChars="200"/>
      </w:pPr>
      <w:r>
        <w:rPr>
          <w:rFonts w:hint="eastAsia"/>
        </w:rPr>
        <w:t>（1）疫情防控一线工作人员满意度（满分5分，得3.95分）。</w:t>
      </w:r>
    </w:p>
    <w:p w14:paraId="3D7C9403">
      <w:pPr>
        <w:ind w:firstLine="420" w:firstLineChars="200"/>
      </w:pPr>
      <w:r>
        <w:rPr>
          <w:rFonts w:hint="eastAsia"/>
        </w:rPr>
        <w:t>问卷第6题 作为疫情防控一线工作人员，以下方面您的满意程度是：[矩阵单选题]</w:t>
      </w:r>
    </w:p>
    <w:p w14:paraId="5BD591E7">
      <w:pPr>
        <w:ind w:firstLine="420" w:firstLineChars="200"/>
      </w:pPr>
      <w:r>
        <w:rPr>
          <w:rFonts w:hint="eastAsia"/>
        </w:rPr>
        <w:t>疫情防控一线工作人员满意度评分说明。疫情防控一线工作人员满意度得分=本指标得分×</w:t>
      </w:r>
      <w:r>
        <w:rPr>
          <w:rFonts w:hint="eastAsia"/>
          <w:position w:val="-8"/>
        </w:rPr>
        <w:object>
          <v:shape id="_x0000_i1027" o:spt="75" type="#_x0000_t75" style="height:15pt;width:13pt;" o:ole="t" filled="f" o:preferrelative="t" stroked="f" coordsize="21600,21600">
            <v:path/>
            <v:fill on="f" focussize="0,0"/>
            <v:stroke on="f" joinstyle="miter"/>
            <v:imagedata r:id="rId8" o:title=""/>
            <o:lock v:ext="edit" aspectratio="t"/>
            <w10:wrap type="none"/>
            <w10:anchorlock/>
          </v:shape>
          <o:OLEObject Type="Embed" ProgID="Equation.3" ShapeID="_x0000_i1027" DrawAspect="Content" ObjectID="_1468075727" r:id="rId10">
            <o:LockedField>false</o:LockedField>
          </o:OLEObject>
        </w:object>
      </w:r>
      <w:r>
        <w:rPr>
          <w:rFonts w:hint="eastAsia"/>
        </w:rPr>
        <w:t>对应疫情防控一线工作人员满意度百分比。满意度百分比借用“约当产量法”计算。疫情防控一线工作人员满意度=</w:t>
      </w:r>
      <w:r>
        <w:rPr>
          <w:rFonts w:hint="eastAsia"/>
          <w:position w:val="-8"/>
        </w:rPr>
        <w:object>
          <v:shape id="_x0000_i1028" o:spt="75" type="#_x0000_t75" style="height:15pt;width:13pt;" o:ole="t" filled="f" o:preferrelative="t" stroked="f" coordsize="21600,21600">
            <v:path/>
            <v:fill on="f" focussize="0,0"/>
            <v:stroke on="f" joinstyle="miter"/>
            <v:imagedata r:id="rId8" o:title=""/>
            <o:lock v:ext="edit" aspectratio="t"/>
            <w10:wrap type="none"/>
            <w10:anchorlock/>
          </v:shape>
          <o:OLEObject Type="Embed" ProgID="Equation.3" ShapeID="_x0000_i1028" DrawAspect="Content" ObjectID="_1468075728" r:id="rId11">
            <o:LockedField>false</o:LockedField>
          </o:OLEObject>
        </w:object>
      </w:r>
      <w:r>
        <w:rPr>
          <w:rFonts w:hint="eastAsia"/>
        </w:rPr>
        <w:t>（选项很满意%×100%+选项满意%×75%+选项一般%×50%+选项不满意%×25%+选项很不满意×0%）/有效题目数。通过计算疫情防控一线工作人员满意度为78.91%，得分3.95分，具体如表4:</w:t>
      </w:r>
    </w:p>
    <w:p w14:paraId="2A02D629">
      <w:pPr>
        <w:ind w:firstLine="420" w:firstLineChars="200"/>
      </w:pPr>
      <w:r>
        <w:rPr>
          <w:rFonts w:hint="eastAsia"/>
        </w:rPr>
        <w:t>表4 疫情防控一线工作人员满意度评分表</w:t>
      </w:r>
    </w:p>
    <w:tbl>
      <w:tblPr>
        <w:tblStyle w:val="17"/>
        <w:tblW w:w="9816" w:type="dxa"/>
        <w:tblInd w:w="-407"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
      <w:tblGrid>
        <w:gridCol w:w="3024"/>
        <w:gridCol w:w="970"/>
        <w:gridCol w:w="970"/>
        <w:gridCol w:w="970"/>
        <w:gridCol w:w="970"/>
        <w:gridCol w:w="970"/>
        <w:gridCol w:w="970"/>
        <w:gridCol w:w="972"/>
      </w:tblGrid>
      <w:tr w14:paraId="7389FEEC">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701" w:hRule="atLeast"/>
        </w:trPr>
        <w:tc>
          <w:tcPr>
            <w:tcW w:w="3024" w:type="dxa"/>
            <w:tcBorders>
              <w:top w:val="single" w:color="auto" w:sz="4" w:space="0"/>
              <w:left w:val="single" w:color="auto" w:sz="4" w:space="0"/>
              <w:bottom w:val="single" w:color="auto" w:sz="4" w:space="0"/>
              <w:right w:val="single" w:color="auto" w:sz="4" w:space="0"/>
            </w:tcBorders>
            <w:shd w:val="clear" w:color="auto" w:fill="FFFFFF"/>
            <w:vAlign w:val="center"/>
          </w:tcPr>
          <w:p w14:paraId="7A7A892C">
            <w:pPr>
              <w:spacing w:line="240" w:lineRule="exact"/>
            </w:pPr>
            <w:r>
              <w:rPr>
                <w:rFonts w:hint="eastAsia"/>
              </w:rPr>
              <w:t>题目\选项</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34C4D5B6">
            <w:pPr>
              <w:spacing w:line="240" w:lineRule="exact"/>
              <w:ind w:firstLine="420" w:firstLineChars="200"/>
            </w:pPr>
            <w:r>
              <w:rPr>
                <w:rFonts w:hint="eastAsia"/>
              </w:rPr>
              <w:t>很不</w:t>
            </w:r>
          </w:p>
          <w:p w14:paraId="2B7F47F5">
            <w:pPr>
              <w:spacing w:line="240" w:lineRule="exact"/>
              <w:ind w:firstLine="420" w:firstLineChars="200"/>
            </w:pPr>
            <w:r>
              <w:rPr>
                <w:rFonts w:hint="eastAsia"/>
              </w:rPr>
              <w:t>满意</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30C9C559">
            <w:pPr>
              <w:spacing w:line="240" w:lineRule="exact"/>
            </w:pPr>
            <w:r>
              <w:rPr>
                <w:rFonts w:hint="eastAsia"/>
              </w:rPr>
              <w:t>不满意</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1EDFE167">
            <w:pPr>
              <w:spacing w:line="240" w:lineRule="exact"/>
            </w:pPr>
            <w:r>
              <w:rPr>
                <w:rFonts w:hint="eastAsia"/>
              </w:rPr>
              <w:t>一般</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333E9C33">
            <w:pPr>
              <w:spacing w:line="240" w:lineRule="exact"/>
            </w:pPr>
            <w:r>
              <w:rPr>
                <w:rFonts w:hint="eastAsia"/>
              </w:rPr>
              <w:t>满意</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599C6EDA">
            <w:pPr>
              <w:spacing w:line="240" w:lineRule="exact"/>
            </w:pPr>
            <w:r>
              <w:rPr>
                <w:rFonts w:hint="eastAsia"/>
              </w:rPr>
              <w:t>很满意</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068AE497">
            <w:pPr>
              <w:spacing w:line="240" w:lineRule="exact"/>
            </w:pPr>
            <w:r>
              <w:rPr>
                <w:rFonts w:hint="eastAsia"/>
              </w:rPr>
              <w:t>满意度</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122A0C49">
            <w:pPr>
              <w:spacing w:line="240" w:lineRule="exact"/>
            </w:pPr>
            <w:r>
              <w:rPr>
                <w:rFonts w:hint="eastAsia"/>
              </w:rPr>
              <w:t>得分</w:t>
            </w:r>
          </w:p>
        </w:tc>
      </w:tr>
      <w:tr w14:paraId="16D0C58F">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024" w:type="dxa"/>
            <w:tcBorders>
              <w:top w:val="single" w:color="auto" w:sz="4" w:space="0"/>
              <w:left w:val="single" w:color="auto" w:sz="4" w:space="0"/>
              <w:bottom w:val="single" w:color="auto" w:sz="4" w:space="0"/>
              <w:right w:val="single" w:color="auto" w:sz="4" w:space="0"/>
            </w:tcBorders>
            <w:shd w:val="clear" w:color="auto" w:fill="CCCCCC"/>
            <w:vAlign w:val="center"/>
          </w:tcPr>
          <w:p w14:paraId="17B7D62D">
            <w:pPr>
              <w:spacing w:line="240" w:lineRule="exact"/>
            </w:pPr>
            <w:r>
              <w:rPr>
                <w:rFonts w:hint="eastAsia"/>
              </w:rPr>
              <w:t>您对新冠疫情防治工作专项补助资金政策是否满意？</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7BDC8440">
            <w:pPr>
              <w:spacing w:line="240" w:lineRule="exact"/>
              <w:ind w:firstLine="420" w:firstLineChars="200"/>
            </w:pPr>
            <w:r>
              <w:t>7.79%</w:t>
            </w:r>
          </w:p>
          <w:p w14:paraId="63B94382">
            <w:pPr>
              <w:spacing w:line="240" w:lineRule="exact"/>
              <w:ind w:firstLine="420" w:firstLineChars="200"/>
            </w:pPr>
            <w:r>
              <w:t>（70）</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51CBCC2B">
            <w:pPr>
              <w:spacing w:line="240" w:lineRule="exact"/>
              <w:ind w:firstLine="420" w:firstLineChars="200"/>
            </w:pPr>
            <w:r>
              <w:t>2.22%</w:t>
            </w:r>
          </w:p>
          <w:p w14:paraId="72D33C0D">
            <w:pPr>
              <w:spacing w:line="240" w:lineRule="exact"/>
              <w:ind w:firstLine="420" w:firstLineChars="200"/>
            </w:pPr>
            <w:r>
              <w:t>（20）</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22DB6CB5">
            <w:pPr>
              <w:spacing w:line="240" w:lineRule="exact"/>
              <w:ind w:firstLine="420" w:firstLineChars="200"/>
            </w:pPr>
            <w:r>
              <w:t>15.02%</w:t>
            </w:r>
          </w:p>
          <w:p w14:paraId="56E38608">
            <w:pPr>
              <w:spacing w:line="240" w:lineRule="exact"/>
              <w:ind w:firstLine="420" w:firstLineChars="200"/>
            </w:pPr>
            <w:r>
              <w:t>（135）</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7D90046D">
            <w:pPr>
              <w:spacing w:line="240" w:lineRule="exact"/>
              <w:ind w:firstLine="420" w:firstLineChars="200"/>
            </w:pPr>
            <w:r>
              <w:t>27.25%</w:t>
            </w:r>
          </w:p>
          <w:p w14:paraId="2C30AE77">
            <w:pPr>
              <w:spacing w:line="240" w:lineRule="exact"/>
              <w:ind w:firstLine="420" w:firstLineChars="200"/>
            </w:pPr>
            <w:r>
              <w:t>（245）</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6952005A">
            <w:pPr>
              <w:spacing w:line="240" w:lineRule="exact"/>
              <w:ind w:firstLine="420" w:firstLineChars="200"/>
            </w:pPr>
            <w:r>
              <w:t>47.72%</w:t>
            </w:r>
          </w:p>
          <w:p w14:paraId="7702A169">
            <w:pPr>
              <w:spacing w:line="240" w:lineRule="exact"/>
              <w:ind w:firstLine="420" w:firstLineChars="200"/>
            </w:pPr>
            <w:r>
              <w:t>（429）</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7E81BF0A">
            <w:pPr>
              <w:spacing w:line="240" w:lineRule="exact"/>
            </w:pPr>
            <w:r>
              <w:t>76.23%</w:t>
            </w:r>
          </w:p>
        </w:tc>
        <w:tc>
          <w:tcPr>
            <w:tcW w:w="972" w:type="dxa"/>
            <w:tcBorders>
              <w:top w:val="single" w:color="auto" w:sz="4" w:space="0"/>
              <w:left w:val="single" w:color="auto" w:sz="4" w:space="0"/>
              <w:bottom w:val="single" w:color="auto" w:sz="4" w:space="0"/>
              <w:right w:val="single" w:color="auto" w:sz="4" w:space="0"/>
            </w:tcBorders>
            <w:shd w:val="clear" w:color="auto" w:fill="CCCCCC"/>
            <w:vAlign w:val="center"/>
          </w:tcPr>
          <w:p w14:paraId="769F6957">
            <w:pPr>
              <w:spacing w:line="240" w:lineRule="exact"/>
            </w:pPr>
            <w:r>
              <w:t>0.76</w:t>
            </w:r>
          </w:p>
        </w:tc>
      </w:tr>
      <w:tr w14:paraId="77C2F710">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024" w:type="dxa"/>
            <w:tcBorders>
              <w:top w:val="single" w:color="auto" w:sz="4" w:space="0"/>
              <w:left w:val="single" w:color="auto" w:sz="4" w:space="0"/>
              <w:bottom w:val="single" w:color="auto" w:sz="4" w:space="0"/>
              <w:right w:val="single" w:color="auto" w:sz="4" w:space="0"/>
            </w:tcBorders>
            <w:shd w:val="clear" w:color="auto" w:fill="FFFFFF"/>
            <w:vAlign w:val="center"/>
          </w:tcPr>
          <w:p w14:paraId="66AA687E">
            <w:pPr>
              <w:spacing w:line="240" w:lineRule="exact"/>
            </w:pPr>
            <w:r>
              <w:rPr>
                <w:rFonts w:hint="eastAsia"/>
              </w:rPr>
              <w:t>您对当地政府及相关医疗卫生单位配齐防护物资、防护设备和防护用品调配是否满意？</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63C9A719">
            <w:pPr>
              <w:spacing w:line="240" w:lineRule="exact"/>
              <w:ind w:firstLine="420" w:firstLineChars="200"/>
            </w:pPr>
            <w:r>
              <w:t>6.9%)</w:t>
            </w:r>
          </w:p>
          <w:p w14:paraId="69B7997A">
            <w:pPr>
              <w:spacing w:line="240" w:lineRule="exact"/>
              <w:ind w:firstLine="420" w:firstLineChars="200"/>
            </w:pPr>
            <w:r>
              <w:t>（62）</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73090CF1">
            <w:pPr>
              <w:spacing w:line="240" w:lineRule="exact"/>
              <w:ind w:firstLine="420" w:firstLineChars="200"/>
            </w:pPr>
            <w:r>
              <w:t>0.78%</w:t>
            </w:r>
          </w:p>
          <w:p w14:paraId="1078DBAD">
            <w:pPr>
              <w:spacing w:line="240" w:lineRule="exact"/>
              <w:ind w:firstLine="420" w:firstLineChars="200"/>
            </w:pPr>
            <w:r>
              <w:t>（7）</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4B81B628">
            <w:pPr>
              <w:spacing w:line="240" w:lineRule="exact"/>
              <w:ind w:firstLine="420" w:firstLineChars="200"/>
            </w:pPr>
            <w:r>
              <w:t>6.67%</w:t>
            </w:r>
          </w:p>
          <w:p w14:paraId="36989431">
            <w:pPr>
              <w:spacing w:line="240" w:lineRule="exact"/>
              <w:ind w:firstLine="420" w:firstLineChars="200"/>
            </w:pPr>
            <w:r>
              <w:t>（60）</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7A876A80">
            <w:pPr>
              <w:spacing w:line="240" w:lineRule="exact"/>
              <w:ind w:firstLine="420" w:firstLineChars="200"/>
            </w:pPr>
            <w:r>
              <w:t>32.37%</w:t>
            </w:r>
          </w:p>
          <w:p w14:paraId="5D731104">
            <w:pPr>
              <w:spacing w:line="240" w:lineRule="exact"/>
              <w:ind w:firstLine="420" w:firstLineChars="200"/>
            </w:pPr>
            <w:r>
              <w:t>（291）</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3DDB9DDD">
            <w:pPr>
              <w:spacing w:line="240" w:lineRule="exact"/>
              <w:ind w:firstLine="420" w:firstLineChars="200"/>
            </w:pPr>
            <w:r>
              <w:t>53.28%</w:t>
            </w:r>
          </w:p>
          <w:p w14:paraId="6C0C7A9F">
            <w:pPr>
              <w:spacing w:line="240" w:lineRule="exact"/>
              <w:ind w:firstLine="420" w:firstLineChars="200"/>
            </w:pPr>
            <w:r>
              <w:t>（479）</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1550CF3A">
            <w:pPr>
              <w:spacing w:line="240" w:lineRule="exact"/>
            </w:pPr>
            <w:r>
              <w:t>81.09%</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3D056C14">
            <w:pPr>
              <w:spacing w:line="240" w:lineRule="exact"/>
            </w:pPr>
            <w:r>
              <w:t>0.81</w:t>
            </w:r>
          </w:p>
        </w:tc>
      </w:tr>
      <w:tr w14:paraId="5E1AFF5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024" w:type="dxa"/>
            <w:tcBorders>
              <w:top w:val="single" w:color="auto" w:sz="4" w:space="0"/>
              <w:left w:val="single" w:color="auto" w:sz="4" w:space="0"/>
              <w:bottom w:val="single" w:color="auto" w:sz="4" w:space="0"/>
              <w:right w:val="single" w:color="auto" w:sz="4" w:space="0"/>
            </w:tcBorders>
            <w:shd w:val="clear" w:color="auto" w:fill="CCCCCC"/>
            <w:vAlign w:val="center"/>
          </w:tcPr>
          <w:p w14:paraId="6BEEA7CC">
            <w:pPr>
              <w:spacing w:line="240" w:lineRule="exact"/>
            </w:pPr>
            <w:r>
              <w:rPr>
                <w:rFonts w:hint="eastAsia"/>
              </w:rPr>
              <w:t>您对疫情期间工作的安排或应对情况满意度如何？</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6DAA4A50">
            <w:pPr>
              <w:spacing w:line="240" w:lineRule="exact"/>
              <w:ind w:firstLine="420" w:firstLineChars="200"/>
            </w:pPr>
            <w:r>
              <w:t>6.56%</w:t>
            </w:r>
          </w:p>
          <w:p w14:paraId="7F992084">
            <w:pPr>
              <w:spacing w:line="240" w:lineRule="exact"/>
              <w:ind w:firstLine="420" w:firstLineChars="200"/>
            </w:pPr>
            <w:r>
              <w:t>（59）</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3FC4E467">
            <w:pPr>
              <w:spacing w:line="240" w:lineRule="exact"/>
              <w:ind w:firstLine="420" w:firstLineChars="200"/>
            </w:pPr>
            <w:r>
              <w:t>1.22%</w:t>
            </w:r>
          </w:p>
          <w:p w14:paraId="34C68B57">
            <w:pPr>
              <w:spacing w:line="240" w:lineRule="exact"/>
              <w:ind w:firstLine="420" w:firstLineChars="200"/>
            </w:pPr>
            <w:r>
              <w:t>（11）</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7B905098">
            <w:pPr>
              <w:spacing w:line="240" w:lineRule="exact"/>
              <w:ind w:firstLine="420" w:firstLineChars="200"/>
            </w:pPr>
            <w:r>
              <w:t>6.34%</w:t>
            </w:r>
          </w:p>
          <w:p w14:paraId="56F20FD1">
            <w:pPr>
              <w:spacing w:line="240" w:lineRule="exact"/>
              <w:ind w:firstLine="420" w:firstLineChars="200"/>
            </w:pPr>
            <w:r>
              <w:t>（57）</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6055FA6F">
            <w:pPr>
              <w:spacing w:line="240" w:lineRule="exact"/>
              <w:ind w:firstLine="420" w:firstLineChars="200"/>
            </w:pPr>
            <w:r>
              <w:t>33.48%</w:t>
            </w:r>
          </w:p>
          <w:p w14:paraId="393E08E9">
            <w:pPr>
              <w:spacing w:line="240" w:lineRule="exact"/>
              <w:ind w:firstLine="420" w:firstLineChars="200"/>
            </w:pPr>
            <w:r>
              <w:t>（301）</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6645C6A8">
            <w:pPr>
              <w:spacing w:line="240" w:lineRule="exact"/>
              <w:ind w:firstLine="420" w:firstLineChars="200"/>
            </w:pPr>
            <w:r>
              <w:t>52.39%</w:t>
            </w:r>
          </w:p>
          <w:p w14:paraId="31769452">
            <w:pPr>
              <w:spacing w:line="240" w:lineRule="exact"/>
              <w:ind w:firstLine="420" w:firstLineChars="200"/>
            </w:pPr>
            <w:r>
              <w:t>（471）</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338BE212">
            <w:pPr>
              <w:spacing w:line="240" w:lineRule="exact"/>
            </w:pPr>
            <w:r>
              <w:t>80.98%</w:t>
            </w:r>
          </w:p>
        </w:tc>
        <w:tc>
          <w:tcPr>
            <w:tcW w:w="972" w:type="dxa"/>
            <w:tcBorders>
              <w:top w:val="single" w:color="auto" w:sz="4" w:space="0"/>
              <w:left w:val="single" w:color="auto" w:sz="4" w:space="0"/>
              <w:bottom w:val="single" w:color="auto" w:sz="4" w:space="0"/>
              <w:right w:val="single" w:color="auto" w:sz="4" w:space="0"/>
            </w:tcBorders>
            <w:shd w:val="clear" w:color="auto" w:fill="CCCCCC"/>
            <w:vAlign w:val="center"/>
          </w:tcPr>
          <w:p w14:paraId="409870F0">
            <w:pPr>
              <w:spacing w:line="240" w:lineRule="exact"/>
            </w:pPr>
            <w:r>
              <w:t>0.81</w:t>
            </w:r>
          </w:p>
        </w:tc>
      </w:tr>
      <w:tr w14:paraId="0297E3FB">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024" w:type="dxa"/>
            <w:tcBorders>
              <w:top w:val="single" w:color="auto" w:sz="4" w:space="0"/>
              <w:left w:val="single" w:color="auto" w:sz="4" w:space="0"/>
              <w:bottom w:val="single" w:color="auto" w:sz="4" w:space="0"/>
              <w:right w:val="single" w:color="auto" w:sz="4" w:space="0"/>
            </w:tcBorders>
            <w:shd w:val="clear" w:color="auto" w:fill="FFFFFF"/>
            <w:vAlign w:val="center"/>
          </w:tcPr>
          <w:p w14:paraId="3016EB5F">
            <w:pPr>
              <w:spacing w:line="240" w:lineRule="exact"/>
            </w:pPr>
            <w:r>
              <w:rPr>
                <w:rFonts w:hint="eastAsia"/>
              </w:rPr>
              <w:t>您对抗疫资金的分配使用是否满意？</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7741CD12">
            <w:pPr>
              <w:spacing w:line="240" w:lineRule="exact"/>
              <w:ind w:firstLine="420" w:firstLineChars="200"/>
            </w:pPr>
            <w:r>
              <w:t>7.45%</w:t>
            </w:r>
          </w:p>
          <w:p w14:paraId="10320033">
            <w:pPr>
              <w:spacing w:line="240" w:lineRule="exact"/>
              <w:ind w:firstLine="420" w:firstLineChars="200"/>
            </w:pPr>
            <w:r>
              <w:t>（67）</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3CF1786F">
            <w:pPr>
              <w:spacing w:line="240" w:lineRule="exact"/>
              <w:ind w:firstLine="420" w:firstLineChars="200"/>
            </w:pPr>
            <w:r>
              <w:t>1.89%</w:t>
            </w:r>
          </w:p>
          <w:p w14:paraId="166C24D1">
            <w:pPr>
              <w:spacing w:line="240" w:lineRule="exact"/>
              <w:ind w:firstLine="420" w:firstLineChars="200"/>
            </w:pPr>
            <w:r>
              <w:t>（17）</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75ABABFE">
            <w:pPr>
              <w:spacing w:line="240" w:lineRule="exact"/>
              <w:ind w:firstLine="420" w:firstLineChars="200"/>
            </w:pPr>
            <w:r>
              <w:t>13.01%</w:t>
            </w:r>
          </w:p>
          <w:p w14:paraId="42F31CFC">
            <w:pPr>
              <w:spacing w:line="240" w:lineRule="exact"/>
              <w:ind w:firstLine="420" w:firstLineChars="200"/>
            </w:pPr>
            <w:r>
              <w:t>（117）</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4DD82131">
            <w:pPr>
              <w:spacing w:line="240" w:lineRule="exact"/>
              <w:ind w:firstLine="420" w:firstLineChars="200"/>
            </w:pPr>
            <w:r>
              <w:t>29.14%</w:t>
            </w:r>
          </w:p>
          <w:p w14:paraId="4C820290">
            <w:pPr>
              <w:spacing w:line="240" w:lineRule="exact"/>
              <w:ind w:firstLine="420" w:firstLineChars="200"/>
            </w:pPr>
            <w:r>
              <w:t>（262）</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173260FC">
            <w:pPr>
              <w:spacing w:line="240" w:lineRule="exact"/>
              <w:ind w:firstLine="420" w:firstLineChars="200"/>
            </w:pPr>
            <w:r>
              <w:t>48.5%</w:t>
            </w:r>
          </w:p>
          <w:p w14:paraId="104183AD">
            <w:pPr>
              <w:spacing w:line="240" w:lineRule="exact"/>
              <w:ind w:firstLine="420" w:firstLineChars="200"/>
            </w:pPr>
            <w:r>
              <w:t>（436）</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3DB9B738">
            <w:pPr>
              <w:spacing w:line="240" w:lineRule="exact"/>
            </w:pPr>
            <w:r>
              <w:t>77.33%</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159E699C">
            <w:pPr>
              <w:spacing w:line="240" w:lineRule="exact"/>
            </w:pPr>
            <w:r>
              <w:t>0.77</w:t>
            </w:r>
          </w:p>
        </w:tc>
      </w:tr>
      <w:tr w14:paraId="7773EDE3">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024" w:type="dxa"/>
            <w:tcBorders>
              <w:top w:val="single" w:color="auto" w:sz="4" w:space="0"/>
              <w:left w:val="single" w:color="auto" w:sz="4" w:space="0"/>
              <w:bottom w:val="single" w:color="auto" w:sz="4" w:space="0"/>
              <w:right w:val="single" w:color="auto" w:sz="4" w:space="0"/>
            </w:tcBorders>
            <w:shd w:val="clear" w:color="auto" w:fill="CCCCCC"/>
            <w:vAlign w:val="center"/>
          </w:tcPr>
          <w:p w14:paraId="08779417">
            <w:pPr>
              <w:spacing w:line="240" w:lineRule="exact"/>
            </w:pPr>
            <w:r>
              <w:rPr>
                <w:rFonts w:hint="eastAsia"/>
              </w:rPr>
              <w:t>您对疫情防控中的个人权益保障方面是否满意？</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0AFAC105">
            <w:pPr>
              <w:spacing w:line="240" w:lineRule="exact"/>
              <w:ind w:firstLine="420" w:firstLineChars="200"/>
            </w:pPr>
            <w:r>
              <w:t>6.79%</w:t>
            </w:r>
          </w:p>
          <w:p w14:paraId="512A49EB">
            <w:pPr>
              <w:spacing w:line="240" w:lineRule="exact"/>
              <w:ind w:firstLine="420" w:firstLineChars="200"/>
            </w:pPr>
            <w:r>
              <w:t>（61）</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2DA91236">
            <w:pPr>
              <w:spacing w:line="240" w:lineRule="exact"/>
              <w:ind w:firstLine="420" w:firstLineChars="200"/>
            </w:pPr>
            <w:r>
              <w:t>2.34%</w:t>
            </w:r>
          </w:p>
          <w:p w14:paraId="6FA8075D">
            <w:pPr>
              <w:spacing w:line="240" w:lineRule="exact"/>
              <w:ind w:firstLine="420" w:firstLineChars="200"/>
            </w:pPr>
            <w:r>
              <w:t>（21）</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7B4A9E33">
            <w:pPr>
              <w:spacing w:line="240" w:lineRule="exact"/>
              <w:ind w:firstLine="420" w:firstLineChars="200"/>
            </w:pPr>
            <w:r>
              <w:t>9.79%</w:t>
            </w:r>
          </w:p>
          <w:p w14:paraId="40DD4639">
            <w:pPr>
              <w:spacing w:line="240" w:lineRule="exact"/>
              <w:ind w:firstLine="420" w:firstLineChars="200"/>
            </w:pPr>
            <w:r>
              <w:t>（88）</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52605210">
            <w:pPr>
              <w:spacing w:line="240" w:lineRule="exact"/>
              <w:ind w:firstLine="420" w:firstLineChars="200"/>
            </w:pPr>
            <w:r>
              <w:t>30.70%</w:t>
            </w:r>
          </w:p>
          <w:p w14:paraId="3E495389">
            <w:pPr>
              <w:spacing w:line="240" w:lineRule="exact"/>
              <w:ind w:firstLine="420" w:firstLineChars="200"/>
            </w:pPr>
            <w:r>
              <w:t>（276）</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7CB9242E">
            <w:pPr>
              <w:spacing w:line="240" w:lineRule="exact"/>
              <w:ind w:firstLine="420" w:firstLineChars="200"/>
            </w:pPr>
            <w:r>
              <w:t>50.39%</w:t>
            </w:r>
          </w:p>
          <w:p w14:paraId="1BB40065">
            <w:pPr>
              <w:spacing w:line="240" w:lineRule="exact"/>
              <w:ind w:firstLine="420" w:firstLineChars="200"/>
            </w:pPr>
            <w:r>
              <w:t>（453）</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14:paraId="47DA976C">
            <w:pPr>
              <w:spacing w:line="240" w:lineRule="exact"/>
            </w:pPr>
            <w:r>
              <w:t>78.90%</w:t>
            </w:r>
          </w:p>
        </w:tc>
        <w:tc>
          <w:tcPr>
            <w:tcW w:w="972" w:type="dxa"/>
            <w:tcBorders>
              <w:top w:val="single" w:color="auto" w:sz="4" w:space="0"/>
              <w:left w:val="single" w:color="auto" w:sz="4" w:space="0"/>
              <w:bottom w:val="single" w:color="auto" w:sz="4" w:space="0"/>
              <w:right w:val="single" w:color="auto" w:sz="4" w:space="0"/>
            </w:tcBorders>
            <w:shd w:val="clear" w:color="auto" w:fill="CCCCCC"/>
            <w:vAlign w:val="center"/>
          </w:tcPr>
          <w:p w14:paraId="4AC95D96">
            <w:pPr>
              <w:spacing w:line="240" w:lineRule="exact"/>
            </w:pPr>
            <w:r>
              <w:t>0.79</w:t>
            </w:r>
          </w:p>
        </w:tc>
      </w:tr>
      <w:tr w14:paraId="034594F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7874"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552E28C">
            <w:pPr>
              <w:spacing w:line="240" w:lineRule="exact"/>
            </w:pPr>
            <w:r>
              <w:t>合计</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14:paraId="5D81BAD4">
            <w:pPr>
              <w:spacing w:line="240" w:lineRule="exact"/>
            </w:pPr>
            <w:r>
              <w:t>78.91%</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1F185778">
            <w:pPr>
              <w:spacing w:line="240" w:lineRule="exact"/>
            </w:pPr>
            <w:r>
              <w:t>3.95</w:t>
            </w:r>
          </w:p>
        </w:tc>
      </w:tr>
    </w:tbl>
    <w:p w14:paraId="201EED31">
      <w:pPr>
        <w:ind w:firstLine="420" w:firstLineChars="200"/>
      </w:pPr>
    </w:p>
    <w:p w14:paraId="09D130DC">
      <w:pPr>
        <w:ind w:firstLine="420" w:firstLineChars="200"/>
      </w:pPr>
      <w:r>
        <w:rPr>
          <w:rFonts w:hint="eastAsia"/>
        </w:rPr>
        <w:t>图1 疫情防控一线工作人员满意度</w:t>
      </w:r>
    </w:p>
    <w:p w14:paraId="640882F3">
      <w:pPr>
        <w:ind w:firstLine="420" w:firstLineChars="200"/>
      </w:pPr>
      <w:r>
        <w:drawing>
          <wp:anchor distT="0" distB="0" distL="114300" distR="114300" simplePos="0" relativeHeight="251661312" behindDoc="0" locked="0" layoutInCell="1" allowOverlap="1">
            <wp:simplePos x="0" y="0"/>
            <wp:positionH relativeFrom="column">
              <wp:posOffset>131445</wp:posOffset>
            </wp:positionH>
            <wp:positionV relativeFrom="paragraph">
              <wp:posOffset>103505</wp:posOffset>
            </wp:positionV>
            <wp:extent cx="5225415" cy="2178050"/>
            <wp:effectExtent l="4445" t="4445" r="12700" b="12065"/>
            <wp:wrapNone/>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575FB25">
      <w:pPr>
        <w:ind w:firstLine="420" w:firstLineChars="200"/>
      </w:pPr>
    </w:p>
    <w:p w14:paraId="28848B8E">
      <w:pPr>
        <w:ind w:firstLine="420" w:firstLineChars="200"/>
      </w:pPr>
    </w:p>
    <w:p w14:paraId="0366B33E">
      <w:pPr>
        <w:ind w:firstLine="420" w:firstLineChars="200"/>
      </w:pPr>
    </w:p>
    <w:p w14:paraId="1E850BF9">
      <w:pPr>
        <w:ind w:firstLine="420" w:firstLineChars="200"/>
      </w:pPr>
    </w:p>
    <w:p w14:paraId="0D1D3B85">
      <w:pPr>
        <w:ind w:firstLine="420" w:firstLineChars="200"/>
      </w:pPr>
    </w:p>
    <w:p w14:paraId="1A3E98A6">
      <w:pPr>
        <w:ind w:firstLine="420" w:firstLineChars="200"/>
      </w:pPr>
    </w:p>
    <w:p w14:paraId="37036F5D">
      <w:pPr>
        <w:ind w:firstLine="420" w:firstLineChars="200"/>
      </w:pPr>
    </w:p>
    <w:p w14:paraId="5756F6B8">
      <w:pPr>
        <w:ind w:firstLine="420" w:firstLineChars="200"/>
      </w:pPr>
    </w:p>
    <w:p w14:paraId="6EA0A039">
      <w:pPr>
        <w:ind w:firstLine="420" w:firstLineChars="200"/>
      </w:pPr>
    </w:p>
    <w:p w14:paraId="0199F2BE">
      <w:pPr>
        <w:ind w:firstLine="420" w:firstLineChars="200"/>
      </w:pPr>
    </w:p>
    <w:p w14:paraId="0038F51C">
      <w:pPr>
        <w:ind w:firstLine="420" w:firstLineChars="200"/>
      </w:pPr>
    </w:p>
    <w:p w14:paraId="5955013A">
      <w:pPr>
        <w:ind w:firstLine="420" w:firstLineChars="200"/>
      </w:pPr>
    </w:p>
    <w:p w14:paraId="2CD92640">
      <w:pPr>
        <w:ind w:firstLine="420" w:firstLineChars="200"/>
      </w:pPr>
      <w:r>
        <w:rPr>
          <w:rFonts w:hint="eastAsia"/>
        </w:rPr>
        <w:t>（2）公众满意度（满分5分，得4.37分）。</w:t>
      </w:r>
    </w:p>
    <w:p w14:paraId="18FE54AA">
      <w:pPr>
        <w:ind w:firstLine="420" w:firstLineChars="200"/>
      </w:pPr>
      <w:r>
        <w:rPr>
          <w:rFonts w:hint="eastAsia"/>
        </w:rPr>
        <w:t>问卷第7题 作为公众，以下方面您的满意程度是：[矩阵单选题]</w:t>
      </w:r>
    </w:p>
    <w:p w14:paraId="587D6FE8">
      <w:pPr>
        <w:ind w:firstLine="420" w:firstLineChars="200"/>
      </w:pPr>
      <w:r>
        <w:rPr>
          <w:rFonts w:hint="eastAsia"/>
        </w:rPr>
        <w:t>公众满意度评分说明。公众满意度得分=本指标得分×</w:t>
      </w:r>
      <w:r>
        <w:rPr>
          <w:rFonts w:hint="eastAsia"/>
          <w:position w:val="-8"/>
        </w:rPr>
        <w:object>
          <v:shape id="_x0000_i1029" o:spt="75" type="#_x0000_t75" style="height:15pt;width:13pt;" o:ole="t" filled="f" o:preferrelative="t" stroked="f" coordsize="21600,21600">
            <v:path/>
            <v:fill on="f" focussize="0,0"/>
            <v:stroke on="f" joinstyle="miter"/>
            <v:imagedata r:id="rId8" o:title=""/>
            <o:lock v:ext="edit" aspectratio="t"/>
            <w10:wrap type="none"/>
            <w10:anchorlock/>
          </v:shape>
          <o:OLEObject Type="Embed" ProgID="Equation.3" ShapeID="_x0000_i1029" DrawAspect="Content" ObjectID="_1468075729" r:id="rId13">
            <o:LockedField>false</o:LockedField>
          </o:OLEObject>
        </w:object>
      </w:r>
      <w:r>
        <w:rPr>
          <w:rFonts w:hint="eastAsia"/>
        </w:rPr>
        <w:t>对应公众满意度百分比。满意度百分比借用“约当产量法”计算。公众满意度=</w:t>
      </w:r>
      <w:r>
        <w:rPr>
          <w:rFonts w:hint="eastAsia"/>
          <w:position w:val="-8"/>
        </w:rPr>
        <w:object>
          <v:shape id="_x0000_i1030" o:spt="75" type="#_x0000_t75" style="height:15pt;width:13pt;" o:ole="t" filled="f" o:preferrelative="t" stroked="f" coordsize="21600,21600">
            <v:path/>
            <v:fill on="f" focussize="0,0"/>
            <v:stroke on="f" joinstyle="miter"/>
            <v:imagedata r:id="rId8" o:title=""/>
            <o:lock v:ext="edit" aspectratio="t"/>
            <w10:wrap type="none"/>
            <w10:anchorlock/>
          </v:shape>
          <o:OLEObject Type="Embed" ProgID="Equation.3" ShapeID="_x0000_i1030" DrawAspect="Content" ObjectID="_1468075730" r:id="rId14">
            <o:LockedField>false</o:LockedField>
          </o:OLEObject>
        </w:object>
      </w:r>
      <w:r>
        <w:rPr>
          <w:rFonts w:hint="eastAsia"/>
        </w:rPr>
        <w:t>（选项很满意%×100%+选项满意%×75%+选项一般%×50%+选项不满意%×25%+选项很不满意×0%）/有效题目数。通过计算得出公众满意度为87.45%，计算得分4.37分，具体如下表:</w:t>
      </w:r>
    </w:p>
    <w:p w14:paraId="5CBAC12F">
      <w:pPr>
        <w:ind w:firstLine="420" w:firstLineChars="200"/>
      </w:pPr>
      <w:r>
        <w:rPr>
          <w:rFonts w:hint="eastAsia"/>
        </w:rPr>
        <w:t>表5 公众满意度评分表</w:t>
      </w:r>
    </w:p>
    <w:tbl>
      <w:tblPr>
        <w:tblStyle w:val="17"/>
        <w:tblpPr w:leftFromText="180" w:rightFromText="180" w:vertAnchor="text" w:horzAnchor="page" w:tblpX="1047" w:tblpY="223"/>
        <w:tblOverlap w:val="never"/>
        <w:tblW w:w="10233" w:type="dxa"/>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
      <w:tblGrid>
        <w:gridCol w:w="3216"/>
        <w:gridCol w:w="1002"/>
        <w:gridCol w:w="1002"/>
        <w:gridCol w:w="1002"/>
        <w:gridCol w:w="1002"/>
        <w:gridCol w:w="1002"/>
        <w:gridCol w:w="1002"/>
        <w:gridCol w:w="1005"/>
      </w:tblGrid>
      <w:tr w14:paraId="1734E6C3">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FFFFFF"/>
            <w:vAlign w:val="center"/>
          </w:tcPr>
          <w:p w14:paraId="62613674">
            <w:r>
              <w:rPr>
                <w:rFonts w:hint="eastAsia"/>
              </w:rPr>
              <w:t>题目\选项</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4C2431CC">
            <w:pPr>
              <w:ind w:firstLine="420" w:firstLineChars="200"/>
            </w:pPr>
            <w:r>
              <w:rPr>
                <w:rFonts w:hint="eastAsia"/>
              </w:rPr>
              <w:t>很不</w:t>
            </w:r>
          </w:p>
          <w:p w14:paraId="1CDE276D">
            <w:pPr>
              <w:ind w:firstLine="420" w:firstLineChars="200"/>
            </w:pPr>
            <w:r>
              <w:rPr>
                <w:rFonts w:hint="eastAsia"/>
              </w:rPr>
              <w:t>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0285A5F1">
            <w:r>
              <w:rPr>
                <w:rFonts w:hint="eastAsia"/>
              </w:rPr>
              <w:t>不满意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5698A55A">
            <w:r>
              <w:rPr>
                <w:rFonts w:hint="eastAsia"/>
              </w:rPr>
              <w:t>一般</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0CA660B7">
            <w:r>
              <w:rPr>
                <w:rFonts w:hint="eastAsia"/>
              </w:rPr>
              <w:t>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5343EF7A">
            <w:r>
              <w:rPr>
                <w:rFonts w:hint="eastAsia"/>
              </w:rPr>
              <w:t>很满意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78524155">
            <w:r>
              <w:rPr>
                <w:rFonts w:hint="eastAsia"/>
              </w:rPr>
              <w:t>满意度</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14:paraId="2E02C227">
            <w:r>
              <w:rPr>
                <w:rFonts w:hint="eastAsia"/>
              </w:rPr>
              <w:t>得分</w:t>
            </w:r>
          </w:p>
        </w:tc>
      </w:tr>
      <w:tr w14:paraId="635C80D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CCCCCC"/>
            <w:vAlign w:val="center"/>
          </w:tcPr>
          <w:p w14:paraId="49693E99">
            <w:r>
              <w:rPr>
                <w:rFonts w:hint="eastAsia"/>
              </w:rPr>
              <w:t>您对当地政府及相关医疗卫生单位对“新冠病毒”如何预防的宣传工作是否满意？</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50D3B58D">
            <w:pPr>
              <w:ind w:firstLine="420" w:firstLineChars="200"/>
            </w:pPr>
            <w:r>
              <w:t>3.87%</w:t>
            </w:r>
          </w:p>
          <w:p w14:paraId="1B4BDECC">
            <w:pPr>
              <w:ind w:firstLine="420" w:firstLineChars="200"/>
            </w:pPr>
            <w:r>
              <w:t>（</w:t>
            </w:r>
            <w:r>
              <w:rPr>
                <w:rFonts w:hint="eastAsia"/>
              </w:rPr>
              <w:t>11</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61445806">
            <w:pPr>
              <w:ind w:firstLine="420" w:firstLineChars="200"/>
            </w:pPr>
            <w:r>
              <w:t>0%</w:t>
            </w:r>
          </w:p>
          <w:p w14:paraId="0739DD44">
            <w:pPr>
              <w:ind w:firstLine="420" w:firstLineChars="200"/>
            </w:pPr>
            <w:r>
              <w:t>（</w:t>
            </w:r>
            <w:r>
              <w:rPr>
                <w:rFonts w:hint="eastAsia"/>
              </w:rPr>
              <w:t>0</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69CF8211">
            <w:pPr>
              <w:ind w:firstLine="420" w:firstLineChars="200"/>
            </w:pPr>
            <w:r>
              <w:t>2.82%</w:t>
            </w:r>
          </w:p>
          <w:p w14:paraId="0F076F8E">
            <w:pPr>
              <w:ind w:firstLine="420" w:firstLineChars="200"/>
            </w:pPr>
            <w:r>
              <w:t>（</w:t>
            </w:r>
            <w:r>
              <w:rPr>
                <w:rFonts w:hint="eastAsia"/>
              </w:rPr>
              <w:t>8</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1E053BDD">
            <w:pPr>
              <w:ind w:firstLine="420" w:firstLineChars="200"/>
            </w:pPr>
            <w:r>
              <w:t>29.23%</w:t>
            </w:r>
          </w:p>
          <w:p w14:paraId="319E3898">
            <w:pPr>
              <w:ind w:firstLine="420" w:firstLineChars="200"/>
            </w:pPr>
            <w:r>
              <w:t>（</w:t>
            </w:r>
            <w:r>
              <w:rPr>
                <w:rFonts w:hint="eastAsia"/>
              </w:rPr>
              <w:t>83</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32FCDC99">
            <w:pPr>
              <w:ind w:firstLine="420" w:firstLineChars="200"/>
            </w:pPr>
            <w:r>
              <w:t>64.08%</w:t>
            </w:r>
          </w:p>
          <w:p w14:paraId="2AFC807A">
            <w:pPr>
              <w:ind w:firstLine="420" w:firstLineChars="200"/>
            </w:pPr>
            <w:r>
              <w:t>（</w:t>
            </w:r>
            <w:r>
              <w:rPr>
                <w:rFonts w:hint="eastAsia"/>
              </w:rPr>
              <w:t>182</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6E6DB8BE">
            <w:r>
              <w:t>87.41%</w:t>
            </w:r>
          </w:p>
        </w:tc>
        <w:tc>
          <w:tcPr>
            <w:tcW w:w="1005" w:type="dxa"/>
            <w:tcBorders>
              <w:top w:val="single" w:color="auto" w:sz="4" w:space="0"/>
              <w:left w:val="single" w:color="auto" w:sz="4" w:space="0"/>
              <w:bottom w:val="single" w:color="auto" w:sz="4" w:space="0"/>
              <w:right w:val="single" w:color="auto" w:sz="4" w:space="0"/>
            </w:tcBorders>
            <w:shd w:val="clear" w:color="auto" w:fill="CCCCCC"/>
            <w:vAlign w:val="center"/>
          </w:tcPr>
          <w:p w14:paraId="26C81988">
            <w:r>
              <w:t>0.87</w:t>
            </w:r>
          </w:p>
        </w:tc>
      </w:tr>
      <w:tr w14:paraId="3DC83DFC">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FFFFFF"/>
            <w:vAlign w:val="center"/>
          </w:tcPr>
          <w:p w14:paraId="3BF7D7D3">
            <w:r>
              <w:rPr>
                <w:rFonts w:hint="eastAsia"/>
              </w:rPr>
              <w:t>您对当地政府及相关医疗卫生单位等部门疫情防控速度方面是否满意？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3B7DAB46">
            <w:pPr>
              <w:ind w:firstLine="420" w:firstLineChars="200"/>
            </w:pPr>
            <w:r>
              <w:t>3.87%</w:t>
            </w:r>
          </w:p>
          <w:p w14:paraId="13D2F676">
            <w:pPr>
              <w:ind w:firstLine="420" w:firstLineChars="200"/>
            </w:pPr>
            <w:r>
              <w:t>（</w:t>
            </w:r>
            <w:r>
              <w:rPr>
                <w:rFonts w:hint="eastAsia"/>
              </w:rPr>
              <w:t>11</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7320004E">
            <w:pPr>
              <w:ind w:firstLine="420" w:firstLineChars="200"/>
            </w:pPr>
            <w:r>
              <w:t>0%</w:t>
            </w:r>
          </w:p>
          <w:p w14:paraId="56C87B76">
            <w:pPr>
              <w:ind w:firstLine="420" w:firstLineChars="200"/>
            </w:pPr>
            <w:r>
              <w:t>（</w:t>
            </w:r>
            <w:r>
              <w:rPr>
                <w:rFonts w:hint="eastAsia"/>
              </w:rPr>
              <w:t>0</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3ABA62B3">
            <w:pPr>
              <w:ind w:firstLine="420" w:firstLineChars="200"/>
            </w:pPr>
            <w:r>
              <w:t>3.87%</w:t>
            </w:r>
          </w:p>
          <w:p w14:paraId="3EB014C0">
            <w:pPr>
              <w:ind w:firstLine="420" w:firstLineChars="200"/>
            </w:pPr>
            <w:r>
              <w:t>（1</w:t>
            </w:r>
            <w:r>
              <w:rPr>
                <w:rFonts w:hint="eastAsia"/>
              </w:rPr>
              <w:t>1</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1EDBBE66">
            <w:pPr>
              <w:ind w:firstLine="420" w:firstLineChars="200"/>
            </w:pPr>
            <w:r>
              <w:t>27.11%</w:t>
            </w:r>
          </w:p>
          <w:p w14:paraId="37ED3F69">
            <w:pPr>
              <w:ind w:firstLine="420" w:firstLineChars="200"/>
            </w:pPr>
            <w:r>
              <w:t>（</w:t>
            </w:r>
            <w:r>
              <w:rPr>
                <w:rFonts w:hint="eastAsia"/>
              </w:rPr>
              <w:t>77</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2F51A3F3">
            <w:pPr>
              <w:ind w:firstLine="420" w:firstLineChars="200"/>
            </w:pPr>
            <w:r>
              <w:t>65.14%</w:t>
            </w:r>
          </w:p>
          <w:p w14:paraId="35DAB183">
            <w:pPr>
              <w:ind w:firstLine="420" w:firstLineChars="200"/>
            </w:pPr>
            <w:r>
              <w:t>（1</w:t>
            </w:r>
            <w:r>
              <w:rPr>
                <w:rFonts w:hint="eastAsia"/>
              </w:rPr>
              <w:t>85</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0241F3F5">
            <w:r>
              <w:t>87.41%</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14:paraId="144F19F2">
            <w:r>
              <w:t>0.87</w:t>
            </w:r>
          </w:p>
        </w:tc>
      </w:tr>
      <w:tr w14:paraId="263B575C">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CCCCCC"/>
            <w:vAlign w:val="center"/>
          </w:tcPr>
          <w:p w14:paraId="2B44AAB1">
            <w:r>
              <w:rPr>
                <w:rFonts w:hint="eastAsia"/>
              </w:rPr>
              <w:t>您对当地政府公布疫情信息的及时性是否满意？</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2636E1A7">
            <w:pPr>
              <w:ind w:firstLine="420" w:firstLineChars="200"/>
            </w:pPr>
            <w:r>
              <w:t>3.87%</w:t>
            </w:r>
          </w:p>
          <w:p w14:paraId="7B248C90">
            <w:pPr>
              <w:ind w:firstLine="420" w:firstLineChars="200"/>
            </w:pPr>
            <w:r>
              <w:t>（</w:t>
            </w:r>
            <w:r>
              <w:rPr>
                <w:rFonts w:hint="eastAsia"/>
              </w:rPr>
              <w:t>11</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717E8B3F">
            <w:pPr>
              <w:ind w:firstLine="420" w:firstLineChars="200"/>
            </w:pPr>
            <w:r>
              <w:t>0.70%</w:t>
            </w:r>
          </w:p>
          <w:p w14:paraId="7349A4C5">
            <w:pPr>
              <w:ind w:firstLine="420" w:firstLineChars="200"/>
            </w:pPr>
            <w:r>
              <w:t>（</w:t>
            </w:r>
            <w:r>
              <w:rPr>
                <w:rFonts w:hint="eastAsia"/>
              </w:rPr>
              <w:t>2</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58A4E750">
            <w:pPr>
              <w:ind w:firstLine="420" w:firstLineChars="200"/>
            </w:pPr>
            <w:r>
              <w:t>3.87%</w:t>
            </w:r>
          </w:p>
          <w:p w14:paraId="3F2D35C5">
            <w:pPr>
              <w:ind w:firstLine="420" w:firstLineChars="200"/>
            </w:pPr>
            <w:r>
              <w:t>（</w:t>
            </w:r>
            <w:r>
              <w:rPr>
                <w:rFonts w:hint="eastAsia"/>
              </w:rPr>
              <w:t>11</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3F756FD8">
            <w:pPr>
              <w:ind w:firstLine="420" w:firstLineChars="200"/>
            </w:pPr>
            <w:r>
              <w:t>26.76%</w:t>
            </w:r>
          </w:p>
          <w:p w14:paraId="17A66E65">
            <w:pPr>
              <w:ind w:firstLine="420" w:firstLineChars="200"/>
            </w:pPr>
            <w:r>
              <w:t>（</w:t>
            </w:r>
            <w:r>
              <w:rPr>
                <w:rFonts w:hint="eastAsia"/>
              </w:rPr>
              <w:t>76</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3CD321A1">
            <w:pPr>
              <w:ind w:firstLine="420" w:firstLineChars="200"/>
            </w:pPr>
            <w:r>
              <w:t>64.79%</w:t>
            </w:r>
          </w:p>
          <w:p w14:paraId="60CEA537">
            <w:pPr>
              <w:ind w:firstLine="420" w:firstLineChars="200"/>
            </w:pPr>
            <w:r>
              <w:t>（</w:t>
            </w:r>
            <w:r>
              <w:rPr>
                <w:rFonts w:hint="eastAsia"/>
              </w:rPr>
              <w:t>184</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6F016F7C">
            <w:r>
              <w:t>86.97%</w:t>
            </w:r>
          </w:p>
        </w:tc>
        <w:tc>
          <w:tcPr>
            <w:tcW w:w="1005" w:type="dxa"/>
            <w:tcBorders>
              <w:top w:val="single" w:color="auto" w:sz="4" w:space="0"/>
              <w:left w:val="single" w:color="auto" w:sz="4" w:space="0"/>
              <w:bottom w:val="single" w:color="auto" w:sz="4" w:space="0"/>
              <w:right w:val="single" w:color="auto" w:sz="4" w:space="0"/>
            </w:tcBorders>
            <w:shd w:val="clear" w:color="auto" w:fill="CCCCCC"/>
            <w:vAlign w:val="center"/>
          </w:tcPr>
          <w:p w14:paraId="57181B30">
            <w:r>
              <w:t>0.87</w:t>
            </w:r>
          </w:p>
        </w:tc>
      </w:tr>
      <w:tr w14:paraId="48D804C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FFFFFF"/>
            <w:vAlign w:val="center"/>
          </w:tcPr>
          <w:p w14:paraId="315B10A1">
            <w:r>
              <w:rPr>
                <w:rFonts w:hint="eastAsia"/>
              </w:rPr>
              <w:t>您对当地医疗卫生等部门疫情防控措施实施方面是否满意？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0283A442">
            <w:pPr>
              <w:ind w:firstLine="420" w:firstLineChars="200"/>
            </w:pPr>
            <w:r>
              <w:t>4.23%</w:t>
            </w:r>
          </w:p>
          <w:p w14:paraId="10A09D70">
            <w:pPr>
              <w:ind w:firstLine="420" w:firstLineChars="200"/>
            </w:pPr>
            <w:r>
              <w:t>（</w:t>
            </w:r>
            <w:r>
              <w:rPr>
                <w:rFonts w:hint="eastAsia"/>
              </w:rPr>
              <w:t>12</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5AF03D27">
            <w:pPr>
              <w:ind w:firstLine="420" w:firstLineChars="200"/>
            </w:pPr>
            <w:r>
              <w:t>0.35%</w:t>
            </w:r>
          </w:p>
          <w:p w14:paraId="40E9761C">
            <w:pPr>
              <w:ind w:firstLine="420" w:firstLineChars="200"/>
            </w:pPr>
            <w:r>
              <w:t>（</w:t>
            </w:r>
            <w:r>
              <w:rPr>
                <w:rFonts w:hint="eastAsia"/>
              </w:rPr>
              <w:t>1</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22214B4F">
            <w:pPr>
              <w:ind w:firstLine="420" w:firstLineChars="200"/>
            </w:pPr>
            <w:r>
              <w:t>2.82%</w:t>
            </w:r>
          </w:p>
          <w:p w14:paraId="73A7AB7B">
            <w:pPr>
              <w:ind w:firstLine="420" w:firstLineChars="200"/>
            </w:pPr>
            <w:r>
              <w:t>（</w:t>
            </w:r>
            <w:r>
              <w:rPr>
                <w:rFonts w:hint="eastAsia"/>
              </w:rPr>
              <w:t>8</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7EAC7EB5">
            <w:pPr>
              <w:ind w:firstLine="420" w:firstLineChars="200"/>
            </w:pPr>
            <w:r>
              <w:t>27.46%</w:t>
            </w:r>
          </w:p>
          <w:p w14:paraId="4F5C202F">
            <w:pPr>
              <w:ind w:firstLine="420" w:firstLineChars="200"/>
            </w:pPr>
            <w:r>
              <w:t>（</w:t>
            </w:r>
            <w:r>
              <w:rPr>
                <w:rFonts w:hint="eastAsia"/>
              </w:rPr>
              <w:t>78</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27BC836C">
            <w:pPr>
              <w:ind w:firstLine="420" w:firstLineChars="200"/>
            </w:pPr>
            <w:r>
              <w:t>65.14%</w:t>
            </w:r>
          </w:p>
          <w:p w14:paraId="21DAE381">
            <w:pPr>
              <w:ind w:firstLine="420" w:firstLineChars="200"/>
            </w:pPr>
            <w:r>
              <w:t>（</w:t>
            </w:r>
            <w:r>
              <w:rPr>
                <w:rFonts w:hint="eastAsia"/>
              </w:rPr>
              <w:t>185</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45E6F2C8">
            <w:r>
              <w:t>87.23%</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14:paraId="71874649">
            <w:r>
              <w:t>0.87</w:t>
            </w:r>
          </w:p>
        </w:tc>
      </w:tr>
      <w:tr w14:paraId="69FB44D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CCCCCC"/>
            <w:vAlign w:val="center"/>
          </w:tcPr>
          <w:p w14:paraId="2831EF55">
            <w:r>
              <w:rPr>
                <w:rFonts w:hint="eastAsia"/>
              </w:rPr>
              <w:t>您对当地医疗卫生等部门疫情防控人员健康监测方面是否满意？</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4475B2D8">
            <w:pPr>
              <w:ind w:firstLine="420" w:firstLineChars="200"/>
            </w:pPr>
            <w:r>
              <w:t>3.17%</w:t>
            </w:r>
          </w:p>
          <w:p w14:paraId="7AD8A818">
            <w:pPr>
              <w:ind w:firstLine="420" w:firstLineChars="200"/>
            </w:pPr>
            <w:r>
              <w:t>（</w:t>
            </w:r>
            <w:r>
              <w:rPr>
                <w:rFonts w:hint="eastAsia"/>
              </w:rPr>
              <w:t>9</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70BF78D7">
            <w:pPr>
              <w:ind w:firstLine="420" w:firstLineChars="200"/>
            </w:pPr>
            <w:r>
              <w:t>1.06%</w:t>
            </w:r>
          </w:p>
          <w:p w14:paraId="70619D3A">
            <w:pPr>
              <w:ind w:firstLine="420" w:firstLineChars="200"/>
            </w:pPr>
            <w:r>
              <w:t>（</w:t>
            </w:r>
            <w:r>
              <w:rPr>
                <w:rFonts w:hint="eastAsia"/>
              </w:rPr>
              <w:t>3</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2CF6EF7C">
            <w:pPr>
              <w:ind w:firstLine="420" w:firstLineChars="200"/>
            </w:pPr>
            <w:r>
              <w:t>2.82%</w:t>
            </w:r>
          </w:p>
          <w:p w14:paraId="66F9D146">
            <w:pPr>
              <w:ind w:firstLine="420" w:firstLineChars="200"/>
            </w:pPr>
            <w:r>
              <w:t>（</w:t>
            </w:r>
            <w:r>
              <w:rPr>
                <w:rFonts w:hint="eastAsia"/>
              </w:rPr>
              <w:t>8</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04526F66">
            <w:pPr>
              <w:ind w:firstLine="420" w:firstLineChars="200"/>
            </w:pPr>
            <w:r>
              <w:t>27.46%</w:t>
            </w:r>
          </w:p>
          <w:p w14:paraId="335D0214">
            <w:pPr>
              <w:ind w:firstLine="420" w:firstLineChars="200"/>
            </w:pPr>
            <w:r>
              <w:t>（</w:t>
            </w:r>
            <w:r>
              <w:rPr>
                <w:rFonts w:hint="eastAsia"/>
              </w:rPr>
              <w:t>78</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016B9509">
            <w:pPr>
              <w:ind w:firstLine="420" w:firstLineChars="200"/>
            </w:pPr>
            <w:r>
              <w:t>65.49%</w:t>
            </w:r>
          </w:p>
          <w:p w14:paraId="7F915B9F">
            <w:pPr>
              <w:ind w:firstLine="420" w:firstLineChars="200"/>
            </w:pPr>
            <w:r>
              <w:t>（</w:t>
            </w:r>
            <w:r>
              <w:rPr>
                <w:rFonts w:hint="eastAsia"/>
              </w:rPr>
              <w:t>186</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4BD28853">
            <w:r>
              <w:t>87.76%</w:t>
            </w:r>
          </w:p>
        </w:tc>
        <w:tc>
          <w:tcPr>
            <w:tcW w:w="1005" w:type="dxa"/>
            <w:tcBorders>
              <w:top w:val="single" w:color="auto" w:sz="4" w:space="0"/>
              <w:left w:val="single" w:color="auto" w:sz="4" w:space="0"/>
              <w:bottom w:val="single" w:color="auto" w:sz="4" w:space="0"/>
              <w:right w:val="single" w:color="auto" w:sz="4" w:space="0"/>
            </w:tcBorders>
            <w:shd w:val="clear" w:color="auto" w:fill="CCCCCC"/>
            <w:vAlign w:val="center"/>
          </w:tcPr>
          <w:p w14:paraId="0A1EB28B">
            <w:r>
              <w:t>0.88</w:t>
            </w:r>
          </w:p>
        </w:tc>
      </w:tr>
      <w:tr w14:paraId="43850A0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FFFFFF"/>
            <w:vAlign w:val="center"/>
          </w:tcPr>
          <w:p w14:paraId="12B92179">
            <w:r>
              <w:rPr>
                <w:rFonts w:hint="eastAsia"/>
              </w:rPr>
              <w:t>您对当地医疗卫生等部门疫情防控专业知识储备方面是否满意？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3E1AC7DE">
            <w:pPr>
              <w:ind w:firstLine="420" w:firstLineChars="200"/>
            </w:pPr>
            <w:r>
              <w:t>3.17%</w:t>
            </w:r>
          </w:p>
          <w:p w14:paraId="1C7384F2">
            <w:pPr>
              <w:ind w:firstLine="420" w:firstLineChars="200"/>
            </w:pPr>
            <w:r>
              <w:t>（</w:t>
            </w:r>
            <w:r>
              <w:rPr>
                <w:rFonts w:hint="eastAsia"/>
              </w:rPr>
              <w:t>9</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03A8BEA2">
            <w:pPr>
              <w:ind w:firstLine="420" w:firstLineChars="200"/>
            </w:pPr>
            <w:r>
              <w:t>0%</w:t>
            </w:r>
          </w:p>
          <w:p w14:paraId="5458FB60">
            <w:pPr>
              <w:ind w:firstLine="420" w:firstLineChars="200"/>
            </w:pPr>
            <w:r>
              <w:t>（</w:t>
            </w:r>
            <w:r>
              <w:rPr>
                <w:rFonts w:hint="eastAsia"/>
              </w:rPr>
              <w:t>0</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451B0EFF">
            <w:pPr>
              <w:ind w:firstLine="420" w:firstLineChars="200"/>
            </w:pPr>
            <w:r>
              <w:t>3.87%</w:t>
            </w:r>
          </w:p>
          <w:p w14:paraId="3D2C1F33">
            <w:pPr>
              <w:ind w:firstLine="420" w:firstLineChars="200"/>
            </w:pPr>
            <w:r>
              <w:t>（</w:t>
            </w:r>
            <w:r>
              <w:rPr>
                <w:rFonts w:hint="eastAsia"/>
              </w:rPr>
              <w:t>11</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43058677">
            <w:pPr>
              <w:ind w:firstLine="420" w:firstLineChars="200"/>
            </w:pPr>
            <w:r>
              <w:t>28.87%</w:t>
            </w:r>
          </w:p>
          <w:p w14:paraId="765FB935">
            <w:pPr>
              <w:ind w:firstLine="420" w:firstLineChars="200"/>
            </w:pPr>
            <w:r>
              <w:t>（</w:t>
            </w:r>
            <w:r>
              <w:rPr>
                <w:rFonts w:hint="eastAsia"/>
              </w:rPr>
              <w:t>82</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666BB023">
            <w:pPr>
              <w:ind w:firstLine="420" w:firstLineChars="200"/>
            </w:pPr>
            <w:r>
              <w:t>64.08%</w:t>
            </w:r>
          </w:p>
          <w:p w14:paraId="19823285">
            <w:pPr>
              <w:ind w:firstLine="420" w:firstLineChars="200"/>
            </w:pPr>
            <w:r>
              <w:t>（</w:t>
            </w:r>
            <w:r>
              <w:rPr>
                <w:rFonts w:hint="eastAsia"/>
              </w:rPr>
              <w:t>182</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7840EECE">
            <w:r>
              <w:t>87.67%</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14:paraId="3AB7A9D7">
            <w:r>
              <w:t>0.88</w:t>
            </w:r>
          </w:p>
        </w:tc>
      </w:tr>
      <w:tr w14:paraId="555BE6BC">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CCCCCC"/>
            <w:vAlign w:val="center"/>
          </w:tcPr>
          <w:p w14:paraId="3084F869">
            <w:r>
              <w:rPr>
                <w:rFonts w:hint="eastAsia"/>
              </w:rPr>
              <w:t>您对当地疫情防控工作人员的工作情况是否满意？</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1D2D8364">
            <w:pPr>
              <w:ind w:firstLine="420" w:firstLineChars="200"/>
            </w:pPr>
            <w:r>
              <w:t>3.52%</w:t>
            </w:r>
          </w:p>
          <w:p w14:paraId="0B447D72">
            <w:pPr>
              <w:ind w:firstLine="420" w:firstLineChars="200"/>
            </w:pPr>
            <w:r>
              <w:t>（1</w:t>
            </w:r>
            <w:r>
              <w:rPr>
                <w:rFonts w:hint="eastAsia"/>
              </w:rPr>
              <w:t>0</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51697FF6">
            <w:pPr>
              <w:ind w:firstLine="420" w:firstLineChars="200"/>
            </w:pPr>
            <w:r>
              <w:t>0%</w:t>
            </w:r>
          </w:p>
          <w:p w14:paraId="136B4FDC">
            <w:pPr>
              <w:ind w:firstLine="420" w:firstLineChars="200"/>
            </w:pPr>
            <w:r>
              <w:t>（</w:t>
            </w:r>
            <w:r>
              <w:rPr>
                <w:rFonts w:hint="eastAsia"/>
              </w:rPr>
              <w:t>0</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425AC340">
            <w:pPr>
              <w:ind w:firstLine="420" w:firstLineChars="200"/>
            </w:pPr>
            <w:r>
              <w:t>4.23%</w:t>
            </w:r>
          </w:p>
          <w:p w14:paraId="0079558C">
            <w:pPr>
              <w:ind w:firstLine="420" w:firstLineChars="200"/>
            </w:pPr>
            <w:r>
              <w:t>（1</w:t>
            </w:r>
            <w:r>
              <w:rPr>
                <w:rFonts w:hint="eastAsia"/>
              </w:rPr>
              <w:t>2</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75340727">
            <w:pPr>
              <w:ind w:firstLine="420" w:firstLineChars="200"/>
            </w:pPr>
            <w:r>
              <w:t>26.41%</w:t>
            </w:r>
          </w:p>
          <w:p w14:paraId="209ADE75">
            <w:pPr>
              <w:ind w:firstLine="420" w:firstLineChars="200"/>
            </w:pPr>
            <w:r>
              <w:t>（</w:t>
            </w:r>
            <w:r>
              <w:rPr>
                <w:rFonts w:hint="eastAsia"/>
              </w:rPr>
              <w:t>75</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1DEF0C88">
            <w:pPr>
              <w:ind w:firstLine="420" w:firstLineChars="200"/>
            </w:pPr>
            <w:r>
              <w:t>65.85%</w:t>
            </w:r>
          </w:p>
          <w:p w14:paraId="60807546">
            <w:pPr>
              <w:ind w:firstLine="420" w:firstLineChars="200"/>
            </w:pPr>
            <w:r>
              <w:t>（1</w:t>
            </w:r>
            <w:r>
              <w:rPr>
                <w:rFonts w:hint="eastAsia"/>
              </w:rPr>
              <w:t>87</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153586F6">
            <w:r>
              <w:t>87.77%</w:t>
            </w:r>
          </w:p>
        </w:tc>
        <w:tc>
          <w:tcPr>
            <w:tcW w:w="1005" w:type="dxa"/>
            <w:tcBorders>
              <w:top w:val="single" w:color="auto" w:sz="4" w:space="0"/>
              <w:left w:val="single" w:color="auto" w:sz="4" w:space="0"/>
              <w:bottom w:val="single" w:color="auto" w:sz="4" w:space="0"/>
              <w:right w:val="single" w:color="auto" w:sz="4" w:space="0"/>
            </w:tcBorders>
            <w:shd w:val="clear" w:color="auto" w:fill="CCCCCC"/>
            <w:vAlign w:val="center"/>
          </w:tcPr>
          <w:p w14:paraId="30298AD9">
            <w:r>
              <w:t>0.88</w:t>
            </w:r>
          </w:p>
        </w:tc>
      </w:tr>
      <w:tr w14:paraId="1231BC3F">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FFFFFF"/>
            <w:vAlign w:val="center"/>
          </w:tcPr>
          <w:p w14:paraId="581231FC">
            <w:r>
              <w:rPr>
                <w:rFonts w:hint="eastAsia"/>
              </w:rPr>
              <w:t>总体来说， 您对当地相关部门的疫情防控工作是否满意？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5D3D9E72">
            <w:pPr>
              <w:ind w:firstLine="420" w:firstLineChars="200"/>
            </w:pPr>
            <w:r>
              <w:t>3.52%</w:t>
            </w:r>
          </w:p>
          <w:p w14:paraId="552304C6">
            <w:pPr>
              <w:ind w:firstLine="420" w:firstLineChars="200"/>
            </w:pPr>
            <w:r>
              <w:t>（1</w:t>
            </w:r>
            <w:r>
              <w:rPr>
                <w:rFonts w:hint="eastAsia"/>
              </w:rPr>
              <w:t>0</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0D802F8A">
            <w:pPr>
              <w:ind w:firstLine="420" w:firstLineChars="200"/>
            </w:pPr>
            <w:r>
              <w:t>0.35%</w:t>
            </w:r>
          </w:p>
          <w:p w14:paraId="186B7E3F">
            <w:pPr>
              <w:ind w:firstLine="420" w:firstLineChars="200"/>
            </w:pPr>
            <w:r>
              <w:t>（</w:t>
            </w:r>
            <w:r>
              <w:rPr>
                <w:rFonts w:hint="eastAsia"/>
              </w:rPr>
              <w:t>1</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468FD059">
            <w:pPr>
              <w:ind w:firstLine="420" w:firstLineChars="200"/>
            </w:pPr>
            <w:r>
              <w:t>3.17%</w:t>
            </w:r>
          </w:p>
          <w:p w14:paraId="63B8736D">
            <w:pPr>
              <w:ind w:firstLine="420" w:firstLineChars="200"/>
            </w:pPr>
            <w:r>
              <w:t>（</w:t>
            </w:r>
            <w:r>
              <w:rPr>
                <w:rFonts w:hint="eastAsia"/>
              </w:rPr>
              <w:t>9</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6638F1FE">
            <w:pPr>
              <w:ind w:firstLine="420" w:firstLineChars="200"/>
            </w:pPr>
            <w:r>
              <w:t>28.87%</w:t>
            </w:r>
          </w:p>
          <w:p w14:paraId="6C33E51F">
            <w:pPr>
              <w:ind w:firstLine="420" w:firstLineChars="200"/>
            </w:pPr>
            <w:r>
              <w:t>（</w:t>
            </w:r>
            <w:r>
              <w:rPr>
                <w:rFonts w:hint="eastAsia"/>
              </w:rPr>
              <w:t>82</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4E88738B">
            <w:pPr>
              <w:ind w:firstLine="420" w:firstLineChars="200"/>
            </w:pPr>
            <w:r>
              <w:t>64.08%</w:t>
            </w:r>
          </w:p>
          <w:p w14:paraId="50CBA946">
            <w:pPr>
              <w:ind w:firstLine="420" w:firstLineChars="200"/>
            </w:pPr>
            <w:r>
              <w:t>（</w:t>
            </w:r>
            <w:r>
              <w:rPr>
                <w:rFonts w:hint="eastAsia"/>
              </w:rPr>
              <w:t>182</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14:paraId="5024E98F">
            <w:r>
              <w:t>87.41%</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14:paraId="4C10EBDB">
            <w:r>
              <w:t>0.87</w:t>
            </w:r>
          </w:p>
        </w:tc>
      </w:tr>
      <w:tr w14:paraId="44305A3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8226" w:type="dxa"/>
            <w:gridSpan w:val="6"/>
            <w:tcBorders>
              <w:top w:val="single" w:color="auto" w:sz="4" w:space="0"/>
              <w:left w:val="single" w:color="auto" w:sz="4" w:space="0"/>
              <w:bottom w:val="single" w:color="auto" w:sz="4" w:space="0"/>
              <w:right w:val="single" w:color="auto" w:sz="4" w:space="0"/>
            </w:tcBorders>
            <w:shd w:val="clear" w:color="auto" w:fill="CCCCCC"/>
            <w:vAlign w:val="center"/>
          </w:tcPr>
          <w:p w14:paraId="0E40C1A0">
            <w:r>
              <w:t>合计</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14:paraId="44639C9A">
            <w:r>
              <w:t>87.45%</w:t>
            </w:r>
          </w:p>
        </w:tc>
        <w:tc>
          <w:tcPr>
            <w:tcW w:w="1005" w:type="dxa"/>
            <w:tcBorders>
              <w:top w:val="single" w:color="auto" w:sz="4" w:space="0"/>
              <w:left w:val="single" w:color="auto" w:sz="4" w:space="0"/>
              <w:bottom w:val="single" w:color="auto" w:sz="4" w:space="0"/>
              <w:right w:val="single" w:color="auto" w:sz="4" w:space="0"/>
            </w:tcBorders>
            <w:shd w:val="clear" w:color="auto" w:fill="CCCCCC"/>
            <w:vAlign w:val="center"/>
          </w:tcPr>
          <w:p w14:paraId="39391628">
            <w:r>
              <w:t>4.37</w:t>
            </w:r>
          </w:p>
        </w:tc>
      </w:tr>
    </w:tbl>
    <w:p w14:paraId="40A355C1">
      <w:pPr>
        <w:ind w:firstLine="420" w:firstLineChars="200"/>
      </w:pPr>
    </w:p>
    <w:p w14:paraId="532DD1F9">
      <w:pPr>
        <w:ind w:firstLine="420" w:firstLineChars="200"/>
      </w:pPr>
    </w:p>
    <w:p w14:paraId="76C1C7B8">
      <w:pPr>
        <w:ind w:firstLine="420" w:firstLineChars="200"/>
      </w:pPr>
      <w:r>
        <w:rPr>
          <w:rFonts w:hint="eastAsia"/>
        </w:rPr>
        <w:t>图2 公众满意度</w:t>
      </w:r>
    </w:p>
    <w:p w14:paraId="4E99E260">
      <w:pPr>
        <w:ind w:firstLine="420" w:firstLineChars="200"/>
      </w:pPr>
      <w:r>
        <w:drawing>
          <wp:anchor distT="0" distB="0" distL="114300" distR="114300" simplePos="0" relativeHeight="251662336" behindDoc="0" locked="0" layoutInCell="1" allowOverlap="1">
            <wp:simplePos x="0" y="0"/>
            <wp:positionH relativeFrom="column">
              <wp:posOffset>-111125</wp:posOffset>
            </wp:positionH>
            <wp:positionV relativeFrom="paragraph">
              <wp:posOffset>120650</wp:posOffset>
            </wp:positionV>
            <wp:extent cx="5990590" cy="2091055"/>
            <wp:effectExtent l="5080" t="4445" r="8890" b="7620"/>
            <wp:wrapNone/>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44473EAB">
      <w:pPr>
        <w:ind w:firstLine="420" w:firstLineChars="200"/>
      </w:pPr>
    </w:p>
    <w:p w14:paraId="76393E1B">
      <w:pPr>
        <w:ind w:firstLine="420" w:firstLineChars="200"/>
      </w:pPr>
    </w:p>
    <w:p w14:paraId="7FCB1405">
      <w:pPr>
        <w:ind w:firstLine="420" w:firstLineChars="200"/>
      </w:pPr>
    </w:p>
    <w:p w14:paraId="386B4FA4">
      <w:pPr>
        <w:ind w:firstLine="420" w:firstLineChars="200"/>
      </w:pPr>
    </w:p>
    <w:p w14:paraId="1CDF0EC3">
      <w:pPr>
        <w:ind w:firstLine="420" w:firstLineChars="200"/>
      </w:pPr>
    </w:p>
    <w:p w14:paraId="1BFD68A7">
      <w:pPr>
        <w:ind w:firstLine="420" w:firstLineChars="200"/>
      </w:pPr>
    </w:p>
    <w:p w14:paraId="4DB1CE3F">
      <w:pPr>
        <w:ind w:firstLine="420" w:firstLineChars="200"/>
      </w:pPr>
    </w:p>
    <w:p w14:paraId="1B3398F5">
      <w:pPr>
        <w:ind w:firstLine="420" w:firstLineChars="200"/>
      </w:pPr>
    </w:p>
    <w:p w14:paraId="244967AC">
      <w:pPr>
        <w:ind w:firstLine="420" w:firstLineChars="200"/>
      </w:pPr>
    </w:p>
    <w:p w14:paraId="34C7F36C">
      <w:pPr>
        <w:ind w:firstLine="420" w:firstLineChars="200"/>
      </w:pPr>
    </w:p>
    <w:p w14:paraId="3ABFC0F7">
      <w:pPr>
        <w:ind w:firstLine="420" w:firstLineChars="200"/>
      </w:pPr>
    </w:p>
    <w:p w14:paraId="7AD0AB50">
      <w:pPr>
        <w:ind w:firstLine="420" w:firstLineChars="200"/>
      </w:pPr>
    </w:p>
    <w:p w14:paraId="50DF3D0F">
      <w:pPr>
        <w:ind w:firstLine="420" w:firstLineChars="200"/>
      </w:pPr>
    </w:p>
    <w:p w14:paraId="12E3BF99">
      <w:pPr>
        <w:ind w:firstLine="420" w:firstLineChars="200"/>
      </w:pPr>
      <w:r>
        <w:rPr>
          <w:rFonts w:hint="eastAsia"/>
        </w:rPr>
        <w:t>通过第6题第7题可以得知，疫情防控一线工作人员满意度为3.95，公众满意度为4.37。可以看出相较于专业知识储备较强的疫情防控一线工作人员，公众的满意度较高。</w:t>
      </w:r>
    </w:p>
    <w:p w14:paraId="7467DDF3">
      <w:pPr>
        <w:ind w:firstLine="420" w:firstLineChars="200"/>
        <w:outlineLvl w:val="0"/>
      </w:pPr>
      <w:bookmarkStart w:id="173" w:name="_Toc12886"/>
      <w:r>
        <w:rPr>
          <w:rFonts w:hint="eastAsia"/>
        </w:rPr>
        <w:t>五、主要经验及做法、存在的问题及原因分析</w:t>
      </w:r>
      <w:bookmarkEnd w:id="173"/>
    </w:p>
    <w:p w14:paraId="7E0A2C46">
      <w:pPr>
        <w:ind w:firstLine="420" w:firstLineChars="200"/>
      </w:pPr>
      <w:r>
        <w:rPr>
          <w:rFonts w:hint="eastAsia"/>
        </w:rPr>
        <w:t>（一）主要经验及做法</w:t>
      </w:r>
    </w:p>
    <w:p w14:paraId="7B22BB4E">
      <w:pPr>
        <w:ind w:firstLine="420" w:firstLineChars="200"/>
      </w:pPr>
      <w:r>
        <w:rPr>
          <w:rFonts w:hint="eastAsia"/>
        </w:rPr>
        <w:t>莆田</w:t>
      </w:r>
      <w:r>
        <w:t>市卫健委按照国家、省、市统一安排，通过组建疫情防控领导小组，开展疫情防控、医疗救治、综合协调、监督检查、信息宣传等工作，及时有效应对疫情变化</w:t>
      </w:r>
      <w:r>
        <w:rPr>
          <w:rFonts w:hint="eastAsia"/>
        </w:rPr>
        <w:t>，众志成城坚决打赢抗击疫情的“莆田战役”，在疫情防控中锤炼机关作风，凝聚了熠熠生辉的抗疫精神。在疫情防控步入常态化阶段后，一方面常态化落实疫情防控组、医疗卫生机构的防控措施，加强重点场所、境外来海人员、进口冷链食品等环节的监测管理，加强督导检查。另一方面，以此为契机加快推进发热门诊及PCR实验室建设，着力提升公共卫生应急能力，上线莆田市突发公共卫生事件网格化智能监管平台，实现信息采集、跟踪、监控等功能，形成“防、控、治、管”四位一体的全流程闭环管理。莆田市卫健委组织全市卫生系统“外防输入、内防反弹”牢牢守护每个防疫环节，用实际行动诠释担当和使命，总体工作成效显著。</w:t>
      </w:r>
    </w:p>
    <w:p w14:paraId="13B1A55F">
      <w:pPr>
        <w:ind w:firstLine="420" w:firstLineChars="200"/>
      </w:pPr>
      <w:r>
        <w:rPr>
          <w:rFonts w:hint="eastAsia"/>
        </w:rPr>
        <w:t>1.众志成城坚决打赢抗击疫情的“莆田战役”，彰显“莆田速度”与“大爱莆田”</w:t>
      </w:r>
    </w:p>
    <w:p w14:paraId="3C91B7B9">
      <w:pPr>
        <w:ind w:firstLine="420" w:firstLineChars="200"/>
      </w:pPr>
      <w:r>
        <w:rPr>
          <w:rFonts w:hint="eastAsia"/>
        </w:rPr>
        <w:t>1月24日，莆田市启动一级响应，在全省率先实行“三个一律”“三个严禁”等超常举措，迅速铺开全市疫情防控工作；1月27日，暴发首起整村聚集性疫情，创新实施整村易地集中隔离，打赢了全省规模最大的聚集性疫情歼灭战；2月3日，全省首个治愈患者出院，3月7日全市本土住院病例、确诊病例、疑似病例全部“清零”，从首例确诊到全部清零仅用42天。特别是莆田学院附属医院采取了中西医协同治疗，是省内首家运用“清肺排毒汤”治疗的试点单位，共有51例病历还被收入中国中医科学院“防治新型冠状病毒感染的肺炎”科研攻关项目组工作信息平台，为制定《新型冠状病毒肺炎诊疗方案（试行第六、七版）》提供了实践基础。派出两批医护人员逆行出征，莆田首批8名支援湖北医护人员与福建省首批支援湖北医疗队的战友们携手奋战在武汉市金银潭医院，距离第一批8名支援湖北医护人员出征仅一周，莆田又派出第二批共10名医护人员驰援武汉东西湖方舱医院。累计管理患者257人，其中危重病人73例，治愈出院165例，参与科技攻关项目5项，参与死亡、疑难、危重病例讨论9次，创造了医护人员零感染、病人零死亡的成绩；从2月4日出征，到3月18日完成驰援任务撤离武汉，莆田市第二批支援湖北护理医疗队与福建支援湖北专科护理队一起，累计治疗护理患者295名。</w:t>
      </w:r>
    </w:p>
    <w:p w14:paraId="3C612668">
      <w:pPr>
        <w:ind w:firstLine="420" w:firstLineChars="200"/>
      </w:pPr>
      <w:r>
        <w:rPr>
          <w:rFonts w:hint="eastAsia"/>
        </w:rPr>
        <w:t>2.大力宣传新型冠状病毒感染肺炎的防护措施，居民知晓率高</w:t>
      </w:r>
    </w:p>
    <w:p w14:paraId="10E20B96">
      <w:pPr>
        <w:ind w:firstLine="420" w:firstLineChars="200"/>
      </w:pPr>
      <w:r>
        <w:rPr>
          <w:rFonts w:hint="eastAsia"/>
        </w:rPr>
        <w:t>莆田市卫健委深入贯彻落实习近平总书记关于做好新冠肺炎疫情防控宣传引导工作的重要讲话和重要指示批示精神，在疫情防控期间强化党管宣传工作制度机制，利用微信公众号、手机客户端等新媒介，张贴宣传画、广告投放、发放宣传单等形式“线上”“线下”结合的多措并举加强宣传引导、新闻发布、舆情监测等工作，印制了《新型冠状病毒感染公众防护指南》、莆田市广播电视中心制作口罩攻坚宣传片、录制莆田市抗疫分享会，全力营造强信心、暖人心、聚民心的环境氛围，深入宣传新型冠状病毒感染肺炎的防护措施等关键内容。结合多种宣传形式，形成广泛的社会传播效应，并举办新冠肺炎疫情防控应急演练，提高各单位、各部门对新冠肺炎聚集性疫情防控的认识。通过大力宣传工作，提高了居民对新型冠状病毒感染肺炎的防护认识，增强了居民的自我保护意识，为助推打赢疫情防控阻击战作出了积极贡献。通过我们的抽样调查，公众对于新冠疫情防护的知晓率为91.26%</w:t>
      </w:r>
    </w:p>
    <w:p w14:paraId="0B946DEE">
      <w:pPr>
        <w:ind w:firstLine="420" w:firstLineChars="200"/>
      </w:pPr>
      <w:r>
        <w:rPr>
          <w:rFonts w:hint="eastAsia"/>
        </w:rPr>
        <w:t>问卷第1题 您是否知道个人如何预防“新冠肺炎”？[单选题]</w:t>
      </w:r>
    </w:p>
    <w:p w14:paraId="2691C1A9">
      <w:pPr>
        <w:ind w:firstLine="420" w:firstLineChars="200"/>
      </w:pPr>
    </w:p>
    <w:p w14:paraId="1AD54481">
      <w:pPr>
        <w:ind w:firstLine="420" w:firstLineChars="200"/>
      </w:pPr>
    </w:p>
    <w:p w14:paraId="7D9AA210">
      <w:pPr>
        <w:ind w:firstLine="420" w:firstLineChars="200"/>
      </w:pPr>
      <w:r>
        <w:drawing>
          <wp:anchor distT="0" distB="0" distL="114300" distR="114300" simplePos="0" relativeHeight="251663360" behindDoc="0" locked="0" layoutInCell="1" allowOverlap="1">
            <wp:simplePos x="0" y="0"/>
            <wp:positionH relativeFrom="column">
              <wp:posOffset>685165</wp:posOffset>
            </wp:positionH>
            <wp:positionV relativeFrom="paragraph">
              <wp:posOffset>113030</wp:posOffset>
            </wp:positionV>
            <wp:extent cx="3501390" cy="2098675"/>
            <wp:effectExtent l="0" t="0" r="3810" b="4445"/>
            <wp:wrapNone/>
            <wp:docPr id="11"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8"/>
                    <pic:cNvPicPr>
                      <a:picLocks noChangeAspect="1"/>
                    </pic:cNvPicPr>
                  </pic:nvPicPr>
                  <pic:blipFill>
                    <a:blip r:embed="rId16"/>
                    <a:stretch>
                      <a:fillRect/>
                    </a:stretch>
                  </pic:blipFill>
                  <pic:spPr>
                    <a:xfrm>
                      <a:off x="0" y="0"/>
                      <a:ext cx="3501390" cy="2098675"/>
                    </a:xfrm>
                    <a:prstGeom prst="rect">
                      <a:avLst/>
                    </a:prstGeom>
                    <a:noFill/>
                    <a:ln>
                      <a:noFill/>
                    </a:ln>
                  </pic:spPr>
                </pic:pic>
              </a:graphicData>
            </a:graphic>
          </wp:anchor>
        </w:drawing>
      </w:r>
    </w:p>
    <w:p w14:paraId="24933BC6">
      <w:pPr>
        <w:ind w:firstLine="420" w:firstLineChars="200"/>
      </w:pPr>
    </w:p>
    <w:p w14:paraId="0C3C1CBB">
      <w:pPr>
        <w:ind w:firstLine="420" w:firstLineChars="200"/>
      </w:pPr>
    </w:p>
    <w:p w14:paraId="7AC1C545">
      <w:pPr>
        <w:ind w:firstLine="420" w:firstLineChars="200"/>
      </w:pPr>
    </w:p>
    <w:p w14:paraId="24EB3FBE">
      <w:pPr>
        <w:ind w:firstLine="420" w:firstLineChars="200"/>
      </w:pPr>
    </w:p>
    <w:p w14:paraId="59E975CD">
      <w:pPr>
        <w:ind w:firstLine="420" w:firstLineChars="200"/>
      </w:pPr>
    </w:p>
    <w:p w14:paraId="4B766A50">
      <w:pPr>
        <w:ind w:firstLine="420" w:firstLineChars="200"/>
      </w:pPr>
    </w:p>
    <w:p w14:paraId="6CBCEA76">
      <w:pPr>
        <w:ind w:firstLine="420" w:firstLineChars="200"/>
      </w:pPr>
    </w:p>
    <w:p w14:paraId="29CD8463">
      <w:pPr>
        <w:ind w:firstLine="420" w:firstLineChars="200"/>
      </w:pPr>
    </w:p>
    <w:p w14:paraId="18BF2166">
      <w:pPr>
        <w:ind w:firstLine="420" w:firstLineChars="200"/>
      </w:pPr>
    </w:p>
    <w:p w14:paraId="6CB81DAA">
      <w:pPr>
        <w:ind w:firstLine="420" w:firstLineChars="200"/>
      </w:pPr>
    </w:p>
    <w:p w14:paraId="5D1E703D">
      <w:pPr>
        <w:ind w:firstLine="420" w:firstLineChars="200"/>
      </w:pPr>
    </w:p>
    <w:p w14:paraId="3C3D596D">
      <w:pPr>
        <w:ind w:firstLine="420" w:firstLineChars="200"/>
      </w:pPr>
    </w:p>
    <w:p w14:paraId="4F640BAE">
      <w:pPr>
        <w:ind w:firstLine="420" w:firstLineChars="200"/>
      </w:pPr>
    </w:p>
    <w:p w14:paraId="78E46DAE">
      <w:pPr>
        <w:ind w:firstLine="420" w:firstLineChars="200"/>
      </w:pPr>
    </w:p>
    <w:p w14:paraId="09848B15">
      <w:pPr>
        <w:ind w:firstLine="420" w:firstLineChars="200"/>
      </w:pPr>
    </w:p>
    <w:p w14:paraId="5E06CE0F">
      <w:pPr>
        <w:ind w:firstLine="420" w:firstLineChars="200"/>
      </w:pPr>
    </w:p>
    <w:p w14:paraId="14AC2C8D">
      <w:pPr>
        <w:ind w:firstLine="420" w:firstLineChars="200"/>
      </w:pPr>
    </w:p>
    <w:p w14:paraId="38274354">
      <w:pPr>
        <w:ind w:firstLine="420" w:firstLineChars="200"/>
      </w:pPr>
      <w:r>
        <w:rPr>
          <w:rFonts w:hint="eastAsia"/>
        </w:rPr>
        <w:t>问卷第2题 您认为自己掌握足够的疫情防控知识吗? [单选题]</w:t>
      </w:r>
    </w:p>
    <w:p w14:paraId="051F84F7">
      <w:pPr>
        <w:ind w:firstLine="420" w:firstLineChars="200"/>
      </w:pPr>
    </w:p>
    <w:p w14:paraId="4804EE9E">
      <w:pPr>
        <w:ind w:firstLine="420" w:firstLineChars="200"/>
      </w:pPr>
    </w:p>
    <w:p w14:paraId="38E6D875">
      <w:pPr>
        <w:ind w:firstLine="420" w:firstLineChars="200"/>
      </w:pPr>
      <w:r>
        <w:drawing>
          <wp:anchor distT="0" distB="0" distL="114300" distR="114300" simplePos="0" relativeHeight="251664384" behindDoc="0" locked="0" layoutInCell="1" allowOverlap="1">
            <wp:simplePos x="0" y="0"/>
            <wp:positionH relativeFrom="column">
              <wp:posOffset>317500</wp:posOffset>
            </wp:positionH>
            <wp:positionV relativeFrom="paragraph">
              <wp:posOffset>139700</wp:posOffset>
            </wp:positionV>
            <wp:extent cx="4116070" cy="2433320"/>
            <wp:effectExtent l="0" t="0" r="13970" b="5080"/>
            <wp:wrapNone/>
            <wp:docPr id="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9"/>
                    <pic:cNvPicPr>
                      <a:picLocks noChangeAspect="1"/>
                    </pic:cNvPicPr>
                  </pic:nvPicPr>
                  <pic:blipFill>
                    <a:blip r:embed="rId17"/>
                    <a:srcRect l="7077" r="8332"/>
                    <a:stretch>
                      <a:fillRect/>
                    </a:stretch>
                  </pic:blipFill>
                  <pic:spPr>
                    <a:xfrm>
                      <a:off x="0" y="0"/>
                      <a:ext cx="4116070" cy="2433320"/>
                    </a:xfrm>
                    <a:prstGeom prst="rect">
                      <a:avLst/>
                    </a:prstGeom>
                    <a:noFill/>
                    <a:ln>
                      <a:noFill/>
                    </a:ln>
                  </pic:spPr>
                </pic:pic>
              </a:graphicData>
            </a:graphic>
          </wp:anchor>
        </w:drawing>
      </w:r>
    </w:p>
    <w:p w14:paraId="2ECC5629">
      <w:pPr>
        <w:ind w:firstLine="420" w:firstLineChars="200"/>
      </w:pPr>
    </w:p>
    <w:p w14:paraId="71C0DB7D">
      <w:pPr>
        <w:ind w:firstLine="420" w:firstLineChars="200"/>
      </w:pPr>
    </w:p>
    <w:p w14:paraId="1274B6AF">
      <w:pPr>
        <w:ind w:firstLine="420" w:firstLineChars="200"/>
      </w:pPr>
    </w:p>
    <w:p w14:paraId="065BDA0D">
      <w:pPr>
        <w:ind w:firstLine="420" w:firstLineChars="200"/>
      </w:pPr>
    </w:p>
    <w:p w14:paraId="28ACD8CE">
      <w:pPr>
        <w:ind w:firstLine="420" w:firstLineChars="200"/>
      </w:pPr>
    </w:p>
    <w:p w14:paraId="3FA666EE">
      <w:pPr>
        <w:ind w:firstLine="420" w:firstLineChars="200"/>
      </w:pPr>
    </w:p>
    <w:p w14:paraId="7EBA55FF">
      <w:pPr>
        <w:ind w:firstLine="420" w:firstLineChars="200"/>
      </w:pPr>
    </w:p>
    <w:p w14:paraId="3F8CBF10">
      <w:pPr>
        <w:ind w:firstLine="420" w:firstLineChars="200"/>
      </w:pPr>
    </w:p>
    <w:p w14:paraId="25B40266">
      <w:pPr>
        <w:ind w:firstLine="420" w:firstLineChars="200"/>
      </w:pPr>
    </w:p>
    <w:p w14:paraId="5EDC1D23">
      <w:pPr>
        <w:ind w:firstLine="420" w:firstLineChars="200"/>
      </w:pPr>
    </w:p>
    <w:p w14:paraId="03C849DE">
      <w:pPr>
        <w:ind w:firstLine="420" w:firstLineChars="200"/>
      </w:pPr>
    </w:p>
    <w:p w14:paraId="1C0C8063">
      <w:pPr>
        <w:ind w:firstLine="420" w:firstLineChars="200"/>
      </w:pPr>
    </w:p>
    <w:p w14:paraId="2B4741DD">
      <w:pPr>
        <w:ind w:firstLine="420" w:firstLineChars="200"/>
      </w:pPr>
    </w:p>
    <w:p w14:paraId="497853FF">
      <w:pPr>
        <w:ind w:firstLine="420" w:firstLineChars="200"/>
      </w:pPr>
    </w:p>
    <w:p w14:paraId="384B99A6">
      <w:pPr>
        <w:ind w:firstLine="420" w:firstLineChars="200"/>
      </w:pPr>
      <w:r>
        <w:rPr>
          <w:rFonts w:hint="eastAsia"/>
        </w:rPr>
        <w:t>通过题1和题2可以得出：绝大多数群众对防疫的了解程度只是知道，能保护好自己的程度，所以还应该多推广防疫知识以及加强群众的防疫意识。通过统计得出公众对于新冠疫情防护的知晓率表格：题1选择知道的情况下，题2选择“足够多，能保护好自己”的为91.26%。</w:t>
      </w:r>
    </w:p>
    <w:p w14:paraId="19A5E322">
      <w:pPr>
        <w:ind w:firstLine="420" w:firstLineChars="200"/>
      </w:pPr>
      <w:r>
        <w:rPr>
          <w:rFonts w:hint="eastAsia"/>
        </w:rPr>
        <w:t>表6 公众对于新冠疫情防护的知晓率</w:t>
      </w:r>
    </w:p>
    <w:tbl>
      <w:tblPr>
        <w:tblStyle w:val="17"/>
        <w:tblW w:w="9282" w:type="dxa"/>
        <w:tblInd w:w="0" w:type="dxa"/>
        <w:tblLayout w:type="fixed"/>
        <w:tblCellMar>
          <w:top w:w="0" w:type="dxa"/>
          <w:left w:w="108" w:type="dxa"/>
          <w:bottom w:w="0" w:type="dxa"/>
          <w:right w:w="108" w:type="dxa"/>
        </w:tblCellMar>
      </w:tblPr>
      <w:tblGrid>
        <w:gridCol w:w="1056"/>
        <w:gridCol w:w="2316"/>
        <w:gridCol w:w="636"/>
        <w:gridCol w:w="1056"/>
        <w:gridCol w:w="4218"/>
      </w:tblGrid>
      <w:tr w14:paraId="686F2627">
        <w:tblPrEx>
          <w:tblCellMar>
            <w:top w:w="0" w:type="dxa"/>
            <w:left w:w="108" w:type="dxa"/>
            <w:bottom w:w="0" w:type="dxa"/>
            <w:right w:w="108" w:type="dxa"/>
          </w:tblCellMar>
        </w:tblPrEx>
        <w:trPr>
          <w:trHeight w:val="280" w:hRule="atLeast"/>
        </w:trPr>
        <w:tc>
          <w:tcPr>
            <w:tcW w:w="1056" w:type="dxa"/>
            <w:tcBorders>
              <w:top w:val="single" w:color="000000" w:sz="8" w:space="0"/>
              <w:left w:val="dotted" w:color="auto" w:sz="0" w:space="0"/>
              <w:bottom w:val="single" w:color="000000" w:sz="8" w:space="0"/>
              <w:right w:val="dotted" w:color="auto" w:sz="0" w:space="0"/>
            </w:tcBorders>
            <w:shd w:val="clear" w:color="DCE6F1" w:fill="FFFFFF"/>
            <w:noWrap/>
            <w:vAlign w:val="bottom"/>
          </w:tcPr>
          <w:p w14:paraId="0FFD093B"/>
        </w:tc>
        <w:tc>
          <w:tcPr>
            <w:tcW w:w="2316" w:type="dxa"/>
            <w:tcBorders>
              <w:top w:val="single" w:color="000000" w:sz="8" w:space="0"/>
              <w:left w:val="dotted" w:color="auto" w:sz="0" w:space="0"/>
              <w:bottom w:val="single" w:color="000000" w:sz="8" w:space="0"/>
              <w:right w:val="dotted" w:color="auto" w:sz="0" w:space="0"/>
            </w:tcBorders>
            <w:shd w:val="clear" w:color="DCE6F1" w:fill="FFFFFF"/>
            <w:noWrap/>
            <w:vAlign w:val="center"/>
          </w:tcPr>
          <w:p w14:paraId="04879590">
            <w:r>
              <w:rPr>
                <w:rFonts w:hint="eastAsia"/>
              </w:rPr>
              <w:t>足够多，能保护好自己</w:t>
            </w:r>
          </w:p>
        </w:tc>
        <w:tc>
          <w:tcPr>
            <w:tcW w:w="636" w:type="dxa"/>
            <w:tcBorders>
              <w:top w:val="single" w:color="000000" w:sz="8" w:space="0"/>
              <w:left w:val="dotted" w:color="auto" w:sz="0" w:space="0"/>
              <w:bottom w:val="single" w:color="000000" w:sz="8" w:space="0"/>
              <w:right w:val="dotted" w:color="auto" w:sz="0" w:space="0"/>
            </w:tcBorders>
            <w:shd w:val="clear" w:color="DCE6F1" w:fill="FFFFFF"/>
            <w:noWrap/>
            <w:vAlign w:val="center"/>
          </w:tcPr>
          <w:p w14:paraId="00702BCF">
            <w:r>
              <w:rPr>
                <w:rFonts w:hint="eastAsia"/>
              </w:rPr>
              <w:t>一般</w:t>
            </w:r>
          </w:p>
        </w:tc>
        <w:tc>
          <w:tcPr>
            <w:tcW w:w="1056" w:type="dxa"/>
            <w:tcBorders>
              <w:top w:val="single" w:color="000000" w:sz="8" w:space="0"/>
              <w:left w:val="dotted" w:color="auto" w:sz="0" w:space="0"/>
              <w:bottom w:val="single" w:color="000000" w:sz="8" w:space="0"/>
              <w:right w:val="dotted" w:color="auto" w:sz="0" w:space="0"/>
            </w:tcBorders>
            <w:shd w:val="clear" w:color="DCE6F1" w:fill="FFFFFF"/>
            <w:noWrap/>
            <w:vAlign w:val="center"/>
          </w:tcPr>
          <w:p w14:paraId="56939242">
            <w:r>
              <w:rPr>
                <w:rFonts w:hint="eastAsia"/>
              </w:rPr>
              <w:t>远远不足</w:t>
            </w:r>
          </w:p>
        </w:tc>
        <w:tc>
          <w:tcPr>
            <w:tcW w:w="4218" w:type="dxa"/>
            <w:tcBorders>
              <w:top w:val="single" w:color="000000" w:sz="8" w:space="0"/>
              <w:left w:val="dotted" w:color="auto" w:sz="0" w:space="0"/>
              <w:bottom w:val="single" w:color="000000" w:sz="8" w:space="0"/>
              <w:right w:val="dotted" w:color="auto" w:sz="0" w:space="0"/>
            </w:tcBorders>
            <w:shd w:val="clear" w:color="DCE6F1" w:fill="FFFFFF"/>
            <w:noWrap/>
            <w:vAlign w:val="bottom"/>
          </w:tcPr>
          <w:p w14:paraId="0D64BBD4">
            <w:r>
              <w:t>总计</w:t>
            </w:r>
          </w:p>
        </w:tc>
      </w:tr>
      <w:tr w14:paraId="576646B2">
        <w:tblPrEx>
          <w:tblCellMar>
            <w:top w:w="0" w:type="dxa"/>
            <w:left w:w="108" w:type="dxa"/>
            <w:bottom w:w="0" w:type="dxa"/>
            <w:right w:w="108" w:type="dxa"/>
          </w:tblCellMar>
        </w:tblPrEx>
        <w:trPr>
          <w:trHeight w:val="280" w:hRule="atLeast"/>
        </w:trPr>
        <w:tc>
          <w:tcPr>
            <w:tcW w:w="1056" w:type="dxa"/>
            <w:tcBorders>
              <w:top w:val="single" w:color="000000" w:sz="8" w:space="0"/>
              <w:left w:val="dotted" w:color="auto" w:sz="0" w:space="0"/>
              <w:bottom w:val="dotted" w:color="auto" w:sz="0" w:space="0"/>
              <w:right w:val="dotted" w:color="auto" w:sz="0" w:space="0"/>
            </w:tcBorders>
            <w:shd w:val="clear" w:color="auto" w:fill="CCCCCC"/>
            <w:noWrap/>
            <w:vAlign w:val="center"/>
          </w:tcPr>
          <w:p w14:paraId="26714573">
            <w:r>
              <w:rPr>
                <w:rFonts w:hint="eastAsia"/>
              </w:rPr>
              <w:t>知道</w:t>
            </w:r>
          </w:p>
        </w:tc>
        <w:tc>
          <w:tcPr>
            <w:tcW w:w="2316" w:type="dxa"/>
            <w:tcBorders>
              <w:top w:val="single" w:color="000000" w:sz="8" w:space="0"/>
              <w:left w:val="dotted" w:color="auto" w:sz="0" w:space="0"/>
              <w:bottom w:val="dotted" w:color="auto" w:sz="0" w:space="0"/>
              <w:right w:val="dotted" w:color="auto" w:sz="0" w:space="0"/>
            </w:tcBorders>
            <w:shd w:val="clear" w:color="auto" w:fill="CCCCCC"/>
            <w:noWrap/>
            <w:vAlign w:val="bottom"/>
          </w:tcPr>
          <w:p w14:paraId="30CE914E">
            <w:r>
              <w:t>887</w:t>
            </w:r>
          </w:p>
        </w:tc>
        <w:tc>
          <w:tcPr>
            <w:tcW w:w="636" w:type="dxa"/>
            <w:tcBorders>
              <w:top w:val="single" w:color="000000" w:sz="8" w:space="0"/>
              <w:left w:val="dotted" w:color="auto" w:sz="0" w:space="0"/>
              <w:bottom w:val="dotted" w:color="auto" w:sz="0" w:space="0"/>
              <w:right w:val="dotted" w:color="auto" w:sz="0" w:space="0"/>
            </w:tcBorders>
            <w:shd w:val="clear" w:color="auto" w:fill="CCCCCC"/>
            <w:noWrap/>
            <w:vAlign w:val="bottom"/>
          </w:tcPr>
          <w:p w14:paraId="7F5D0C24">
            <w:r>
              <w:t>164</w:t>
            </w:r>
          </w:p>
        </w:tc>
        <w:tc>
          <w:tcPr>
            <w:tcW w:w="1056" w:type="dxa"/>
            <w:tcBorders>
              <w:top w:val="single" w:color="000000" w:sz="8" w:space="0"/>
              <w:left w:val="dotted" w:color="auto" w:sz="0" w:space="0"/>
              <w:bottom w:val="dotted" w:color="auto" w:sz="0" w:space="0"/>
              <w:right w:val="dotted" w:color="auto" w:sz="0" w:space="0"/>
            </w:tcBorders>
            <w:shd w:val="clear" w:color="auto" w:fill="CCCCCC"/>
            <w:noWrap/>
            <w:vAlign w:val="bottom"/>
          </w:tcPr>
          <w:p w14:paraId="66452FFE">
            <w:r>
              <w:t>9</w:t>
            </w:r>
          </w:p>
        </w:tc>
        <w:tc>
          <w:tcPr>
            <w:tcW w:w="4218" w:type="dxa"/>
            <w:tcBorders>
              <w:top w:val="single" w:color="000000" w:sz="8" w:space="0"/>
              <w:left w:val="dotted" w:color="auto" w:sz="0" w:space="0"/>
              <w:bottom w:val="dotted" w:color="auto" w:sz="0" w:space="0"/>
              <w:right w:val="dotted" w:color="auto" w:sz="0" w:space="0"/>
            </w:tcBorders>
            <w:shd w:val="clear" w:color="auto" w:fill="CCCCCC"/>
            <w:noWrap/>
            <w:vAlign w:val="bottom"/>
          </w:tcPr>
          <w:p w14:paraId="6AE17C73">
            <w:r>
              <w:t>1060</w:t>
            </w:r>
          </w:p>
        </w:tc>
      </w:tr>
      <w:tr w14:paraId="467D8261">
        <w:tblPrEx>
          <w:tblCellMar>
            <w:top w:w="0" w:type="dxa"/>
            <w:left w:w="108" w:type="dxa"/>
            <w:bottom w:w="0" w:type="dxa"/>
            <w:right w:w="108" w:type="dxa"/>
          </w:tblCellMar>
        </w:tblPrEx>
        <w:trPr>
          <w:trHeight w:val="280" w:hRule="atLeast"/>
        </w:trPr>
        <w:tc>
          <w:tcPr>
            <w:tcW w:w="105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639ECC">
            <w:r>
              <w:rPr>
                <w:rFonts w:hint="eastAsia"/>
              </w:rPr>
              <w:t>非常了解</w:t>
            </w:r>
          </w:p>
        </w:tc>
        <w:tc>
          <w:tcPr>
            <w:tcW w:w="2316" w:type="dxa"/>
            <w:tcBorders>
              <w:top w:val="dotted" w:color="auto" w:sz="0" w:space="0"/>
              <w:left w:val="dotted" w:color="auto" w:sz="0" w:space="0"/>
              <w:bottom w:val="dotted" w:color="auto" w:sz="0" w:space="0"/>
              <w:right w:val="dotted" w:color="auto" w:sz="0" w:space="0"/>
            </w:tcBorders>
            <w:shd w:val="clear" w:color="auto" w:fill="FFFFFF"/>
            <w:noWrap/>
            <w:vAlign w:val="bottom"/>
          </w:tcPr>
          <w:p w14:paraId="466764E5">
            <w:r>
              <w:t>15</w:t>
            </w:r>
          </w:p>
        </w:tc>
        <w:tc>
          <w:tcPr>
            <w:tcW w:w="636" w:type="dxa"/>
            <w:tcBorders>
              <w:top w:val="dotted" w:color="auto" w:sz="0" w:space="0"/>
              <w:left w:val="dotted" w:color="auto" w:sz="0" w:space="0"/>
              <w:bottom w:val="dotted" w:color="auto" w:sz="0" w:space="0"/>
              <w:right w:val="dotted" w:color="auto" w:sz="0" w:space="0"/>
            </w:tcBorders>
            <w:shd w:val="clear" w:color="auto" w:fill="FFFFFF"/>
            <w:noWrap/>
            <w:vAlign w:val="bottom"/>
          </w:tcPr>
          <w:p w14:paraId="4339B707">
            <w:r>
              <w:t>62</w:t>
            </w:r>
          </w:p>
        </w:tc>
        <w:tc>
          <w:tcPr>
            <w:tcW w:w="1056" w:type="dxa"/>
            <w:tcBorders>
              <w:top w:val="dotted" w:color="auto" w:sz="0" w:space="0"/>
              <w:left w:val="dotted" w:color="auto" w:sz="0" w:space="0"/>
              <w:bottom w:val="dotted" w:color="auto" w:sz="0" w:space="0"/>
              <w:right w:val="dotted" w:color="auto" w:sz="0" w:space="0"/>
            </w:tcBorders>
            <w:shd w:val="clear" w:color="auto" w:fill="FFFFFF"/>
            <w:noWrap/>
            <w:vAlign w:val="bottom"/>
          </w:tcPr>
          <w:p w14:paraId="3494E54D"/>
        </w:tc>
        <w:tc>
          <w:tcPr>
            <w:tcW w:w="4218" w:type="dxa"/>
            <w:tcBorders>
              <w:top w:val="dotted" w:color="auto" w:sz="0" w:space="0"/>
              <w:left w:val="dotted" w:color="auto" w:sz="0" w:space="0"/>
              <w:bottom w:val="dotted" w:color="auto" w:sz="0" w:space="0"/>
              <w:right w:val="dotted" w:color="auto" w:sz="0" w:space="0"/>
            </w:tcBorders>
            <w:shd w:val="clear" w:color="auto" w:fill="FFFFFF"/>
            <w:noWrap/>
            <w:vAlign w:val="bottom"/>
          </w:tcPr>
          <w:p w14:paraId="27F9657D">
            <w:r>
              <w:t>77</w:t>
            </w:r>
          </w:p>
        </w:tc>
      </w:tr>
      <w:tr w14:paraId="2D179907">
        <w:tblPrEx>
          <w:tblCellMar>
            <w:top w:w="0" w:type="dxa"/>
            <w:left w:w="108" w:type="dxa"/>
            <w:bottom w:w="0" w:type="dxa"/>
            <w:right w:w="108" w:type="dxa"/>
          </w:tblCellMar>
        </w:tblPrEx>
        <w:trPr>
          <w:trHeight w:val="280" w:hRule="atLeast"/>
        </w:trPr>
        <w:tc>
          <w:tcPr>
            <w:tcW w:w="1056" w:type="dxa"/>
            <w:tcBorders>
              <w:top w:val="dotted" w:color="auto" w:sz="0" w:space="0"/>
              <w:left w:val="dotted" w:color="auto" w:sz="0" w:space="0"/>
              <w:bottom w:val="dotted" w:color="auto" w:sz="0" w:space="0"/>
              <w:right w:val="dotted" w:color="auto" w:sz="0" w:space="0"/>
            </w:tcBorders>
            <w:shd w:val="clear" w:color="auto" w:fill="CCCCCC"/>
            <w:noWrap/>
            <w:vAlign w:val="center"/>
          </w:tcPr>
          <w:p w14:paraId="7D5D0A12">
            <w:r>
              <w:rPr>
                <w:rFonts w:hint="eastAsia"/>
              </w:rPr>
              <w:t>了解一些</w:t>
            </w:r>
          </w:p>
        </w:tc>
        <w:tc>
          <w:tcPr>
            <w:tcW w:w="2316" w:type="dxa"/>
            <w:tcBorders>
              <w:top w:val="dotted" w:color="auto" w:sz="0" w:space="0"/>
              <w:left w:val="dotted" w:color="auto" w:sz="0" w:space="0"/>
              <w:bottom w:val="dotted" w:color="auto" w:sz="0" w:space="0"/>
              <w:right w:val="dotted" w:color="auto" w:sz="0" w:space="0"/>
            </w:tcBorders>
            <w:shd w:val="clear" w:color="auto" w:fill="CCCCCC"/>
            <w:noWrap/>
            <w:vAlign w:val="bottom"/>
          </w:tcPr>
          <w:p w14:paraId="03F950B8">
            <w:r>
              <w:t>153</w:t>
            </w:r>
          </w:p>
        </w:tc>
        <w:tc>
          <w:tcPr>
            <w:tcW w:w="636" w:type="dxa"/>
            <w:tcBorders>
              <w:top w:val="dotted" w:color="auto" w:sz="0" w:space="0"/>
              <w:left w:val="dotted" w:color="auto" w:sz="0" w:space="0"/>
              <w:bottom w:val="dotted" w:color="auto" w:sz="0" w:space="0"/>
              <w:right w:val="dotted" w:color="auto" w:sz="0" w:space="0"/>
            </w:tcBorders>
            <w:shd w:val="clear" w:color="auto" w:fill="CCCCCC"/>
            <w:noWrap/>
            <w:vAlign w:val="bottom"/>
          </w:tcPr>
          <w:p w14:paraId="26D96474">
            <w:r>
              <w:t>20</w:t>
            </w:r>
          </w:p>
        </w:tc>
        <w:tc>
          <w:tcPr>
            <w:tcW w:w="1056" w:type="dxa"/>
            <w:tcBorders>
              <w:top w:val="dotted" w:color="auto" w:sz="0" w:space="0"/>
              <w:left w:val="dotted" w:color="auto" w:sz="0" w:space="0"/>
              <w:bottom w:val="dotted" w:color="auto" w:sz="0" w:space="0"/>
              <w:right w:val="dotted" w:color="auto" w:sz="0" w:space="0"/>
            </w:tcBorders>
            <w:shd w:val="clear" w:color="auto" w:fill="CCCCCC"/>
            <w:noWrap/>
            <w:vAlign w:val="bottom"/>
          </w:tcPr>
          <w:p w14:paraId="186B05D4">
            <w:r>
              <w:t>3</w:t>
            </w:r>
          </w:p>
        </w:tc>
        <w:tc>
          <w:tcPr>
            <w:tcW w:w="4218" w:type="dxa"/>
            <w:tcBorders>
              <w:top w:val="dotted" w:color="auto" w:sz="0" w:space="0"/>
              <w:left w:val="dotted" w:color="auto" w:sz="0" w:space="0"/>
              <w:bottom w:val="dotted" w:color="auto" w:sz="0" w:space="0"/>
              <w:right w:val="dotted" w:color="auto" w:sz="0" w:space="0"/>
            </w:tcBorders>
            <w:shd w:val="clear" w:color="auto" w:fill="CCCCCC"/>
            <w:noWrap/>
            <w:vAlign w:val="bottom"/>
          </w:tcPr>
          <w:p w14:paraId="570A166D">
            <w:r>
              <w:t>176</w:t>
            </w:r>
          </w:p>
        </w:tc>
      </w:tr>
      <w:tr w14:paraId="4051C851">
        <w:tblPrEx>
          <w:tblCellMar>
            <w:top w:w="0" w:type="dxa"/>
            <w:left w:w="108" w:type="dxa"/>
            <w:bottom w:w="0" w:type="dxa"/>
            <w:right w:w="108" w:type="dxa"/>
          </w:tblCellMar>
        </w:tblPrEx>
        <w:trPr>
          <w:trHeight w:val="280" w:hRule="atLeast"/>
        </w:trPr>
        <w:tc>
          <w:tcPr>
            <w:tcW w:w="1056" w:type="dxa"/>
            <w:tcBorders>
              <w:top w:val="dotted" w:color="auto" w:sz="0" w:space="0"/>
              <w:left w:val="dotted" w:color="auto" w:sz="0" w:space="0"/>
              <w:bottom w:val="single" w:color="000000" w:sz="8" w:space="0"/>
              <w:right w:val="dotted" w:color="auto" w:sz="0" w:space="0"/>
            </w:tcBorders>
            <w:shd w:val="clear" w:color="auto" w:fill="FFFFFF"/>
            <w:noWrap/>
            <w:vAlign w:val="center"/>
          </w:tcPr>
          <w:p w14:paraId="594245F7">
            <w:r>
              <w:rPr>
                <w:rFonts w:hint="eastAsia"/>
              </w:rPr>
              <w:t>不太清楚</w:t>
            </w:r>
          </w:p>
        </w:tc>
        <w:tc>
          <w:tcPr>
            <w:tcW w:w="2316" w:type="dxa"/>
            <w:tcBorders>
              <w:top w:val="dotted" w:color="auto" w:sz="0" w:space="0"/>
              <w:left w:val="dotted" w:color="auto" w:sz="0" w:space="0"/>
              <w:bottom w:val="single" w:color="000000" w:sz="8" w:space="0"/>
              <w:right w:val="dotted" w:color="auto" w:sz="0" w:space="0"/>
            </w:tcBorders>
            <w:shd w:val="clear" w:color="auto" w:fill="FFFFFF"/>
            <w:noWrap/>
            <w:vAlign w:val="bottom"/>
          </w:tcPr>
          <w:p w14:paraId="1AAAD84A">
            <w:r>
              <w:rPr>
                <w:rFonts w:hint="eastAsia"/>
              </w:rPr>
              <w:t>0</w:t>
            </w:r>
          </w:p>
        </w:tc>
        <w:tc>
          <w:tcPr>
            <w:tcW w:w="636" w:type="dxa"/>
            <w:tcBorders>
              <w:top w:val="dotted" w:color="auto" w:sz="0" w:space="0"/>
              <w:left w:val="dotted" w:color="auto" w:sz="0" w:space="0"/>
              <w:bottom w:val="single" w:color="000000" w:sz="8" w:space="0"/>
              <w:right w:val="dotted" w:color="auto" w:sz="0" w:space="0"/>
            </w:tcBorders>
            <w:shd w:val="clear" w:color="auto" w:fill="FFFFFF"/>
            <w:noWrap/>
            <w:vAlign w:val="bottom"/>
          </w:tcPr>
          <w:p w14:paraId="1BFFC376">
            <w:r>
              <w:t>2</w:t>
            </w:r>
          </w:p>
        </w:tc>
        <w:tc>
          <w:tcPr>
            <w:tcW w:w="1056" w:type="dxa"/>
            <w:tcBorders>
              <w:top w:val="dotted" w:color="auto" w:sz="0" w:space="0"/>
              <w:left w:val="dotted" w:color="auto" w:sz="0" w:space="0"/>
              <w:bottom w:val="single" w:color="000000" w:sz="8" w:space="0"/>
              <w:right w:val="dotted" w:color="auto" w:sz="0" w:space="0"/>
            </w:tcBorders>
            <w:shd w:val="clear" w:color="auto" w:fill="FFFFFF"/>
            <w:noWrap/>
            <w:vAlign w:val="bottom"/>
          </w:tcPr>
          <w:p w14:paraId="7D88703D"/>
        </w:tc>
        <w:tc>
          <w:tcPr>
            <w:tcW w:w="4218" w:type="dxa"/>
            <w:tcBorders>
              <w:top w:val="dotted" w:color="auto" w:sz="0" w:space="0"/>
              <w:left w:val="dotted" w:color="auto" w:sz="0" w:space="0"/>
              <w:bottom w:val="single" w:color="000000" w:sz="8" w:space="0"/>
              <w:right w:val="dotted" w:color="auto" w:sz="0" w:space="0"/>
            </w:tcBorders>
            <w:shd w:val="clear" w:color="auto" w:fill="FFFFFF"/>
            <w:noWrap/>
            <w:vAlign w:val="bottom"/>
          </w:tcPr>
          <w:p w14:paraId="4B4D6B0E">
            <w:r>
              <w:t>2</w:t>
            </w:r>
          </w:p>
        </w:tc>
      </w:tr>
    </w:tbl>
    <w:p w14:paraId="32990A1E">
      <w:pPr>
        <w:ind w:firstLine="420" w:firstLineChars="200"/>
      </w:pPr>
      <w:r>
        <w:rPr>
          <w:rFonts w:hint="eastAsia"/>
        </w:rPr>
        <w:t>3.提高医疗服务水平</w:t>
      </w:r>
    </w:p>
    <w:p w14:paraId="5399C567">
      <w:pPr>
        <w:ind w:firstLine="420" w:firstLineChars="200"/>
      </w:pPr>
      <w:r>
        <w:rPr>
          <w:rFonts w:hint="eastAsia"/>
        </w:rPr>
        <w:t>疫情最严重时，莆田学院附属医院新旧两院区共设立了7个应急病区，最多收治床位数242张，成为当地疫情防控最坚强的后盾。莆田共有确诊病例56例，仅次于福州，是福建省抗击疫情的第二大战场。如果按照人口比例计算，莆田则是福建省疫情最严重的城市。为应对未来可能出现的疫情变化，莆田市附属医院的“莆田应急病房及肺科大楼配套工程项目”按照“集中患者、集中专家、集中资源、集中救治”的原则建设了莆田版“小汤山”应急隔离负压病房。仅10天时间，14张床位的负压病房建成，包括护士站、抢救室、观察室、处理室、治疗室等配套，病房配备了负压设施、实行医护人员和患者的双通道，进一步提升危重症患者的救治能力。购置便携式超声诊断仪、移动DR(数字化医用X射线摄影设备)、 体外膜氧合ECMO（离心泵）、呼吸机（具备高流量氧疗模式）、RICU中央监护系统、隔离病房中央监护系统（1拖13）等相关设备35余项。确保发热门诊、感染病区的规范化建设和运作，有效提高医疗服务水平，并保证新冠肺炎疑似病例的临时传染病医疗用房的正常运转，为新型冠状病毒感染的肺炎防控诊疗打好基础。6月12日，莆田市首条“不下车”核酸检测通道投用，为巩固新冠肺炎疫情防控成果再添利器。该条核酸检测通道由莆田市核酸定点检测机构——莆田博奥医学检验所打造。检测者驱车抵达采样点后，全程不用下车，只需3分钟就能完成采样，最快24小时即可获取报告结果。此外，现场还同时设置了行人采样通道，两条通道同步运作。12月29日，莆田学院附属医院在原有新冠核酸检测系统基础上，引进莆田市首台型号为AGS8830-16的“实时荧光定量PCR仪”用于新冠核酸快速检测，将常规PCR实验室模式下5小时完成核酸检测报告缩短至1小时以内，大大缩短检测时间，提升检测效率。莆田市第一医院新型冠状病毒专用CT设备、医用负压急救车、新型冠状病毒核酸检测专用PCR实验室、区院智能测温及实名制人员管理通道系统等抗疫设备；建设能为感染性疾病科等抗疫科室提供专职技术人员的在万级洁净、密闭环境下，局部百万级洁净的操作台上进行配置的功能配置中心。莆田学院附属医院、莆田市第一医院、莆田市疾控中心等通过购置的新型冠状病毒感染的肺炎疫情相关的医疗设备，有效提高了医疗服务水平。加强发热门诊、感染病区的规范化建设和运作，提高新型冠状病毒感染肺炎的诊断水平，减少漏诊误诊，做到早发现、早报告、早隔离、早治疗。</w:t>
      </w:r>
    </w:p>
    <w:p w14:paraId="0E52537B">
      <w:pPr>
        <w:ind w:firstLine="420" w:firstLineChars="200"/>
      </w:pPr>
      <w:r>
        <w:rPr>
          <w:rFonts w:hint="eastAsia"/>
        </w:rPr>
        <w:t>4.及时下解资金，多方筹措，保障应急物资供应</w:t>
      </w:r>
    </w:p>
    <w:p w14:paraId="27971F58">
      <w:pPr>
        <w:ind w:firstLine="420" w:firstLineChars="200"/>
      </w:pPr>
      <w:r>
        <w:rPr>
          <w:rFonts w:hint="eastAsia"/>
        </w:rPr>
        <w:t>克服春节期间停工、停市、停运、物资紧缺等困难，动员全部力量筹措防控物资。在面临医用酒精断供、医用防护服、N95 口罩、测温仪告罄的情况下，组建口罩生产攻坚小组，攻克了技术、原材料等一系列难题，2月8日，莆田就摆脱了民用口罩短缺的困境，自主生产的口罩日产量达到百万个以上。几天后，日产能达到200万个，不仅满足了全市的需求，而且还可以向全省乃至全国供给一部分。3月16日，在莆田市湄洲湾北岸经济开发区两岸生技产业园，全市首个医用口罩厂房装修完毕。厂房内安装有6台机器，组装了两条生产线。据测算，每条生产线日均出产40万个医用口罩，共计日产80万个。针对停工停产问题，莆田市综合施策，推动各类在建项目和企业复工复产。例如，对2月底前复工且持续推进的重点项目，给予一次性资金补助；依托“企业用工共享信息平台”，帮助重点复工复产企业调剂用工等等。各级卫健部门加大力度，主动帮扶服务企业复工复产，累计向企业赠送复工复产的防控宣传海报8000套、健康防护知识折页9万张、知识手册1000本。市、县区疾控部门和卫生监督部门，各乡镇卫生院（社区卫生服务中心）全方位指导企业落实各项防控措施。对于一线抗疫工作者可能发生的危险，当地政府以财政出资的形式，为他们购买商业保险。通过我们的抽样调查，疫情防控一线工作人员对当地政府及相关医疗卫生单位配齐防护物资、防护设备和防护用品调配满意度为81.09%，对疫情期间工作的安排或应对情况满意度为80.98%，满意度总体呈现良好。</w:t>
      </w:r>
    </w:p>
    <w:p w14:paraId="78ED6755">
      <w:pPr>
        <w:ind w:firstLine="420" w:firstLineChars="200"/>
      </w:pPr>
      <w:r>
        <w:rPr>
          <w:rFonts w:hint="eastAsia"/>
        </w:rPr>
        <w:t>（二）存在的问题及原因分析</w:t>
      </w:r>
    </w:p>
    <w:p w14:paraId="2634673D">
      <w:pPr>
        <w:ind w:firstLine="420" w:firstLineChars="200"/>
      </w:pPr>
      <w:r>
        <w:rPr>
          <w:rFonts w:hint="eastAsia"/>
        </w:rPr>
        <w:t>1.部分单位缺少防疫专项资金的资金管理办法</w:t>
      </w:r>
    </w:p>
    <w:p w14:paraId="43E19746">
      <w:pPr>
        <w:ind w:firstLine="420" w:firstLineChars="200"/>
      </w:pPr>
      <w:r>
        <w:rPr>
          <w:rFonts w:hint="eastAsia"/>
        </w:rPr>
        <w:t>本次新冠疫情防疫资金是各级财政下拨给各相关单位专门用于新冠疫情防疫工作的具备指定用途的财政资金，具备单独核算、专款专用、单独报账结算等特点。专项资金的相关管理制度可以在很大程度上使新冠疫情防疫资金从预算、执行、核算各个环节实现有制可依，对规范管理起到积极作用。从本次提交的佐证资料中发现，大多数单位没有防疫专项资金的资金具体管理制度及办法。各单位财务管理方面，均使用常规时期的财务管理办法，此办法虽对项目支出管理起到一定的约束作用，但制度较为宽泛，不利于规范新冠疫情防疫资金发挥其应有的效益。</w:t>
      </w:r>
    </w:p>
    <w:p w14:paraId="4456E2F1">
      <w:pPr>
        <w:ind w:firstLine="420" w:firstLineChars="200"/>
      </w:pPr>
      <w:r>
        <w:rPr>
          <w:rFonts w:hint="eastAsia"/>
        </w:rPr>
        <w:t>2.部分项目资金通过绿色通道使用，结算支出速度较慢</w:t>
      </w:r>
    </w:p>
    <w:p w14:paraId="526D66D7">
      <w:pPr>
        <w:ind w:firstLine="420" w:firstLineChars="200"/>
      </w:pPr>
      <w:r>
        <w:rPr>
          <w:rFonts w:hint="eastAsia"/>
        </w:rPr>
        <w:t>由于新冠肺炎疫情爆发的突发性和不可控性，根据当时疫情的实际情况，疫情期间有部分疫情防控相关货物、工程和服务通过“绿色通道”的方式进行采购，部分项目资金巳支出，暂未结算支出。</w:t>
      </w:r>
    </w:p>
    <w:p w14:paraId="71C754CB">
      <w:pPr>
        <w:ind w:firstLine="420" w:firstLineChars="200"/>
      </w:pPr>
      <w:r>
        <w:rPr>
          <w:rFonts w:hint="eastAsia"/>
        </w:rPr>
        <w:t>3.经费使用事后未及时开展绩效管理</w:t>
      </w:r>
    </w:p>
    <w:p w14:paraId="52A42931">
      <w:pPr>
        <w:ind w:firstLine="420" w:firstLineChars="200"/>
      </w:pPr>
      <w:r>
        <w:rPr>
          <w:rFonts w:hint="eastAsia"/>
        </w:rPr>
        <w:t>对疫情防控任务紧急、不能同步编制绩效目标的，在资金下达后，未及时补报绩效目标，并强化绩效运行监控。目前资金使用主要问题是绩效目标的设置不够全面，如服务对象满意度指标仅考虑了莆田学院附属医院出院病人满意度，设置了三级指标“观察点、企业、福利院、监管场所等消毒指导满意率”，但部门评价时候未进行数据采集。</w:t>
      </w:r>
    </w:p>
    <w:p w14:paraId="0A527CA9">
      <w:pPr>
        <w:ind w:firstLine="420" w:firstLineChars="200"/>
      </w:pPr>
      <w:r>
        <w:rPr>
          <w:rFonts w:hint="eastAsia"/>
        </w:rPr>
        <w:t>4.疫情防控可持续性存在缺陷</w:t>
      </w:r>
    </w:p>
    <w:p w14:paraId="3F1AD69D">
      <w:pPr>
        <w:ind w:firstLine="420" w:firstLineChars="200"/>
      </w:pPr>
      <w:r>
        <w:rPr>
          <w:rFonts w:hint="eastAsia"/>
        </w:rPr>
        <w:t>疫情期间指挥部成员部分已回归原本工作岗位，工作人员具有很大的流动性，新接手的工作人员对前期工作不了解，档案及相应的经验总结未形成系统的衔接，不方便后续审查及疫情防控工作经验的承继发扬。</w:t>
      </w:r>
    </w:p>
    <w:p w14:paraId="206D5395">
      <w:pPr>
        <w:ind w:firstLine="420" w:firstLineChars="200"/>
        <w:outlineLvl w:val="0"/>
      </w:pPr>
      <w:bookmarkStart w:id="174" w:name="_Toc7571"/>
      <w:r>
        <w:rPr>
          <w:rFonts w:hint="eastAsia"/>
        </w:rPr>
        <w:t>六、相关建议</w:t>
      </w:r>
      <w:bookmarkEnd w:id="174"/>
    </w:p>
    <w:p w14:paraId="5AE5CF55">
      <w:pPr>
        <w:ind w:firstLine="420" w:firstLineChars="200"/>
      </w:pPr>
      <w:r>
        <w:rPr>
          <w:rFonts w:hint="eastAsia"/>
        </w:rPr>
        <w:t>（一）建立健全资金管理制度</w:t>
      </w:r>
    </w:p>
    <w:p w14:paraId="61E66275">
      <w:pPr>
        <w:ind w:firstLine="420" w:firstLineChars="200"/>
      </w:pPr>
      <w:r>
        <w:rPr>
          <w:rFonts w:hint="eastAsia"/>
        </w:rPr>
        <w:t>莆田市各级财政部门针对突发疫情时使用资金流程的情况，应结合疫情期间实际情况，建立一套可操作的、健全的疫情专项资金管理办法、物资管理办法、财务管理办法。防疫资金使用单位应对专项资金实行“专人管理、专户储存、专账核算、专项使用”，建立健全资金使用明细账和各项物资入库登记、领用发放和使用管理等规章制度，建立新冠肺炎疫情防控补助资金使用台账，确保账务齐全、手续完整。</w:t>
      </w:r>
    </w:p>
    <w:p w14:paraId="07D759EA">
      <w:pPr>
        <w:ind w:firstLine="420" w:firstLineChars="200"/>
      </w:pPr>
      <w:r>
        <w:rPr>
          <w:rFonts w:hint="eastAsia"/>
        </w:rPr>
        <w:t>（二）解决资金缺口</w:t>
      </w:r>
    </w:p>
    <w:p w14:paraId="506533CD">
      <w:pPr>
        <w:ind w:firstLine="420" w:firstLineChars="200"/>
      </w:pPr>
      <w:r>
        <w:rPr>
          <w:rFonts w:hint="eastAsia"/>
        </w:rPr>
        <w:t>本次评价资金范围仅为疫情期间支出，后续复工复产、稳定投资、保障经济平稳运行还需较大投入，可积极争取中央安排的疫情防控经费及福建省疫情防控专项债券资金支持。充分把握“医疗卫生建设类项目不受非标专项债申报数量限制”政策窗口期，全力争取纳入省级项目储备库管理，积极运用政府专项债券政策补齐公共卫生服务领域短板。</w:t>
      </w:r>
    </w:p>
    <w:p w14:paraId="267BCB0B">
      <w:pPr>
        <w:ind w:firstLine="420" w:firstLineChars="200"/>
      </w:pPr>
      <w:r>
        <w:rPr>
          <w:rFonts w:hint="eastAsia"/>
        </w:rPr>
        <w:t>（三）对绩效目标管理实行备案制</w:t>
      </w:r>
    </w:p>
    <w:p w14:paraId="5E8DBA40">
      <w:pPr>
        <w:ind w:firstLine="420" w:firstLineChars="200"/>
      </w:pPr>
      <w:r>
        <w:rPr>
          <w:rFonts w:hint="eastAsia"/>
        </w:rPr>
        <w:t>鉴于疫情防控的特殊性，为确保疫情防控财税政策和补助资金及时到位，可根据“特事特办、急事急办”原则，构建与疫情防控形势相适应的工作机制。前期未申报绩效目标，在疫情转入新时期常态化管控期，资金使用单位要根据绩效目标填报要求，从过程、产出和效益等方面，细化资金使用的方向、用途以及数量、质量、时效、成本等方面的指标，包括取得的社会、满意度和可持续影响效益，送同级财政部门备案, 发挥绩效目标“引导立向”功能，为后续的绩效评价提供可参考的标准。在绩效管理过程上，实施事前、事中、事后区别化监管，确保疫情防控资金安全高效使用。简化事前绩效管理，提高资金拨付效率、强化事中跟踪监控，规范资金使用、实施事后绩效评价，完善应急资金管理。在强化责任落实上，牢固树立防控资金绩效责任主体意识，确保疫情防控资金绩效管理有效落实。</w:t>
      </w:r>
    </w:p>
    <w:p w14:paraId="26602203">
      <w:pPr>
        <w:ind w:firstLine="420" w:firstLineChars="200"/>
      </w:pPr>
      <w:r>
        <w:rPr>
          <w:rFonts w:hint="eastAsia"/>
        </w:rPr>
        <w:t>（四）加强基层公共卫生应急管理建设</w:t>
      </w:r>
    </w:p>
    <w:p w14:paraId="6167B963">
      <w:pPr>
        <w:ind w:firstLine="420" w:firstLineChars="200"/>
      </w:pPr>
      <w:r>
        <w:rPr>
          <w:rFonts w:hint="eastAsia"/>
        </w:rPr>
        <w:t>基层公共卫生应急管理建设是当前重要工作，应加大重点防控物资保障供应和医务人员激励保障的政策性倾向。加强重大疫情应急指挥机制建设。建立集中统一高效的领导指挥体系，健全和优化平战结合的联防联控机制、上下联动的疫情应对机制。改革完善疾病预防控制体系。一是强化监测预警。改进不明原因疾病和异常健康事件监测机制，提高评估监测敏感性和准确性，建立智慧化预警多点触发机制，健全网络直报、舆情监测、医疗卫生人员报告、科研发现报告等多渠道疫情监测和快速反应体系，提高重大公共卫生风险发现、报告、预警、响应和处置能力。二是完善功能定位。优化完善疾病预防控制机构的职能设置，创新医防协同机制，强化各级医疗机构疾病预防控制职责，督促落实传染病疫情和突发公共卫生事件报告责任，健全疾控机构与城乡社区联动工作机制，加强乡镇卫生院和社区卫生服务中心疾病预防控制职责，夯实联防联控的基层基础。三是加强人才队伍建设。建立适应现代化疾控体系的人才培养使用机制，健全完善待遇、考核、评价和激励等相关政策，增强一线疾控人员的荣誉感和使命感。</w:t>
      </w:r>
    </w:p>
    <w:p w14:paraId="1253CA13">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2CA27B41">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4CC85107">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3AEA6041">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696CDD13">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0E7BB2FC">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0ADB3B46">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2021C866">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48C29F6B">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0ED1B531">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06F5E730">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0AE79C51">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4F0BFA4F">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70FEB799">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7C076095">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67240787">
      <w:pPr>
        <w:pStyle w:val="2"/>
      </w:pPr>
      <w:bookmarkStart w:id="175" w:name="_Toc12734"/>
      <w:r>
        <w:rPr>
          <w:rFonts w:hint="eastAsia"/>
        </w:rPr>
        <w:t>“全闽乐购”促消费专项资金中期绩效</w:t>
      </w:r>
      <w:bookmarkStart w:id="176" w:name="_Toc8214"/>
      <w:r>
        <w:rPr>
          <w:rFonts w:hint="eastAsia"/>
        </w:rPr>
        <w:t>评价报告</w:t>
      </w:r>
      <w:bookmarkEnd w:id="175"/>
      <w:bookmarkEnd w:id="176"/>
    </w:p>
    <w:p w14:paraId="4A81D00F">
      <w:pPr>
        <w:ind w:firstLine="420" w:firstLineChars="200"/>
      </w:pPr>
      <w:r>
        <w:rPr>
          <w:rFonts w:hint="eastAsia"/>
        </w:rPr>
        <w:t>2019年底突如其来的新冠疫情不仅给人民的健康生活带来巨大的影响，还给整个社会经济的发展带来重创。为了减少疫情对经济的影响，福建省借助“五一”、“端午”节日，在全省范围内开始组织2020年“全闽乐购”促消费系列活动。莆田市于2020年8月20日启动“全闽乐购莆田行动”促消费活动,截止到2021年3月31日，全市已通过云闪付发放52,338,398.80元政府消费券，对全市的经济实现恢复性增长起到了积极作用。为了解“全闽乐购”促消费活动立项以来专项资金的使用情况，根据《预算法》、《福建省商务厅福建省财政厅关于进一步落实促销费行动方案工作的通知》（闽商务[2020]174号）、《福建省财政厅关于印发《福建省财政支出绩效评价管理办法》的通知》（闽财绩[2015]4号）、《莆田市财政局关于印发《莆田市市级财政专项资金管理办法》的通知》（莆财预[2017]159号）等的规定，对莆田市“全闽乐购”促消费资金的使用进行绩效评价。通过绩效评价，得出进一步加强财政专项资金规范使用和管理的建议及措施，促进财政专项资金年度计划管理工作，提高财政资金使用效率。</w:t>
      </w:r>
    </w:p>
    <w:p w14:paraId="265CEB03">
      <w:pPr>
        <w:ind w:firstLine="420" w:firstLineChars="200"/>
        <w:outlineLvl w:val="0"/>
      </w:pPr>
      <w:bookmarkStart w:id="177" w:name="_Toc8403"/>
      <w:bookmarkStart w:id="178" w:name="_Toc30983"/>
      <w:bookmarkStart w:id="179" w:name="_Toc897"/>
      <w:bookmarkStart w:id="180" w:name="_Toc2099"/>
      <w:r>
        <w:rPr>
          <w:rFonts w:hint="eastAsia"/>
        </w:rPr>
        <w:t>一、项目基本情况</w:t>
      </w:r>
      <w:bookmarkEnd w:id="177"/>
      <w:bookmarkEnd w:id="178"/>
      <w:bookmarkEnd w:id="179"/>
      <w:bookmarkEnd w:id="180"/>
    </w:p>
    <w:p w14:paraId="482ED2EF">
      <w:pPr>
        <w:ind w:firstLine="420" w:firstLineChars="200"/>
      </w:pPr>
      <w:bookmarkStart w:id="181" w:name="_Toc31145"/>
      <w:bookmarkStart w:id="182" w:name="_Toc14732"/>
      <w:bookmarkStart w:id="183" w:name="_Toc16466"/>
      <w:r>
        <w:rPr>
          <w:rFonts w:hint="eastAsia"/>
        </w:rPr>
        <w:t>（一）项目实施背景</w:t>
      </w:r>
      <w:bookmarkEnd w:id="181"/>
      <w:bookmarkEnd w:id="182"/>
      <w:bookmarkEnd w:id="183"/>
    </w:p>
    <w:p w14:paraId="5D22CD60">
      <w:pPr>
        <w:ind w:firstLine="420" w:firstLineChars="200"/>
      </w:pPr>
      <w:r>
        <w:rPr>
          <w:rFonts w:hint="eastAsia"/>
        </w:rPr>
        <w:t>为了深入贯彻落实习近平总书记重要讲话精神，扎实做好“六稳”工作，全面落实“六保”任务，在常态化疫情防控中进一步激发市场活力，提振消费信心、促进消费复苏，根据《福建省应对新型冠状病毒感染肺炎疫情工作领导小组综合协调组关于引发&lt;福建省促进消费行动方案的通知&gt;》（闽应对疫情领导小组综（2020）136号）和《福建省应对新型冠状病毒感染肺炎疫情找工作领导小组关于做好消费促进工作的通知》（闽商务明电(2020)11号）要求，并借鉴北京、上海、福州、厦门等省内外地区的经验做法，结合莆田市的实际情况开展“全闽乐购”促消费活动。</w:t>
      </w:r>
    </w:p>
    <w:p w14:paraId="73BE4FE7">
      <w:pPr>
        <w:ind w:firstLine="420" w:firstLineChars="200"/>
      </w:pPr>
      <w:bookmarkStart w:id="184" w:name="_Toc29278"/>
      <w:bookmarkStart w:id="185" w:name="_Toc12893"/>
      <w:bookmarkStart w:id="186" w:name="_Toc8353"/>
      <w:r>
        <w:rPr>
          <w:rFonts w:hint="eastAsia"/>
        </w:rPr>
        <w:t>（二）项目立项依据</w:t>
      </w:r>
      <w:bookmarkEnd w:id="184"/>
      <w:bookmarkEnd w:id="185"/>
      <w:bookmarkEnd w:id="186"/>
    </w:p>
    <w:p w14:paraId="602F8BA8">
      <w:pPr>
        <w:ind w:firstLine="420" w:firstLineChars="200"/>
      </w:pPr>
      <w:r>
        <w:rPr>
          <w:rFonts w:hint="eastAsia"/>
        </w:rPr>
        <w:t>《福建省应对新型冠状病毒感染肺炎疫情工作领导小组综合协调组关于印发&lt;福建省促进消费行动方案的通知&gt;》闽应对疫情领导小组综[2020]136号、《福建省应对新型冠状病毒感染肺炎疫情工作领导小组关于做好消费促进工作的通知》闽商务明电[2020]11号、《福建省商务厅关于组织开展2020年“全闽乐购”促消费系列活动的通知》（闽商务便函[2020]400号）、《福建省商务厅福建省财政厅关于进一步落实促销费行动方案工作的通知》（闽商务[2020]174号）、《莆田市应对新型冠状病毒感染肺炎疫情工作指挥部综合协调组关于印发“全闽乐购”莆田市促消费十大活动方案的通知》（莆疫防指综[2020]11号）、莆田市财政局莆田市商务局《关于预下达“全闽乐购”促消费省市财政正向激励资金的通知》（莆财外[2020]59号）。</w:t>
      </w:r>
    </w:p>
    <w:p w14:paraId="6834F3F4">
      <w:pPr>
        <w:ind w:firstLine="420" w:firstLineChars="200"/>
      </w:pPr>
      <w:bookmarkStart w:id="187" w:name="_Toc4468"/>
      <w:bookmarkStart w:id="188" w:name="_Toc8728"/>
      <w:bookmarkStart w:id="189" w:name="_Toc2437"/>
      <w:r>
        <w:rPr>
          <w:rFonts w:hint="eastAsia"/>
        </w:rPr>
        <w:t>（三）项目内容、范围和期限</w:t>
      </w:r>
      <w:bookmarkEnd w:id="187"/>
      <w:bookmarkEnd w:id="188"/>
      <w:bookmarkEnd w:id="189"/>
    </w:p>
    <w:p w14:paraId="4328FE59">
      <w:pPr>
        <w:ind w:firstLine="420" w:firstLineChars="200"/>
      </w:pPr>
      <w:bookmarkStart w:id="190" w:name="_Toc18035"/>
      <w:bookmarkStart w:id="191" w:name="_Toc11243"/>
      <w:r>
        <w:rPr>
          <w:rFonts w:hint="eastAsia"/>
        </w:rPr>
        <w:t>项目内容：以“全闽乐购”促消费线上线下融合为主题，按照“省市县联动、银企平台联合、线上线下融合”方式，结合传统消费旺季和重点节假日，实施覆盖餐饮、购物、旅游、文化、娱乐、休闲等重点领域的“十百千万亿”活动，开展十大促销费活动，举办100场线下活动，开展1000场次线上直播，汇聚一万家商户参与，发放消费券，各方共同让利，撬动全市消费。通过激发市内外消费者参与消费热潮，加快消费回补和潜力释放。</w:t>
      </w:r>
      <w:bookmarkEnd w:id="190"/>
      <w:bookmarkEnd w:id="191"/>
      <w:bookmarkStart w:id="192" w:name="_Toc25599"/>
      <w:bookmarkStart w:id="193" w:name="_Toc2586"/>
    </w:p>
    <w:p w14:paraId="15161286">
      <w:pPr>
        <w:ind w:firstLine="420" w:firstLineChars="200"/>
      </w:pPr>
      <w:r>
        <w:rPr>
          <w:rFonts w:hint="eastAsia"/>
        </w:rPr>
        <w:t>范围：“全闽乐购”促消费专项资金实施周期为2020年至2022年。活动第一阶段从2020年9月1日到2021年3月31日，后因福建省商务厅的要求，项目继续进行。本次报告统计的起止时间即第一阶段2020年9月1日-2021年3月31日，“全闽乐购”活动覆盖至莆田七县区，即仙游县、城厢区、荔城区、涵江区、秀屿区、北岸、湄洲岛。具体活动情况见下表。</w:t>
      </w:r>
      <w:bookmarkEnd w:id="192"/>
      <w:bookmarkEnd w:id="193"/>
    </w:p>
    <w:p w14:paraId="2A948AF9">
      <w:pPr>
        <w:ind w:firstLine="420" w:firstLineChars="200"/>
      </w:pPr>
    </w:p>
    <w:p w14:paraId="7C8066E4">
      <w:pPr>
        <w:ind w:firstLine="420" w:firstLineChars="200"/>
      </w:pPr>
    </w:p>
    <w:p w14:paraId="5ECCFEBD">
      <w:pPr>
        <w:ind w:firstLine="420" w:firstLineChars="200"/>
      </w:pPr>
    </w:p>
    <w:p w14:paraId="43C88906">
      <w:pPr>
        <w:ind w:firstLine="420" w:firstLineChars="200"/>
      </w:pPr>
      <w:bookmarkStart w:id="194" w:name="_Toc26780"/>
      <w:bookmarkStart w:id="195" w:name="_Toc7410"/>
      <w:r>
        <w:rPr>
          <w:rFonts w:hint="eastAsia"/>
        </w:rPr>
        <w:t>表1 各县区活动情况表</w:t>
      </w:r>
      <w:bookmarkEnd w:id="194"/>
      <w:bookmarkEnd w:id="195"/>
    </w:p>
    <w:tbl>
      <w:tblPr>
        <w:tblStyle w:val="18"/>
        <w:tblW w:w="7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937"/>
        <w:gridCol w:w="2101"/>
        <w:gridCol w:w="2312"/>
      </w:tblGrid>
      <w:tr w14:paraId="1B5B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14:paraId="6CD23952">
            <w:bookmarkStart w:id="196" w:name="_Toc18011"/>
            <w:bookmarkStart w:id="197" w:name="_Toc10179"/>
            <w:r>
              <w:rPr>
                <w:rFonts w:hint="eastAsia"/>
              </w:rPr>
              <w:t>县区</w:t>
            </w:r>
            <w:bookmarkEnd w:id="196"/>
            <w:bookmarkEnd w:id="197"/>
          </w:p>
        </w:tc>
        <w:tc>
          <w:tcPr>
            <w:tcW w:w="1937" w:type="dxa"/>
            <w:vAlign w:val="center"/>
          </w:tcPr>
          <w:p w14:paraId="03E9B387">
            <w:bookmarkStart w:id="198" w:name="_Toc26375"/>
            <w:bookmarkStart w:id="199" w:name="_Toc21502"/>
            <w:r>
              <w:rPr>
                <w:rFonts w:hint="eastAsia"/>
              </w:rPr>
              <w:t>商户（家）</w:t>
            </w:r>
            <w:bookmarkEnd w:id="198"/>
            <w:bookmarkEnd w:id="199"/>
          </w:p>
        </w:tc>
        <w:tc>
          <w:tcPr>
            <w:tcW w:w="2101" w:type="dxa"/>
            <w:vAlign w:val="center"/>
          </w:tcPr>
          <w:p w14:paraId="69E1037F">
            <w:bookmarkStart w:id="200" w:name="_Toc18437"/>
            <w:bookmarkStart w:id="201" w:name="_Toc15969"/>
            <w:r>
              <w:rPr>
                <w:rFonts w:hint="eastAsia"/>
              </w:rPr>
              <w:t>活动（场次）</w:t>
            </w:r>
            <w:bookmarkEnd w:id="200"/>
            <w:bookmarkEnd w:id="201"/>
          </w:p>
        </w:tc>
        <w:tc>
          <w:tcPr>
            <w:tcW w:w="2312" w:type="dxa"/>
            <w:vAlign w:val="center"/>
          </w:tcPr>
          <w:p w14:paraId="6D4922E3">
            <w:bookmarkStart w:id="202" w:name="_Toc20185"/>
            <w:bookmarkStart w:id="203" w:name="_Toc28034"/>
            <w:r>
              <w:rPr>
                <w:rFonts w:hint="eastAsia"/>
              </w:rPr>
              <w:t>直播（场次）</w:t>
            </w:r>
            <w:bookmarkEnd w:id="202"/>
            <w:bookmarkEnd w:id="203"/>
          </w:p>
        </w:tc>
      </w:tr>
      <w:tr w14:paraId="06FB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14:paraId="3EB97092">
            <w:r>
              <w:rPr>
                <w:rFonts w:hint="eastAsia"/>
              </w:rPr>
              <w:t>仙游县</w:t>
            </w:r>
          </w:p>
        </w:tc>
        <w:tc>
          <w:tcPr>
            <w:tcW w:w="1937" w:type="dxa"/>
            <w:vAlign w:val="center"/>
          </w:tcPr>
          <w:p w14:paraId="0B781150">
            <w:bookmarkStart w:id="204" w:name="_Toc23727"/>
            <w:bookmarkStart w:id="205" w:name="_Toc27238"/>
            <w:r>
              <w:rPr>
                <w:rFonts w:hint="eastAsia"/>
              </w:rPr>
              <w:t>2167</w:t>
            </w:r>
            <w:bookmarkEnd w:id="204"/>
            <w:bookmarkEnd w:id="205"/>
          </w:p>
        </w:tc>
        <w:tc>
          <w:tcPr>
            <w:tcW w:w="2101" w:type="dxa"/>
            <w:vAlign w:val="center"/>
          </w:tcPr>
          <w:p w14:paraId="4F100BE3">
            <w:r>
              <w:rPr>
                <w:rFonts w:hint="eastAsia"/>
              </w:rPr>
              <w:t>19</w:t>
            </w:r>
          </w:p>
        </w:tc>
        <w:tc>
          <w:tcPr>
            <w:tcW w:w="2312" w:type="dxa"/>
            <w:vAlign w:val="center"/>
          </w:tcPr>
          <w:p w14:paraId="4E66B907">
            <w:r>
              <w:rPr>
                <w:rFonts w:hint="eastAsia"/>
              </w:rPr>
              <w:t>285</w:t>
            </w:r>
          </w:p>
        </w:tc>
      </w:tr>
      <w:tr w14:paraId="3023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14:paraId="51E3AA75">
            <w:r>
              <w:rPr>
                <w:rFonts w:hint="eastAsia"/>
              </w:rPr>
              <w:t>荔城区</w:t>
            </w:r>
          </w:p>
        </w:tc>
        <w:tc>
          <w:tcPr>
            <w:tcW w:w="1937" w:type="dxa"/>
            <w:vAlign w:val="center"/>
          </w:tcPr>
          <w:p w14:paraId="7DAC8840">
            <w:bookmarkStart w:id="206" w:name="_Toc812"/>
            <w:bookmarkStart w:id="207" w:name="_Toc16208"/>
            <w:r>
              <w:rPr>
                <w:rFonts w:hint="eastAsia"/>
              </w:rPr>
              <w:t>2840</w:t>
            </w:r>
            <w:bookmarkEnd w:id="206"/>
            <w:bookmarkEnd w:id="207"/>
          </w:p>
        </w:tc>
        <w:tc>
          <w:tcPr>
            <w:tcW w:w="2101" w:type="dxa"/>
            <w:vAlign w:val="center"/>
          </w:tcPr>
          <w:p w14:paraId="1476E4DA">
            <w:r>
              <w:rPr>
                <w:rFonts w:hint="eastAsia"/>
              </w:rPr>
              <w:t>31</w:t>
            </w:r>
          </w:p>
        </w:tc>
        <w:tc>
          <w:tcPr>
            <w:tcW w:w="2312" w:type="dxa"/>
            <w:vAlign w:val="center"/>
          </w:tcPr>
          <w:p w14:paraId="10DDAB70">
            <w:r>
              <w:rPr>
                <w:rFonts w:hint="eastAsia"/>
              </w:rPr>
              <w:t>349</w:t>
            </w:r>
          </w:p>
        </w:tc>
      </w:tr>
      <w:tr w14:paraId="0CDB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14:paraId="0AC7141C">
            <w:r>
              <w:rPr>
                <w:rFonts w:hint="eastAsia"/>
              </w:rPr>
              <w:t>城厢区</w:t>
            </w:r>
          </w:p>
        </w:tc>
        <w:tc>
          <w:tcPr>
            <w:tcW w:w="1937" w:type="dxa"/>
            <w:vAlign w:val="center"/>
          </w:tcPr>
          <w:p w14:paraId="13CDFAAA">
            <w:bookmarkStart w:id="208" w:name="_Toc13976"/>
            <w:bookmarkStart w:id="209" w:name="_Toc25295"/>
            <w:r>
              <w:rPr>
                <w:rFonts w:hint="eastAsia"/>
              </w:rPr>
              <w:t>2856</w:t>
            </w:r>
            <w:bookmarkEnd w:id="208"/>
            <w:bookmarkEnd w:id="209"/>
          </w:p>
        </w:tc>
        <w:tc>
          <w:tcPr>
            <w:tcW w:w="2101" w:type="dxa"/>
            <w:vAlign w:val="center"/>
          </w:tcPr>
          <w:p w14:paraId="18DA047F">
            <w:r>
              <w:rPr>
                <w:rFonts w:hint="eastAsia"/>
              </w:rPr>
              <w:t>32</w:t>
            </w:r>
          </w:p>
        </w:tc>
        <w:tc>
          <w:tcPr>
            <w:tcW w:w="2312" w:type="dxa"/>
            <w:vAlign w:val="center"/>
          </w:tcPr>
          <w:p w14:paraId="0ED40E43">
            <w:r>
              <w:rPr>
                <w:rFonts w:hint="eastAsia"/>
              </w:rPr>
              <w:t>210</w:t>
            </w:r>
          </w:p>
        </w:tc>
      </w:tr>
      <w:tr w14:paraId="4D1F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14:paraId="7907BAAC">
            <w:r>
              <w:rPr>
                <w:rFonts w:hint="eastAsia"/>
              </w:rPr>
              <w:t>涵江区</w:t>
            </w:r>
          </w:p>
        </w:tc>
        <w:tc>
          <w:tcPr>
            <w:tcW w:w="1937" w:type="dxa"/>
            <w:vAlign w:val="center"/>
          </w:tcPr>
          <w:p w14:paraId="504F9CDC">
            <w:bookmarkStart w:id="210" w:name="_Toc1742"/>
            <w:bookmarkStart w:id="211" w:name="_Toc24281"/>
            <w:r>
              <w:rPr>
                <w:rFonts w:hint="eastAsia"/>
              </w:rPr>
              <w:t>1499</w:t>
            </w:r>
            <w:bookmarkEnd w:id="210"/>
            <w:bookmarkEnd w:id="211"/>
          </w:p>
        </w:tc>
        <w:tc>
          <w:tcPr>
            <w:tcW w:w="2101" w:type="dxa"/>
            <w:vAlign w:val="center"/>
          </w:tcPr>
          <w:p w14:paraId="04BC163B">
            <w:r>
              <w:rPr>
                <w:rFonts w:hint="eastAsia"/>
              </w:rPr>
              <w:t>16</w:t>
            </w:r>
          </w:p>
        </w:tc>
        <w:tc>
          <w:tcPr>
            <w:tcW w:w="2312" w:type="dxa"/>
            <w:vAlign w:val="center"/>
          </w:tcPr>
          <w:p w14:paraId="15EB1135">
            <w:r>
              <w:rPr>
                <w:rFonts w:hint="eastAsia"/>
              </w:rPr>
              <w:t>208</w:t>
            </w:r>
          </w:p>
        </w:tc>
      </w:tr>
      <w:tr w14:paraId="557F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14:paraId="34692442">
            <w:r>
              <w:rPr>
                <w:rFonts w:hint="eastAsia"/>
              </w:rPr>
              <w:t>秀屿区</w:t>
            </w:r>
          </w:p>
        </w:tc>
        <w:tc>
          <w:tcPr>
            <w:tcW w:w="1937" w:type="dxa"/>
            <w:vAlign w:val="center"/>
          </w:tcPr>
          <w:p w14:paraId="4DFA4C11">
            <w:bookmarkStart w:id="212" w:name="_Toc20425"/>
            <w:bookmarkStart w:id="213" w:name="_Toc14587"/>
            <w:r>
              <w:rPr>
                <w:rFonts w:hint="eastAsia"/>
              </w:rPr>
              <w:t>1028</w:t>
            </w:r>
            <w:bookmarkEnd w:id="212"/>
            <w:bookmarkEnd w:id="213"/>
          </w:p>
        </w:tc>
        <w:tc>
          <w:tcPr>
            <w:tcW w:w="2101" w:type="dxa"/>
            <w:vAlign w:val="center"/>
          </w:tcPr>
          <w:p w14:paraId="65DEF885">
            <w:r>
              <w:rPr>
                <w:rFonts w:hint="eastAsia"/>
              </w:rPr>
              <w:t>11</w:t>
            </w:r>
          </w:p>
        </w:tc>
        <w:tc>
          <w:tcPr>
            <w:tcW w:w="2312" w:type="dxa"/>
            <w:vAlign w:val="center"/>
          </w:tcPr>
          <w:p w14:paraId="71C8C43D">
            <w:r>
              <w:rPr>
                <w:rFonts w:hint="eastAsia"/>
              </w:rPr>
              <w:t>46</w:t>
            </w:r>
          </w:p>
        </w:tc>
      </w:tr>
      <w:tr w14:paraId="5871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14:paraId="030D6048">
            <w:r>
              <w:rPr>
                <w:rFonts w:hint="eastAsia"/>
              </w:rPr>
              <w:t>湄洲岛</w:t>
            </w:r>
          </w:p>
        </w:tc>
        <w:tc>
          <w:tcPr>
            <w:tcW w:w="1937" w:type="dxa"/>
            <w:vAlign w:val="center"/>
          </w:tcPr>
          <w:p w14:paraId="5453C13A">
            <w:bookmarkStart w:id="214" w:name="_Toc8855"/>
            <w:bookmarkStart w:id="215" w:name="_Toc29858"/>
            <w:r>
              <w:rPr>
                <w:rFonts w:hint="eastAsia"/>
              </w:rPr>
              <w:t>8</w:t>
            </w:r>
            <w:bookmarkEnd w:id="214"/>
            <w:bookmarkEnd w:id="215"/>
          </w:p>
        </w:tc>
        <w:tc>
          <w:tcPr>
            <w:tcW w:w="2101" w:type="dxa"/>
            <w:vAlign w:val="center"/>
          </w:tcPr>
          <w:p w14:paraId="14B21FB6">
            <w:r>
              <w:rPr>
                <w:rFonts w:hint="eastAsia"/>
              </w:rPr>
              <w:t>3</w:t>
            </w:r>
          </w:p>
        </w:tc>
        <w:tc>
          <w:tcPr>
            <w:tcW w:w="2312" w:type="dxa"/>
            <w:vAlign w:val="center"/>
          </w:tcPr>
          <w:p w14:paraId="5E3A58E5">
            <w:r>
              <w:rPr>
                <w:rFonts w:hint="eastAsia"/>
              </w:rPr>
              <w:t>13</w:t>
            </w:r>
          </w:p>
        </w:tc>
      </w:tr>
      <w:tr w14:paraId="75A5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14:paraId="28E35FD3">
            <w:r>
              <w:rPr>
                <w:rFonts w:hint="eastAsia"/>
              </w:rPr>
              <w:t>北岸</w:t>
            </w:r>
          </w:p>
        </w:tc>
        <w:tc>
          <w:tcPr>
            <w:tcW w:w="1937" w:type="dxa"/>
            <w:vAlign w:val="center"/>
          </w:tcPr>
          <w:p w14:paraId="149B25A9">
            <w:bookmarkStart w:id="216" w:name="_Toc27563"/>
            <w:bookmarkStart w:id="217" w:name="_Toc27311"/>
            <w:r>
              <w:rPr>
                <w:rFonts w:hint="eastAsia"/>
              </w:rPr>
              <w:t>45</w:t>
            </w:r>
            <w:bookmarkEnd w:id="216"/>
            <w:bookmarkEnd w:id="217"/>
          </w:p>
        </w:tc>
        <w:tc>
          <w:tcPr>
            <w:tcW w:w="2101" w:type="dxa"/>
            <w:vAlign w:val="center"/>
          </w:tcPr>
          <w:p w14:paraId="7119618F">
            <w:r>
              <w:rPr>
                <w:rFonts w:hint="eastAsia"/>
              </w:rPr>
              <w:t>6</w:t>
            </w:r>
          </w:p>
        </w:tc>
        <w:tc>
          <w:tcPr>
            <w:tcW w:w="2312" w:type="dxa"/>
            <w:vAlign w:val="center"/>
          </w:tcPr>
          <w:p w14:paraId="1AC990D4">
            <w:r>
              <w:rPr>
                <w:rFonts w:hint="eastAsia"/>
              </w:rPr>
              <w:t>54</w:t>
            </w:r>
          </w:p>
        </w:tc>
      </w:tr>
      <w:tr w14:paraId="7CC4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49" w:type="dxa"/>
            <w:vAlign w:val="center"/>
          </w:tcPr>
          <w:p w14:paraId="15244EC7">
            <w:r>
              <w:rPr>
                <w:rFonts w:hint="eastAsia"/>
              </w:rPr>
              <w:t>合计</w:t>
            </w:r>
          </w:p>
        </w:tc>
        <w:tc>
          <w:tcPr>
            <w:tcW w:w="1937" w:type="dxa"/>
            <w:vAlign w:val="center"/>
          </w:tcPr>
          <w:p w14:paraId="6E474930">
            <w:bookmarkStart w:id="218" w:name="_Toc28402"/>
            <w:bookmarkStart w:id="219" w:name="_Toc29927"/>
            <w:r>
              <w:rPr>
                <w:rFonts w:hint="eastAsia"/>
              </w:rPr>
              <w:t>10433</w:t>
            </w:r>
            <w:bookmarkEnd w:id="218"/>
            <w:bookmarkEnd w:id="219"/>
          </w:p>
        </w:tc>
        <w:tc>
          <w:tcPr>
            <w:tcW w:w="2101" w:type="dxa"/>
            <w:vAlign w:val="center"/>
          </w:tcPr>
          <w:p w14:paraId="0BEAF909">
            <w:r>
              <w:rPr>
                <w:rFonts w:hint="eastAsia"/>
              </w:rPr>
              <w:t>118</w:t>
            </w:r>
          </w:p>
        </w:tc>
        <w:tc>
          <w:tcPr>
            <w:tcW w:w="2312" w:type="dxa"/>
            <w:vAlign w:val="center"/>
          </w:tcPr>
          <w:p w14:paraId="32A1923E">
            <w:r>
              <w:rPr>
                <w:rFonts w:hint="eastAsia"/>
              </w:rPr>
              <w:t>1165</w:t>
            </w:r>
          </w:p>
        </w:tc>
      </w:tr>
    </w:tbl>
    <w:p w14:paraId="6BA0BC27">
      <w:pPr>
        <w:ind w:firstLine="420" w:firstLineChars="200"/>
      </w:pPr>
      <w:r>
        <w:rPr>
          <w:rFonts w:hint="eastAsia"/>
        </w:rPr>
        <w:t>项目期限：第一阶段为2020.9-2021.3，第二阶段2021.4-</w:t>
      </w:r>
    </w:p>
    <w:p w14:paraId="6EFD49D5">
      <w:pPr>
        <w:ind w:firstLine="420" w:firstLineChars="200"/>
      </w:pPr>
      <w:bookmarkStart w:id="220" w:name="_Toc2361"/>
      <w:bookmarkStart w:id="221" w:name="_Toc22386"/>
      <w:bookmarkStart w:id="222" w:name="_Toc12890"/>
      <w:r>
        <w:rPr>
          <w:rFonts w:hint="eastAsia"/>
        </w:rPr>
        <w:t>项目实施基本情况</w:t>
      </w:r>
      <w:bookmarkEnd w:id="220"/>
      <w:bookmarkEnd w:id="221"/>
      <w:bookmarkEnd w:id="222"/>
    </w:p>
    <w:p w14:paraId="0FADE954">
      <w:pPr>
        <w:ind w:firstLine="420" w:firstLineChars="200"/>
      </w:pPr>
      <w:bookmarkStart w:id="223" w:name="_Toc12347"/>
      <w:r>
        <w:rPr>
          <w:rFonts w:hint="eastAsia"/>
        </w:rPr>
        <w:t>1.项目组织管理情况</w:t>
      </w:r>
      <w:bookmarkEnd w:id="223"/>
    </w:p>
    <w:p w14:paraId="32A7ED50">
      <w:pPr>
        <w:ind w:firstLine="420" w:firstLineChars="200"/>
      </w:pPr>
      <w:bookmarkStart w:id="224" w:name="_Toc11580"/>
      <w:bookmarkStart w:id="225" w:name="_Toc25569"/>
      <w:r>
        <w:rPr>
          <w:rFonts w:hint="eastAsia"/>
        </w:rPr>
        <w:t>根据《福建省应对新型冠状病毒感染肺炎疫情工作领导小组商务发展小组关于做好消费促进工作的通知》（闽商务明电﹝2020﹞11号）要求，经莆田市政府研究由莆田市应对新型冠状病毒感染肺炎疫情工作指挥部综合协调组将《“全闽乐购”促销费十大行动方案》下发给各县区指挥部、市直有关单位（莆疫防指综[2020]11号），由莆田市商务局市场科牵头开展活动。各县区活动中由当地政府组织且投入财政资金的线下促销活动必须一场活动配一套具体实施方案。财政资金的支出管理分事前申请审批、经费报销审批和支付等环节，支出明确范围、开支标准与审批程序，按规定执行“收支两条线”的管理，费用的报销程序与要求按相应的规范执行，确保财政资金使用的效率与效果，保证支出行为真实的合理性、资源配置的有效性、支出管理的高效性。</w:t>
      </w:r>
      <w:bookmarkEnd w:id="224"/>
      <w:bookmarkEnd w:id="225"/>
    </w:p>
    <w:p w14:paraId="51C817CA">
      <w:pPr>
        <w:ind w:firstLine="420" w:firstLineChars="200"/>
      </w:pPr>
      <w:bookmarkStart w:id="226" w:name="_Toc10151"/>
      <w:r>
        <w:rPr>
          <w:rFonts w:hint="eastAsia"/>
        </w:rPr>
        <w:t>专项资金使用情况</w:t>
      </w:r>
      <w:bookmarkEnd w:id="226"/>
    </w:p>
    <w:p w14:paraId="7AFB0C11">
      <w:pPr>
        <w:ind w:firstLine="420" w:firstLineChars="200"/>
      </w:pPr>
      <w:r>
        <w:rPr>
          <w:rFonts w:hint="eastAsia"/>
        </w:rPr>
        <w:t>各地财政根据实际情况安排财政资金支持各项活动开展。依据《莆田市应对新型冠状病毒感染肺炎疫情工作指挥部综合协调组关于印发“全闽乐购”莆田市促消费十大活动方案的通知》（莆疫防指综[2020]11号），省、市两级财政各安排正向激励基金，视活动开展成效、社会消费品零售总额完成情况等，按不高于各地财政收入的一半予以正向激励。目前资金的使用情况如下表2-表10：</w:t>
      </w:r>
    </w:p>
    <w:p w14:paraId="6211AE0C">
      <w:pPr>
        <w:ind w:firstLine="420" w:firstLineChars="200"/>
      </w:pPr>
      <w:r>
        <w:rPr>
          <w:rFonts w:hint="eastAsia"/>
        </w:rPr>
        <w:t xml:space="preserve">表2 全闽乐购”促消费专项资金使用情况表       </w:t>
      </w:r>
    </w:p>
    <w:p w14:paraId="022EFD6B">
      <w:pPr>
        <w:ind w:firstLine="420" w:firstLineChars="200"/>
      </w:pPr>
      <w:r>
        <w:rPr>
          <w:rFonts w:hint="eastAsia"/>
        </w:rPr>
        <w:t>单位：万元</w:t>
      </w:r>
    </w:p>
    <w:tbl>
      <w:tblPr>
        <w:tblStyle w:val="18"/>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5"/>
        <w:gridCol w:w="870"/>
        <w:gridCol w:w="945"/>
        <w:gridCol w:w="840"/>
        <w:gridCol w:w="915"/>
        <w:gridCol w:w="765"/>
        <w:gridCol w:w="669"/>
        <w:gridCol w:w="771"/>
        <w:gridCol w:w="940"/>
      </w:tblGrid>
      <w:tr w14:paraId="754A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14:paraId="5591F56A">
            <w:r>
              <w:rPr>
                <w:rFonts w:hint="eastAsia"/>
              </w:rPr>
              <w:t>县区</w:t>
            </w:r>
          </w:p>
        </w:tc>
        <w:tc>
          <w:tcPr>
            <w:tcW w:w="855" w:type="dxa"/>
            <w:vAlign w:val="center"/>
          </w:tcPr>
          <w:p w14:paraId="4176ED04">
            <w:r>
              <w:rPr>
                <w:rFonts w:hint="eastAsia"/>
              </w:rPr>
              <w:t>仙游县</w:t>
            </w:r>
          </w:p>
        </w:tc>
        <w:tc>
          <w:tcPr>
            <w:tcW w:w="870" w:type="dxa"/>
            <w:vAlign w:val="center"/>
          </w:tcPr>
          <w:p w14:paraId="088FEA24">
            <w:r>
              <w:rPr>
                <w:rFonts w:hint="eastAsia"/>
              </w:rPr>
              <w:t>荔城区</w:t>
            </w:r>
          </w:p>
        </w:tc>
        <w:tc>
          <w:tcPr>
            <w:tcW w:w="945" w:type="dxa"/>
            <w:vAlign w:val="center"/>
          </w:tcPr>
          <w:p w14:paraId="29E49CAC">
            <w:r>
              <w:rPr>
                <w:rFonts w:hint="eastAsia"/>
              </w:rPr>
              <w:t>城厢区</w:t>
            </w:r>
          </w:p>
        </w:tc>
        <w:tc>
          <w:tcPr>
            <w:tcW w:w="840" w:type="dxa"/>
            <w:vAlign w:val="center"/>
          </w:tcPr>
          <w:p w14:paraId="500ABA93">
            <w:r>
              <w:rPr>
                <w:rFonts w:hint="eastAsia"/>
              </w:rPr>
              <w:t>涵江区</w:t>
            </w:r>
          </w:p>
        </w:tc>
        <w:tc>
          <w:tcPr>
            <w:tcW w:w="915" w:type="dxa"/>
            <w:vAlign w:val="center"/>
          </w:tcPr>
          <w:p w14:paraId="3DC778B1">
            <w:r>
              <w:rPr>
                <w:rFonts w:hint="eastAsia"/>
              </w:rPr>
              <w:t>秀屿区</w:t>
            </w:r>
          </w:p>
        </w:tc>
        <w:tc>
          <w:tcPr>
            <w:tcW w:w="765" w:type="dxa"/>
            <w:vAlign w:val="center"/>
          </w:tcPr>
          <w:p w14:paraId="016CBF4D">
            <w:r>
              <w:rPr>
                <w:rFonts w:hint="eastAsia"/>
              </w:rPr>
              <w:t>湄洲岛</w:t>
            </w:r>
          </w:p>
        </w:tc>
        <w:tc>
          <w:tcPr>
            <w:tcW w:w="669" w:type="dxa"/>
            <w:vAlign w:val="center"/>
          </w:tcPr>
          <w:p w14:paraId="5E999511">
            <w:r>
              <w:rPr>
                <w:rFonts w:hint="eastAsia"/>
              </w:rPr>
              <w:t>北岸</w:t>
            </w:r>
          </w:p>
        </w:tc>
        <w:tc>
          <w:tcPr>
            <w:tcW w:w="771" w:type="dxa"/>
            <w:vAlign w:val="center"/>
          </w:tcPr>
          <w:p w14:paraId="3D9D09B1">
            <w:r>
              <w:rPr>
                <w:rFonts w:hint="eastAsia"/>
              </w:rPr>
              <w:t>市商务局</w:t>
            </w:r>
          </w:p>
        </w:tc>
        <w:tc>
          <w:tcPr>
            <w:tcW w:w="940" w:type="dxa"/>
            <w:vAlign w:val="center"/>
          </w:tcPr>
          <w:p w14:paraId="12ADD60E">
            <w:r>
              <w:rPr>
                <w:rFonts w:hint="eastAsia"/>
              </w:rPr>
              <w:t>合计</w:t>
            </w:r>
          </w:p>
        </w:tc>
      </w:tr>
      <w:tr w14:paraId="4CC8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0" w:type="dxa"/>
            <w:vAlign w:val="center"/>
          </w:tcPr>
          <w:p w14:paraId="11D060AF">
            <w:r>
              <w:rPr>
                <w:rFonts w:hint="eastAsia"/>
              </w:rPr>
              <w:t>金额</w:t>
            </w:r>
          </w:p>
        </w:tc>
        <w:tc>
          <w:tcPr>
            <w:tcW w:w="855" w:type="dxa"/>
            <w:vAlign w:val="center"/>
          </w:tcPr>
          <w:p w14:paraId="6E8130DC">
            <w:r>
              <w:rPr>
                <w:rFonts w:hint="eastAsia"/>
              </w:rPr>
              <w:t>1032.88</w:t>
            </w:r>
          </w:p>
        </w:tc>
        <w:tc>
          <w:tcPr>
            <w:tcW w:w="870" w:type="dxa"/>
            <w:vAlign w:val="center"/>
          </w:tcPr>
          <w:p w14:paraId="57918A49">
            <w:r>
              <w:rPr>
                <w:rFonts w:hint="eastAsia"/>
              </w:rPr>
              <w:t>1859.35</w:t>
            </w:r>
          </w:p>
        </w:tc>
        <w:tc>
          <w:tcPr>
            <w:tcW w:w="945" w:type="dxa"/>
            <w:vAlign w:val="center"/>
          </w:tcPr>
          <w:p w14:paraId="28DE7134">
            <w:r>
              <w:rPr>
                <w:rFonts w:hint="eastAsia"/>
              </w:rPr>
              <w:t>1171.96</w:t>
            </w:r>
          </w:p>
        </w:tc>
        <w:tc>
          <w:tcPr>
            <w:tcW w:w="840" w:type="dxa"/>
            <w:vAlign w:val="center"/>
          </w:tcPr>
          <w:p w14:paraId="3CD715D5">
            <w:r>
              <w:rPr>
                <w:rFonts w:hint="eastAsia"/>
              </w:rPr>
              <w:t>615.82</w:t>
            </w:r>
          </w:p>
        </w:tc>
        <w:tc>
          <w:tcPr>
            <w:tcW w:w="915" w:type="dxa"/>
            <w:vAlign w:val="center"/>
          </w:tcPr>
          <w:p w14:paraId="46F9DB8F">
            <w:r>
              <w:rPr>
                <w:rFonts w:hint="eastAsia"/>
              </w:rPr>
              <w:t>188.85</w:t>
            </w:r>
          </w:p>
        </w:tc>
        <w:tc>
          <w:tcPr>
            <w:tcW w:w="765" w:type="dxa"/>
            <w:vAlign w:val="center"/>
          </w:tcPr>
          <w:p w14:paraId="42E68623">
            <w:r>
              <w:rPr>
                <w:rFonts w:hint="eastAsia"/>
              </w:rPr>
              <w:t>23.47</w:t>
            </w:r>
          </w:p>
        </w:tc>
        <w:tc>
          <w:tcPr>
            <w:tcW w:w="669" w:type="dxa"/>
            <w:vAlign w:val="center"/>
          </w:tcPr>
          <w:p w14:paraId="6CE6932F">
            <w:r>
              <w:rPr>
                <w:rFonts w:hint="eastAsia"/>
              </w:rPr>
              <w:t>49.93</w:t>
            </w:r>
          </w:p>
        </w:tc>
        <w:tc>
          <w:tcPr>
            <w:tcW w:w="771" w:type="dxa"/>
            <w:vAlign w:val="center"/>
          </w:tcPr>
          <w:p w14:paraId="22C23489">
            <w:r>
              <w:rPr>
                <w:rFonts w:hint="eastAsia"/>
              </w:rPr>
              <w:t>291.58</w:t>
            </w:r>
          </w:p>
        </w:tc>
        <w:tc>
          <w:tcPr>
            <w:tcW w:w="940" w:type="dxa"/>
            <w:vAlign w:val="center"/>
          </w:tcPr>
          <w:p w14:paraId="02779C9E">
            <w:r>
              <w:rPr>
                <w:rFonts w:hint="eastAsia"/>
              </w:rPr>
              <w:t>5233.84</w:t>
            </w:r>
          </w:p>
        </w:tc>
      </w:tr>
    </w:tbl>
    <w:p w14:paraId="59310599">
      <w:pPr>
        <w:ind w:firstLine="420" w:firstLineChars="200"/>
      </w:pPr>
      <w:r>
        <w:rPr>
          <w:rFonts w:hint="eastAsia"/>
        </w:rPr>
        <w:t>表3 仙游县“全闽乐购·爱上仙游爱上你”系列促消费乐购券发放活动</w:t>
      </w:r>
    </w:p>
    <w:tbl>
      <w:tblPr>
        <w:tblStyle w:val="17"/>
        <w:tblW w:w="8323" w:type="dxa"/>
        <w:jc w:val="center"/>
        <w:tblLayout w:type="fixed"/>
        <w:tblCellMar>
          <w:top w:w="15" w:type="dxa"/>
          <w:left w:w="15" w:type="dxa"/>
          <w:bottom w:w="15" w:type="dxa"/>
          <w:right w:w="15" w:type="dxa"/>
        </w:tblCellMar>
      </w:tblPr>
      <w:tblGrid>
        <w:gridCol w:w="3516"/>
        <w:gridCol w:w="1935"/>
        <w:gridCol w:w="1710"/>
        <w:gridCol w:w="1162"/>
      </w:tblGrid>
      <w:tr w14:paraId="6CCE5427">
        <w:tblPrEx>
          <w:tblCellMar>
            <w:top w:w="15" w:type="dxa"/>
            <w:left w:w="15" w:type="dxa"/>
            <w:bottom w:w="15" w:type="dxa"/>
            <w:right w:w="15" w:type="dxa"/>
          </w:tblCellMar>
        </w:tblPrEx>
        <w:trPr>
          <w:trHeight w:val="340" w:hRule="atLeast"/>
          <w:jc w:val="center"/>
        </w:trPr>
        <w:tc>
          <w:tcPr>
            <w:tcW w:w="3516" w:type="dxa"/>
            <w:tcBorders>
              <w:top w:val="single" w:color="auto" w:sz="4" w:space="0"/>
              <w:left w:val="single" w:color="auto" w:sz="4" w:space="0"/>
              <w:bottom w:val="single" w:color="auto" w:sz="4" w:space="0"/>
              <w:right w:val="single" w:color="auto" w:sz="4" w:space="0"/>
            </w:tcBorders>
            <w:vAlign w:val="center"/>
          </w:tcPr>
          <w:p w14:paraId="56110E7C">
            <w:r>
              <w:rPr>
                <w:rFonts w:hint="eastAsia"/>
              </w:rPr>
              <w:t>活动名称</w:t>
            </w:r>
          </w:p>
        </w:tc>
        <w:tc>
          <w:tcPr>
            <w:tcW w:w="1935" w:type="dxa"/>
            <w:tcBorders>
              <w:top w:val="single" w:color="auto" w:sz="4" w:space="0"/>
              <w:left w:val="single" w:color="auto" w:sz="4" w:space="0"/>
              <w:bottom w:val="single" w:color="auto" w:sz="4" w:space="0"/>
              <w:right w:val="single" w:color="auto" w:sz="4" w:space="0"/>
            </w:tcBorders>
            <w:vAlign w:val="center"/>
          </w:tcPr>
          <w:p w14:paraId="4D06A852">
            <w:r>
              <w:rPr>
                <w:rFonts w:hint="eastAsia"/>
              </w:rPr>
              <w:t>方案配置金额（元）</w:t>
            </w:r>
          </w:p>
        </w:tc>
        <w:tc>
          <w:tcPr>
            <w:tcW w:w="1710" w:type="dxa"/>
            <w:tcBorders>
              <w:top w:val="single" w:color="auto" w:sz="4" w:space="0"/>
              <w:left w:val="single" w:color="auto" w:sz="4" w:space="0"/>
              <w:bottom w:val="single" w:color="auto" w:sz="4" w:space="0"/>
              <w:right w:val="single" w:color="auto" w:sz="4" w:space="0"/>
            </w:tcBorders>
            <w:vAlign w:val="center"/>
          </w:tcPr>
          <w:p w14:paraId="5F3F086B">
            <w:r>
              <w:rPr>
                <w:rFonts w:hint="eastAsia"/>
              </w:rPr>
              <w:t>核销金额（元）</w:t>
            </w:r>
          </w:p>
        </w:tc>
        <w:tc>
          <w:tcPr>
            <w:tcW w:w="1162" w:type="dxa"/>
            <w:tcBorders>
              <w:top w:val="single" w:color="auto" w:sz="4" w:space="0"/>
              <w:left w:val="single" w:color="auto" w:sz="4" w:space="0"/>
              <w:bottom w:val="single" w:color="auto" w:sz="4" w:space="0"/>
              <w:right w:val="single" w:color="auto" w:sz="4" w:space="0"/>
            </w:tcBorders>
            <w:vAlign w:val="center"/>
          </w:tcPr>
          <w:p w14:paraId="0D8E516B">
            <w:r>
              <w:rPr>
                <w:rFonts w:hint="eastAsia"/>
              </w:rPr>
              <w:t>核销率</w:t>
            </w:r>
          </w:p>
        </w:tc>
      </w:tr>
      <w:tr w14:paraId="1A9B53CA">
        <w:tblPrEx>
          <w:tblCellMar>
            <w:top w:w="15" w:type="dxa"/>
            <w:left w:w="15" w:type="dxa"/>
            <w:bottom w:w="15" w:type="dxa"/>
            <w:right w:w="15" w:type="dxa"/>
          </w:tblCellMar>
        </w:tblPrEx>
        <w:trPr>
          <w:trHeight w:val="340" w:hRule="atLeast"/>
          <w:jc w:val="center"/>
        </w:trPr>
        <w:tc>
          <w:tcPr>
            <w:tcW w:w="3516" w:type="dxa"/>
            <w:tcBorders>
              <w:top w:val="single" w:color="auto" w:sz="4" w:space="0"/>
              <w:left w:val="single" w:color="000000" w:sz="4" w:space="0"/>
              <w:bottom w:val="single" w:color="000000" w:sz="4" w:space="0"/>
              <w:right w:val="single" w:color="000000" w:sz="4" w:space="0"/>
            </w:tcBorders>
            <w:vAlign w:val="center"/>
          </w:tcPr>
          <w:p w14:paraId="3F04C5DB">
            <w:r>
              <w:rPr>
                <w:rFonts w:hint="eastAsia"/>
              </w:rPr>
              <w:t>仙游美食嘉年华</w:t>
            </w:r>
          </w:p>
        </w:tc>
        <w:tc>
          <w:tcPr>
            <w:tcW w:w="1935" w:type="dxa"/>
            <w:tcBorders>
              <w:top w:val="single" w:color="auto" w:sz="4" w:space="0"/>
              <w:left w:val="single" w:color="000000" w:sz="4" w:space="0"/>
              <w:bottom w:val="single" w:color="000000" w:sz="4" w:space="0"/>
              <w:right w:val="single" w:color="000000" w:sz="4" w:space="0"/>
            </w:tcBorders>
            <w:vAlign w:val="center"/>
          </w:tcPr>
          <w:p w14:paraId="446613BE">
            <w:r>
              <w:rPr>
                <w:rFonts w:hint="eastAsia"/>
              </w:rPr>
              <w:t>500,000.00</w:t>
            </w:r>
          </w:p>
        </w:tc>
        <w:tc>
          <w:tcPr>
            <w:tcW w:w="1710" w:type="dxa"/>
            <w:tcBorders>
              <w:top w:val="single" w:color="auto" w:sz="4" w:space="0"/>
              <w:left w:val="single" w:color="000000" w:sz="4" w:space="0"/>
              <w:bottom w:val="single" w:color="000000" w:sz="4" w:space="0"/>
              <w:right w:val="single" w:color="000000" w:sz="4" w:space="0"/>
            </w:tcBorders>
            <w:vAlign w:val="center"/>
          </w:tcPr>
          <w:p w14:paraId="51DDAF6D">
            <w:r>
              <w:rPr>
                <w:rFonts w:hint="eastAsia"/>
              </w:rPr>
              <w:t>16,152.00</w:t>
            </w:r>
          </w:p>
        </w:tc>
        <w:tc>
          <w:tcPr>
            <w:tcW w:w="1162" w:type="dxa"/>
            <w:tcBorders>
              <w:top w:val="single" w:color="auto" w:sz="4" w:space="0"/>
              <w:left w:val="single" w:color="000000" w:sz="4" w:space="0"/>
              <w:bottom w:val="single" w:color="000000" w:sz="4" w:space="0"/>
              <w:right w:val="single" w:color="000000" w:sz="4" w:space="0"/>
            </w:tcBorders>
            <w:vAlign w:val="center"/>
          </w:tcPr>
          <w:p w14:paraId="6BEA551D">
            <w:r>
              <w:rPr>
                <w:rFonts w:hint="eastAsia"/>
              </w:rPr>
              <w:t>3.23%</w:t>
            </w:r>
          </w:p>
        </w:tc>
      </w:tr>
      <w:tr w14:paraId="559969C5">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14:paraId="20D8A152">
            <w:r>
              <w:rPr>
                <w:rFonts w:hint="eastAsia"/>
              </w:rPr>
              <w:t>油站加油</w:t>
            </w:r>
          </w:p>
        </w:tc>
        <w:tc>
          <w:tcPr>
            <w:tcW w:w="1935" w:type="dxa"/>
            <w:tcBorders>
              <w:top w:val="single" w:color="000000" w:sz="4" w:space="0"/>
              <w:left w:val="single" w:color="000000" w:sz="4" w:space="0"/>
              <w:bottom w:val="single" w:color="000000" w:sz="4" w:space="0"/>
              <w:right w:val="single" w:color="000000" w:sz="4" w:space="0"/>
            </w:tcBorders>
            <w:vAlign w:val="center"/>
          </w:tcPr>
          <w:p w14:paraId="2AEE270C">
            <w:r>
              <w:rPr>
                <w:rFonts w:hint="eastAsia"/>
              </w:rPr>
              <w:t>1,330,000.00</w:t>
            </w:r>
          </w:p>
        </w:tc>
        <w:tc>
          <w:tcPr>
            <w:tcW w:w="1710" w:type="dxa"/>
            <w:tcBorders>
              <w:top w:val="single" w:color="000000" w:sz="4" w:space="0"/>
              <w:left w:val="single" w:color="000000" w:sz="4" w:space="0"/>
              <w:bottom w:val="single" w:color="000000" w:sz="4" w:space="0"/>
              <w:right w:val="single" w:color="000000" w:sz="4" w:space="0"/>
            </w:tcBorders>
            <w:vAlign w:val="center"/>
          </w:tcPr>
          <w:p w14:paraId="29D70F16">
            <w:r>
              <w:rPr>
                <w:rFonts w:hint="eastAsia"/>
              </w:rPr>
              <w:t>1,330,000.00</w:t>
            </w:r>
          </w:p>
        </w:tc>
        <w:tc>
          <w:tcPr>
            <w:tcW w:w="1162" w:type="dxa"/>
            <w:tcBorders>
              <w:top w:val="single" w:color="auto" w:sz="4" w:space="0"/>
              <w:left w:val="single" w:color="000000" w:sz="4" w:space="0"/>
              <w:bottom w:val="single" w:color="000000" w:sz="4" w:space="0"/>
              <w:right w:val="single" w:color="000000" w:sz="4" w:space="0"/>
            </w:tcBorders>
            <w:vAlign w:val="center"/>
          </w:tcPr>
          <w:p w14:paraId="475405AD">
            <w:r>
              <w:rPr>
                <w:rFonts w:hint="eastAsia"/>
              </w:rPr>
              <w:t>100.00%</w:t>
            </w:r>
          </w:p>
        </w:tc>
      </w:tr>
      <w:tr w14:paraId="5EBE0712">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14:paraId="2C0D3ABD">
            <w:r>
              <w:rPr>
                <w:rFonts w:hint="eastAsia"/>
              </w:rPr>
              <w:t>购在仙游</w:t>
            </w:r>
          </w:p>
        </w:tc>
        <w:tc>
          <w:tcPr>
            <w:tcW w:w="1935" w:type="dxa"/>
            <w:tcBorders>
              <w:top w:val="single" w:color="000000" w:sz="4" w:space="0"/>
              <w:left w:val="single" w:color="000000" w:sz="4" w:space="0"/>
              <w:bottom w:val="single" w:color="000000" w:sz="4" w:space="0"/>
              <w:right w:val="single" w:color="000000" w:sz="4" w:space="0"/>
            </w:tcBorders>
            <w:vAlign w:val="center"/>
          </w:tcPr>
          <w:p w14:paraId="3689BAA2">
            <w:r>
              <w:rPr>
                <w:rFonts w:hint="eastAsia"/>
              </w:rPr>
              <w:t>3,340,000.00</w:t>
            </w:r>
          </w:p>
        </w:tc>
        <w:tc>
          <w:tcPr>
            <w:tcW w:w="1710" w:type="dxa"/>
            <w:tcBorders>
              <w:top w:val="single" w:color="000000" w:sz="4" w:space="0"/>
              <w:left w:val="single" w:color="000000" w:sz="4" w:space="0"/>
              <w:bottom w:val="single" w:color="000000" w:sz="4" w:space="0"/>
              <w:right w:val="single" w:color="000000" w:sz="4" w:space="0"/>
            </w:tcBorders>
            <w:vAlign w:val="center"/>
          </w:tcPr>
          <w:p w14:paraId="6F874AB1">
            <w:r>
              <w:rPr>
                <w:rFonts w:hint="eastAsia"/>
              </w:rPr>
              <w:t>3,339,920.00</w:t>
            </w:r>
          </w:p>
        </w:tc>
        <w:tc>
          <w:tcPr>
            <w:tcW w:w="1162" w:type="dxa"/>
            <w:tcBorders>
              <w:top w:val="single" w:color="000000" w:sz="4" w:space="0"/>
              <w:left w:val="single" w:color="000000" w:sz="4" w:space="0"/>
              <w:bottom w:val="single" w:color="000000" w:sz="4" w:space="0"/>
              <w:right w:val="single" w:color="000000" w:sz="4" w:space="0"/>
            </w:tcBorders>
            <w:vAlign w:val="center"/>
          </w:tcPr>
          <w:p w14:paraId="3DCE00FC">
            <w:r>
              <w:rPr>
                <w:rFonts w:hint="eastAsia"/>
              </w:rPr>
              <w:t>100.00%</w:t>
            </w:r>
          </w:p>
        </w:tc>
      </w:tr>
      <w:tr w14:paraId="1EF26291">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14:paraId="24AF272B">
            <w:r>
              <w:rPr>
                <w:rFonts w:hint="eastAsia"/>
              </w:rPr>
              <w:t>吃在仙游</w:t>
            </w:r>
          </w:p>
        </w:tc>
        <w:tc>
          <w:tcPr>
            <w:tcW w:w="1935" w:type="dxa"/>
            <w:tcBorders>
              <w:top w:val="single" w:color="000000" w:sz="4" w:space="0"/>
              <w:left w:val="single" w:color="000000" w:sz="4" w:space="0"/>
              <w:bottom w:val="single" w:color="000000" w:sz="4" w:space="0"/>
              <w:right w:val="single" w:color="000000" w:sz="4" w:space="0"/>
            </w:tcBorders>
            <w:vAlign w:val="center"/>
          </w:tcPr>
          <w:p w14:paraId="50E8C6E2">
            <w:r>
              <w:rPr>
                <w:rFonts w:hint="eastAsia"/>
              </w:rPr>
              <w:t>3,020,150.00</w:t>
            </w:r>
          </w:p>
        </w:tc>
        <w:tc>
          <w:tcPr>
            <w:tcW w:w="1710" w:type="dxa"/>
            <w:tcBorders>
              <w:top w:val="single" w:color="000000" w:sz="4" w:space="0"/>
              <w:left w:val="single" w:color="000000" w:sz="4" w:space="0"/>
              <w:bottom w:val="single" w:color="000000" w:sz="4" w:space="0"/>
              <w:right w:val="single" w:color="000000" w:sz="4" w:space="0"/>
            </w:tcBorders>
            <w:vAlign w:val="center"/>
          </w:tcPr>
          <w:p w14:paraId="3931537F">
            <w:r>
              <w:rPr>
                <w:rFonts w:hint="eastAsia"/>
              </w:rPr>
              <w:t>3,019,967.51</w:t>
            </w:r>
          </w:p>
        </w:tc>
        <w:tc>
          <w:tcPr>
            <w:tcW w:w="1162" w:type="dxa"/>
            <w:tcBorders>
              <w:top w:val="single" w:color="000000" w:sz="4" w:space="0"/>
              <w:left w:val="single" w:color="000000" w:sz="4" w:space="0"/>
              <w:bottom w:val="single" w:color="000000" w:sz="4" w:space="0"/>
              <w:right w:val="single" w:color="000000" w:sz="4" w:space="0"/>
            </w:tcBorders>
            <w:vAlign w:val="center"/>
          </w:tcPr>
          <w:p w14:paraId="74FA1479">
            <w:r>
              <w:rPr>
                <w:rFonts w:hint="eastAsia"/>
              </w:rPr>
              <w:t>99.99%</w:t>
            </w:r>
          </w:p>
        </w:tc>
      </w:tr>
      <w:tr w14:paraId="4E488922">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14:paraId="26947C07">
            <w:r>
              <w:rPr>
                <w:rFonts w:hint="eastAsia"/>
              </w:rPr>
              <w:t>菜篮子优惠活动</w:t>
            </w:r>
          </w:p>
        </w:tc>
        <w:tc>
          <w:tcPr>
            <w:tcW w:w="1935" w:type="dxa"/>
            <w:tcBorders>
              <w:top w:val="single" w:color="000000" w:sz="4" w:space="0"/>
              <w:left w:val="single" w:color="000000" w:sz="4" w:space="0"/>
              <w:bottom w:val="single" w:color="000000" w:sz="4" w:space="0"/>
              <w:right w:val="single" w:color="000000" w:sz="4" w:space="0"/>
            </w:tcBorders>
            <w:vAlign w:val="center"/>
          </w:tcPr>
          <w:p w14:paraId="62A49182">
            <w:r>
              <w:rPr>
                <w:rFonts w:hint="eastAsia"/>
              </w:rPr>
              <w:t>1,837,508.00</w:t>
            </w:r>
          </w:p>
        </w:tc>
        <w:tc>
          <w:tcPr>
            <w:tcW w:w="1710" w:type="dxa"/>
            <w:tcBorders>
              <w:top w:val="single" w:color="000000" w:sz="4" w:space="0"/>
              <w:left w:val="single" w:color="000000" w:sz="4" w:space="0"/>
              <w:bottom w:val="single" w:color="000000" w:sz="4" w:space="0"/>
              <w:right w:val="single" w:color="000000" w:sz="4" w:space="0"/>
            </w:tcBorders>
            <w:vAlign w:val="center"/>
          </w:tcPr>
          <w:p w14:paraId="2F887F45">
            <w:r>
              <w:rPr>
                <w:rFonts w:hint="eastAsia"/>
              </w:rPr>
              <w:t>1,836,488.00</w:t>
            </w:r>
          </w:p>
        </w:tc>
        <w:tc>
          <w:tcPr>
            <w:tcW w:w="1162" w:type="dxa"/>
            <w:tcBorders>
              <w:top w:val="single" w:color="000000" w:sz="4" w:space="0"/>
              <w:left w:val="single" w:color="000000" w:sz="4" w:space="0"/>
              <w:bottom w:val="single" w:color="000000" w:sz="4" w:space="0"/>
              <w:right w:val="single" w:color="000000" w:sz="4" w:space="0"/>
            </w:tcBorders>
            <w:vAlign w:val="center"/>
          </w:tcPr>
          <w:p w14:paraId="67B3289C">
            <w:r>
              <w:rPr>
                <w:rFonts w:hint="eastAsia"/>
              </w:rPr>
              <w:t>99.94%</w:t>
            </w:r>
          </w:p>
        </w:tc>
      </w:tr>
      <w:tr w14:paraId="240A9CB6">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14:paraId="4FBDC643">
            <w:r>
              <w:rPr>
                <w:rFonts w:hint="eastAsia"/>
              </w:rPr>
              <w:t>家居装修优惠活动</w:t>
            </w:r>
          </w:p>
        </w:tc>
        <w:tc>
          <w:tcPr>
            <w:tcW w:w="1935" w:type="dxa"/>
            <w:tcBorders>
              <w:top w:val="single" w:color="000000" w:sz="4" w:space="0"/>
              <w:left w:val="single" w:color="000000" w:sz="4" w:space="0"/>
              <w:bottom w:val="single" w:color="000000" w:sz="4" w:space="0"/>
              <w:right w:val="single" w:color="000000" w:sz="4" w:space="0"/>
            </w:tcBorders>
            <w:vAlign w:val="center"/>
          </w:tcPr>
          <w:p w14:paraId="40FC065A">
            <w:r>
              <w:rPr>
                <w:rFonts w:hint="eastAsia"/>
              </w:rPr>
              <w:t>500,000.00</w:t>
            </w:r>
          </w:p>
        </w:tc>
        <w:tc>
          <w:tcPr>
            <w:tcW w:w="1710" w:type="dxa"/>
            <w:tcBorders>
              <w:top w:val="single" w:color="000000" w:sz="4" w:space="0"/>
              <w:left w:val="single" w:color="000000" w:sz="4" w:space="0"/>
              <w:bottom w:val="single" w:color="000000" w:sz="4" w:space="0"/>
              <w:right w:val="single" w:color="000000" w:sz="4" w:space="0"/>
            </w:tcBorders>
            <w:vAlign w:val="center"/>
          </w:tcPr>
          <w:p w14:paraId="1932493D">
            <w:r>
              <w:rPr>
                <w:rFonts w:hint="eastAsia"/>
              </w:rPr>
              <w:t>425,900.00</w:t>
            </w:r>
          </w:p>
        </w:tc>
        <w:tc>
          <w:tcPr>
            <w:tcW w:w="1162" w:type="dxa"/>
            <w:tcBorders>
              <w:top w:val="single" w:color="000000" w:sz="4" w:space="0"/>
              <w:left w:val="single" w:color="000000" w:sz="4" w:space="0"/>
              <w:bottom w:val="single" w:color="000000" w:sz="4" w:space="0"/>
              <w:right w:val="single" w:color="000000" w:sz="4" w:space="0"/>
            </w:tcBorders>
            <w:vAlign w:val="center"/>
          </w:tcPr>
          <w:p w14:paraId="7BF081C7">
            <w:r>
              <w:rPr>
                <w:rFonts w:hint="eastAsia"/>
              </w:rPr>
              <w:t>85.18%</w:t>
            </w:r>
          </w:p>
        </w:tc>
      </w:tr>
      <w:tr w14:paraId="102B941F">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14:paraId="7F3E0768">
            <w:r>
              <w:rPr>
                <w:rFonts w:hint="eastAsia"/>
              </w:rPr>
              <w:t>游在仙游</w:t>
            </w:r>
          </w:p>
        </w:tc>
        <w:tc>
          <w:tcPr>
            <w:tcW w:w="1935" w:type="dxa"/>
            <w:tcBorders>
              <w:top w:val="single" w:color="000000" w:sz="4" w:space="0"/>
              <w:left w:val="single" w:color="000000" w:sz="4" w:space="0"/>
              <w:bottom w:val="single" w:color="000000" w:sz="4" w:space="0"/>
              <w:right w:val="single" w:color="000000" w:sz="4" w:space="0"/>
            </w:tcBorders>
            <w:vAlign w:val="center"/>
          </w:tcPr>
          <w:p w14:paraId="1FB8A6CD">
            <w:r>
              <w:rPr>
                <w:rFonts w:hint="eastAsia"/>
              </w:rPr>
              <w:t>52,000.00</w:t>
            </w:r>
          </w:p>
        </w:tc>
        <w:tc>
          <w:tcPr>
            <w:tcW w:w="1710" w:type="dxa"/>
            <w:tcBorders>
              <w:top w:val="single" w:color="000000" w:sz="4" w:space="0"/>
              <w:left w:val="single" w:color="000000" w:sz="4" w:space="0"/>
              <w:bottom w:val="single" w:color="000000" w:sz="4" w:space="0"/>
              <w:right w:val="single" w:color="000000" w:sz="4" w:space="0"/>
            </w:tcBorders>
            <w:vAlign w:val="center"/>
          </w:tcPr>
          <w:p w14:paraId="11810D53">
            <w:r>
              <w:rPr>
                <w:rFonts w:hint="eastAsia"/>
              </w:rPr>
              <w:t>25,644.61</w:t>
            </w:r>
          </w:p>
        </w:tc>
        <w:tc>
          <w:tcPr>
            <w:tcW w:w="1162" w:type="dxa"/>
            <w:tcBorders>
              <w:top w:val="single" w:color="000000" w:sz="4" w:space="0"/>
              <w:left w:val="single" w:color="000000" w:sz="4" w:space="0"/>
              <w:bottom w:val="single" w:color="000000" w:sz="4" w:space="0"/>
              <w:right w:val="single" w:color="000000" w:sz="4" w:space="0"/>
            </w:tcBorders>
            <w:vAlign w:val="center"/>
          </w:tcPr>
          <w:p w14:paraId="67840090">
            <w:r>
              <w:rPr>
                <w:rFonts w:hint="eastAsia"/>
              </w:rPr>
              <w:t>49.32%</w:t>
            </w:r>
          </w:p>
        </w:tc>
      </w:tr>
      <w:tr w14:paraId="581B7E03">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14:paraId="1D4FB5C2">
            <w:r>
              <w:rPr>
                <w:rFonts w:hint="eastAsia"/>
              </w:rPr>
              <w:t>看在仙游</w:t>
            </w:r>
          </w:p>
        </w:tc>
        <w:tc>
          <w:tcPr>
            <w:tcW w:w="1935" w:type="dxa"/>
            <w:tcBorders>
              <w:top w:val="single" w:color="000000" w:sz="4" w:space="0"/>
              <w:left w:val="single" w:color="000000" w:sz="4" w:space="0"/>
              <w:bottom w:val="single" w:color="000000" w:sz="4" w:space="0"/>
              <w:right w:val="single" w:color="000000" w:sz="4" w:space="0"/>
            </w:tcBorders>
            <w:vAlign w:val="center"/>
          </w:tcPr>
          <w:p w14:paraId="0BB2EA95">
            <w:r>
              <w:rPr>
                <w:rFonts w:hint="eastAsia"/>
              </w:rPr>
              <w:t>50,500.00</w:t>
            </w:r>
          </w:p>
        </w:tc>
        <w:tc>
          <w:tcPr>
            <w:tcW w:w="1710" w:type="dxa"/>
            <w:tcBorders>
              <w:top w:val="single" w:color="000000" w:sz="4" w:space="0"/>
              <w:left w:val="single" w:color="000000" w:sz="4" w:space="0"/>
              <w:bottom w:val="single" w:color="000000" w:sz="4" w:space="0"/>
              <w:right w:val="single" w:color="000000" w:sz="4" w:space="0"/>
            </w:tcBorders>
            <w:vAlign w:val="center"/>
          </w:tcPr>
          <w:p w14:paraId="0F1A4DEC">
            <w:r>
              <w:rPr>
                <w:rFonts w:hint="eastAsia"/>
              </w:rPr>
              <w:t>6,942.00</w:t>
            </w:r>
          </w:p>
        </w:tc>
        <w:tc>
          <w:tcPr>
            <w:tcW w:w="1162" w:type="dxa"/>
            <w:tcBorders>
              <w:top w:val="single" w:color="000000" w:sz="4" w:space="0"/>
              <w:left w:val="single" w:color="000000" w:sz="4" w:space="0"/>
              <w:bottom w:val="single" w:color="000000" w:sz="4" w:space="0"/>
              <w:right w:val="single" w:color="000000" w:sz="4" w:space="0"/>
            </w:tcBorders>
            <w:vAlign w:val="center"/>
          </w:tcPr>
          <w:p w14:paraId="6F6F3905">
            <w:r>
              <w:rPr>
                <w:rFonts w:hint="eastAsia"/>
              </w:rPr>
              <w:t>13.75%</w:t>
            </w:r>
          </w:p>
        </w:tc>
      </w:tr>
      <w:tr w14:paraId="03643559">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14:paraId="59134B0B">
            <w:r>
              <w:rPr>
                <w:rFonts w:hint="eastAsia"/>
              </w:rPr>
              <w:t>外省籍务工人员留仙游过年专项活动</w:t>
            </w:r>
          </w:p>
        </w:tc>
        <w:tc>
          <w:tcPr>
            <w:tcW w:w="1935" w:type="dxa"/>
            <w:tcBorders>
              <w:top w:val="single" w:color="000000" w:sz="4" w:space="0"/>
              <w:left w:val="single" w:color="000000" w:sz="4" w:space="0"/>
              <w:bottom w:val="single" w:color="000000" w:sz="4" w:space="0"/>
              <w:right w:val="single" w:color="000000" w:sz="4" w:space="0"/>
            </w:tcBorders>
            <w:vAlign w:val="center"/>
          </w:tcPr>
          <w:p w14:paraId="21ADCA0A">
            <w:r>
              <w:rPr>
                <w:rFonts w:hint="eastAsia"/>
              </w:rPr>
              <w:t>2,750,000.00</w:t>
            </w:r>
          </w:p>
        </w:tc>
        <w:tc>
          <w:tcPr>
            <w:tcW w:w="1710" w:type="dxa"/>
            <w:tcBorders>
              <w:top w:val="single" w:color="000000" w:sz="4" w:space="0"/>
              <w:left w:val="single" w:color="000000" w:sz="4" w:space="0"/>
              <w:bottom w:val="single" w:color="000000" w:sz="4" w:space="0"/>
              <w:right w:val="single" w:color="000000" w:sz="4" w:space="0"/>
            </w:tcBorders>
            <w:vAlign w:val="center"/>
          </w:tcPr>
          <w:p w14:paraId="3544347F">
            <w:r>
              <w:rPr>
                <w:rFonts w:hint="eastAsia"/>
              </w:rPr>
              <w:t>327,790.00</w:t>
            </w:r>
          </w:p>
        </w:tc>
        <w:tc>
          <w:tcPr>
            <w:tcW w:w="1162" w:type="dxa"/>
            <w:tcBorders>
              <w:top w:val="single" w:color="000000" w:sz="4" w:space="0"/>
              <w:left w:val="single" w:color="000000" w:sz="4" w:space="0"/>
              <w:bottom w:val="single" w:color="000000" w:sz="4" w:space="0"/>
              <w:right w:val="single" w:color="000000" w:sz="4" w:space="0"/>
            </w:tcBorders>
            <w:vAlign w:val="center"/>
          </w:tcPr>
          <w:p w14:paraId="24E0242E">
            <w:r>
              <w:rPr>
                <w:rFonts w:hint="eastAsia"/>
              </w:rPr>
              <w:t>11.92%</w:t>
            </w:r>
          </w:p>
        </w:tc>
      </w:tr>
      <w:tr w14:paraId="49013EDE">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14:paraId="4EF753BD">
            <w:r>
              <w:rPr>
                <w:rFonts w:hint="eastAsia"/>
              </w:rPr>
              <w:t>合 计</w:t>
            </w:r>
          </w:p>
        </w:tc>
        <w:tc>
          <w:tcPr>
            <w:tcW w:w="1935" w:type="dxa"/>
            <w:tcBorders>
              <w:top w:val="single" w:color="000000" w:sz="4" w:space="0"/>
              <w:left w:val="single" w:color="000000" w:sz="4" w:space="0"/>
              <w:bottom w:val="single" w:color="000000" w:sz="4" w:space="0"/>
              <w:right w:val="single" w:color="000000" w:sz="4" w:space="0"/>
            </w:tcBorders>
            <w:vAlign w:val="center"/>
          </w:tcPr>
          <w:p w14:paraId="161E6FC3">
            <w:r>
              <w:rPr>
                <w:rFonts w:hint="eastAsia"/>
              </w:rPr>
              <w:t>13,380,158.00</w:t>
            </w:r>
          </w:p>
        </w:tc>
        <w:tc>
          <w:tcPr>
            <w:tcW w:w="1710" w:type="dxa"/>
            <w:tcBorders>
              <w:top w:val="single" w:color="000000" w:sz="4" w:space="0"/>
              <w:left w:val="single" w:color="000000" w:sz="4" w:space="0"/>
              <w:bottom w:val="single" w:color="000000" w:sz="4" w:space="0"/>
              <w:right w:val="single" w:color="000000" w:sz="4" w:space="0"/>
            </w:tcBorders>
            <w:vAlign w:val="center"/>
          </w:tcPr>
          <w:p w14:paraId="52DE2280">
            <w:r>
              <w:rPr>
                <w:rFonts w:hint="eastAsia"/>
              </w:rPr>
              <w:t>10,328,804.12</w:t>
            </w:r>
          </w:p>
        </w:tc>
        <w:tc>
          <w:tcPr>
            <w:tcW w:w="1162" w:type="dxa"/>
            <w:tcBorders>
              <w:top w:val="single" w:color="000000" w:sz="4" w:space="0"/>
              <w:left w:val="single" w:color="000000" w:sz="4" w:space="0"/>
              <w:bottom w:val="single" w:color="000000" w:sz="4" w:space="0"/>
              <w:right w:val="single" w:color="000000" w:sz="4" w:space="0"/>
            </w:tcBorders>
            <w:vAlign w:val="center"/>
          </w:tcPr>
          <w:p w14:paraId="6E269742"/>
        </w:tc>
      </w:tr>
    </w:tbl>
    <w:p w14:paraId="1E609F26">
      <w:pPr>
        <w:ind w:firstLine="420" w:firstLineChars="200"/>
      </w:pPr>
      <w:r>
        <w:rPr>
          <w:rFonts w:hint="eastAsia"/>
        </w:rPr>
        <w:t>表4城厢区“全闽乐购·富美城厢”促销费系列活动</w:t>
      </w:r>
    </w:p>
    <w:tbl>
      <w:tblPr>
        <w:tblStyle w:val="17"/>
        <w:tblW w:w="8336" w:type="dxa"/>
        <w:jc w:val="center"/>
        <w:tblLayout w:type="fixed"/>
        <w:tblCellMar>
          <w:top w:w="15" w:type="dxa"/>
          <w:left w:w="15" w:type="dxa"/>
          <w:bottom w:w="15" w:type="dxa"/>
          <w:right w:w="15" w:type="dxa"/>
        </w:tblCellMar>
      </w:tblPr>
      <w:tblGrid>
        <w:gridCol w:w="3651"/>
        <w:gridCol w:w="1995"/>
        <w:gridCol w:w="1650"/>
        <w:gridCol w:w="1040"/>
      </w:tblGrid>
      <w:tr w14:paraId="1876E5BD">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14:paraId="7CB62CFE">
            <w:r>
              <w:rPr>
                <w:rFonts w:hint="eastAsia"/>
              </w:rPr>
              <w:t>活动名称</w:t>
            </w:r>
          </w:p>
        </w:tc>
        <w:tc>
          <w:tcPr>
            <w:tcW w:w="1995" w:type="dxa"/>
            <w:tcBorders>
              <w:top w:val="single" w:color="000000" w:sz="4" w:space="0"/>
              <w:left w:val="single" w:color="000000" w:sz="4" w:space="0"/>
              <w:bottom w:val="single" w:color="000000" w:sz="4" w:space="0"/>
              <w:right w:val="single" w:color="000000" w:sz="4" w:space="0"/>
            </w:tcBorders>
            <w:vAlign w:val="center"/>
          </w:tcPr>
          <w:p w14:paraId="2B2A9568">
            <w:r>
              <w:rPr>
                <w:rFonts w:hint="eastAsia"/>
              </w:rPr>
              <w:t>方案配置金额（元）</w:t>
            </w:r>
          </w:p>
        </w:tc>
        <w:tc>
          <w:tcPr>
            <w:tcW w:w="1650" w:type="dxa"/>
            <w:tcBorders>
              <w:top w:val="single" w:color="000000" w:sz="4" w:space="0"/>
              <w:left w:val="single" w:color="000000" w:sz="4" w:space="0"/>
              <w:bottom w:val="single" w:color="000000" w:sz="4" w:space="0"/>
              <w:right w:val="single" w:color="000000" w:sz="4" w:space="0"/>
            </w:tcBorders>
            <w:vAlign w:val="center"/>
          </w:tcPr>
          <w:p w14:paraId="397E03FC">
            <w:r>
              <w:rPr>
                <w:rFonts w:hint="eastAsia"/>
              </w:rPr>
              <w:t>核销金额（元）</w:t>
            </w:r>
          </w:p>
        </w:tc>
        <w:tc>
          <w:tcPr>
            <w:tcW w:w="1040" w:type="dxa"/>
            <w:tcBorders>
              <w:top w:val="single" w:color="000000" w:sz="4" w:space="0"/>
              <w:left w:val="single" w:color="000000" w:sz="4" w:space="0"/>
              <w:bottom w:val="single" w:color="000000" w:sz="4" w:space="0"/>
              <w:right w:val="single" w:color="000000" w:sz="4" w:space="0"/>
            </w:tcBorders>
            <w:vAlign w:val="center"/>
          </w:tcPr>
          <w:p w14:paraId="2FA98762">
            <w:r>
              <w:rPr>
                <w:rFonts w:hint="eastAsia"/>
              </w:rPr>
              <w:t>核销率</w:t>
            </w:r>
          </w:p>
        </w:tc>
      </w:tr>
      <w:tr w14:paraId="3CD98237">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14:paraId="406ECDE6">
            <w:r>
              <w:rPr>
                <w:rFonts w:hint="eastAsia"/>
              </w:rPr>
              <w:t>美食品鉴展会主题活动暨餐饮食品一、二期乐购券发放活动</w:t>
            </w:r>
          </w:p>
        </w:tc>
        <w:tc>
          <w:tcPr>
            <w:tcW w:w="1995" w:type="dxa"/>
            <w:tcBorders>
              <w:top w:val="single" w:color="000000" w:sz="4" w:space="0"/>
              <w:left w:val="single" w:color="000000" w:sz="4" w:space="0"/>
              <w:bottom w:val="single" w:color="000000" w:sz="4" w:space="0"/>
              <w:right w:val="single" w:color="000000" w:sz="4" w:space="0"/>
            </w:tcBorders>
            <w:vAlign w:val="center"/>
          </w:tcPr>
          <w:p w14:paraId="482DC380">
            <w:r>
              <w:rPr>
                <w:rFonts w:hint="eastAsia"/>
              </w:rPr>
              <w:t>1,500,000.00</w:t>
            </w:r>
          </w:p>
        </w:tc>
        <w:tc>
          <w:tcPr>
            <w:tcW w:w="1650" w:type="dxa"/>
            <w:tcBorders>
              <w:top w:val="single" w:color="000000" w:sz="4" w:space="0"/>
              <w:left w:val="single" w:color="000000" w:sz="4" w:space="0"/>
              <w:bottom w:val="single" w:color="000000" w:sz="4" w:space="0"/>
              <w:right w:val="single" w:color="000000" w:sz="4" w:space="0"/>
            </w:tcBorders>
            <w:vAlign w:val="center"/>
          </w:tcPr>
          <w:p w14:paraId="21B65810">
            <w:r>
              <w:rPr>
                <w:rFonts w:hint="eastAsia"/>
              </w:rPr>
              <w:t>74,804.00</w:t>
            </w:r>
          </w:p>
        </w:tc>
        <w:tc>
          <w:tcPr>
            <w:tcW w:w="1040" w:type="dxa"/>
            <w:tcBorders>
              <w:top w:val="single" w:color="000000" w:sz="4" w:space="0"/>
              <w:left w:val="single" w:color="000000" w:sz="4" w:space="0"/>
              <w:bottom w:val="single" w:color="000000" w:sz="4" w:space="0"/>
              <w:right w:val="single" w:color="000000" w:sz="4" w:space="0"/>
            </w:tcBorders>
            <w:vAlign w:val="center"/>
          </w:tcPr>
          <w:p w14:paraId="4C7CA03C">
            <w:r>
              <w:rPr>
                <w:rFonts w:hint="eastAsia"/>
              </w:rPr>
              <w:t>4.99%</w:t>
            </w:r>
          </w:p>
        </w:tc>
      </w:tr>
      <w:tr w14:paraId="03D99283">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14:paraId="62023463">
            <w:r>
              <w:rPr>
                <w:rFonts w:hint="eastAsia"/>
              </w:rPr>
              <w:t>农民丰收节活动</w:t>
            </w:r>
          </w:p>
        </w:tc>
        <w:tc>
          <w:tcPr>
            <w:tcW w:w="1995" w:type="dxa"/>
            <w:tcBorders>
              <w:top w:val="single" w:color="000000" w:sz="4" w:space="0"/>
              <w:left w:val="single" w:color="000000" w:sz="4" w:space="0"/>
              <w:bottom w:val="single" w:color="000000" w:sz="4" w:space="0"/>
              <w:right w:val="single" w:color="000000" w:sz="4" w:space="0"/>
            </w:tcBorders>
            <w:vAlign w:val="center"/>
          </w:tcPr>
          <w:p w14:paraId="65B446E6">
            <w:r>
              <w:rPr>
                <w:rFonts w:hint="eastAsia"/>
              </w:rPr>
              <w:t>200,000.00</w:t>
            </w:r>
          </w:p>
        </w:tc>
        <w:tc>
          <w:tcPr>
            <w:tcW w:w="1650" w:type="dxa"/>
            <w:tcBorders>
              <w:top w:val="single" w:color="000000" w:sz="4" w:space="0"/>
              <w:left w:val="single" w:color="000000" w:sz="4" w:space="0"/>
              <w:bottom w:val="single" w:color="000000" w:sz="4" w:space="0"/>
              <w:right w:val="single" w:color="000000" w:sz="4" w:space="0"/>
            </w:tcBorders>
            <w:vAlign w:val="center"/>
          </w:tcPr>
          <w:p w14:paraId="79C2467E">
            <w:r>
              <w:rPr>
                <w:rFonts w:hint="eastAsia"/>
              </w:rPr>
              <w:t>2,784.00</w:t>
            </w:r>
          </w:p>
        </w:tc>
        <w:tc>
          <w:tcPr>
            <w:tcW w:w="1040" w:type="dxa"/>
            <w:tcBorders>
              <w:top w:val="single" w:color="000000" w:sz="4" w:space="0"/>
              <w:left w:val="single" w:color="000000" w:sz="4" w:space="0"/>
              <w:bottom w:val="single" w:color="000000" w:sz="4" w:space="0"/>
              <w:right w:val="single" w:color="000000" w:sz="4" w:space="0"/>
            </w:tcBorders>
            <w:vAlign w:val="center"/>
          </w:tcPr>
          <w:p w14:paraId="76AFB295">
            <w:r>
              <w:rPr>
                <w:rFonts w:hint="eastAsia"/>
              </w:rPr>
              <w:t>1.39%</w:t>
            </w:r>
          </w:p>
        </w:tc>
      </w:tr>
      <w:tr w14:paraId="608327F0">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14:paraId="16146342">
            <w:r>
              <w:rPr>
                <w:rFonts w:hint="eastAsia"/>
              </w:rPr>
              <w:t>迎国庆、庆中秋商圈暨万达广场乐购券发放活动</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5EC2A3EF">
            <w:r>
              <w:rPr>
                <w:rFonts w:hint="eastAsia"/>
              </w:rPr>
              <w:t>1,300,000.00</w:t>
            </w:r>
          </w:p>
        </w:tc>
        <w:tc>
          <w:tcPr>
            <w:tcW w:w="1650" w:type="dxa"/>
            <w:tcBorders>
              <w:top w:val="single" w:color="auto" w:sz="4" w:space="0"/>
              <w:left w:val="nil"/>
              <w:bottom w:val="single" w:color="auto" w:sz="4" w:space="0"/>
              <w:right w:val="single" w:color="auto" w:sz="4" w:space="0"/>
            </w:tcBorders>
            <w:shd w:val="clear" w:color="auto" w:fill="auto"/>
            <w:vAlign w:val="center"/>
          </w:tcPr>
          <w:p w14:paraId="5FB730A2">
            <w:r>
              <w:rPr>
                <w:rFonts w:hint="eastAsia"/>
              </w:rPr>
              <w:t>935,984.27</w:t>
            </w:r>
          </w:p>
        </w:tc>
        <w:tc>
          <w:tcPr>
            <w:tcW w:w="1040" w:type="dxa"/>
            <w:tcBorders>
              <w:top w:val="single" w:color="auto" w:sz="4" w:space="0"/>
              <w:left w:val="nil"/>
              <w:bottom w:val="single" w:color="auto" w:sz="4" w:space="0"/>
              <w:right w:val="single" w:color="auto" w:sz="4" w:space="0"/>
            </w:tcBorders>
            <w:shd w:val="clear" w:color="auto" w:fill="auto"/>
            <w:vAlign w:val="center"/>
          </w:tcPr>
          <w:p w14:paraId="06CA8CB2">
            <w:r>
              <w:rPr>
                <w:rFonts w:hint="eastAsia"/>
              </w:rPr>
              <w:t>72.00%</w:t>
            </w:r>
          </w:p>
        </w:tc>
      </w:tr>
      <w:tr w14:paraId="6D3C7D1E">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14:paraId="05EF197A">
            <w:r>
              <w:rPr>
                <w:rFonts w:hint="eastAsia"/>
              </w:rPr>
              <w:t>商超第一、二期乐购券发放活动</w:t>
            </w:r>
          </w:p>
        </w:tc>
        <w:tc>
          <w:tcPr>
            <w:tcW w:w="1995" w:type="dxa"/>
            <w:tcBorders>
              <w:top w:val="single" w:color="000000" w:sz="4" w:space="0"/>
              <w:left w:val="single" w:color="000000" w:sz="4" w:space="0"/>
              <w:bottom w:val="single" w:color="000000" w:sz="4" w:space="0"/>
              <w:right w:val="single" w:color="000000" w:sz="4" w:space="0"/>
            </w:tcBorders>
            <w:vAlign w:val="center"/>
          </w:tcPr>
          <w:p w14:paraId="1DD145F6">
            <w:r>
              <w:rPr>
                <w:rFonts w:hint="eastAsia"/>
              </w:rPr>
              <w:t>2,000,000.00</w:t>
            </w:r>
          </w:p>
        </w:tc>
        <w:tc>
          <w:tcPr>
            <w:tcW w:w="1650" w:type="dxa"/>
            <w:tcBorders>
              <w:top w:val="single" w:color="000000" w:sz="4" w:space="0"/>
              <w:left w:val="single" w:color="000000" w:sz="4" w:space="0"/>
              <w:bottom w:val="single" w:color="000000" w:sz="4" w:space="0"/>
              <w:right w:val="single" w:color="000000" w:sz="4" w:space="0"/>
            </w:tcBorders>
            <w:vAlign w:val="center"/>
          </w:tcPr>
          <w:p w14:paraId="03CC0DDD">
            <w:r>
              <w:rPr>
                <w:rFonts w:hint="eastAsia"/>
              </w:rPr>
              <w:t>395,675.16</w:t>
            </w:r>
          </w:p>
        </w:tc>
        <w:tc>
          <w:tcPr>
            <w:tcW w:w="1040" w:type="dxa"/>
            <w:tcBorders>
              <w:top w:val="single" w:color="000000" w:sz="4" w:space="0"/>
              <w:left w:val="single" w:color="000000" w:sz="4" w:space="0"/>
              <w:bottom w:val="single" w:color="000000" w:sz="4" w:space="0"/>
              <w:right w:val="single" w:color="000000" w:sz="4" w:space="0"/>
            </w:tcBorders>
            <w:vAlign w:val="center"/>
          </w:tcPr>
          <w:p w14:paraId="5508CC8A">
            <w:r>
              <w:rPr>
                <w:rFonts w:hint="eastAsia"/>
              </w:rPr>
              <w:t>19.78%</w:t>
            </w:r>
          </w:p>
        </w:tc>
      </w:tr>
      <w:tr w14:paraId="423D329F">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14:paraId="74E046BA">
            <w:r>
              <w:rPr>
                <w:rFonts w:hint="eastAsia"/>
              </w:rPr>
              <w:t>家居建材活动</w:t>
            </w:r>
          </w:p>
        </w:tc>
        <w:tc>
          <w:tcPr>
            <w:tcW w:w="1995" w:type="dxa"/>
            <w:tcBorders>
              <w:top w:val="single" w:color="000000" w:sz="4" w:space="0"/>
              <w:left w:val="single" w:color="000000" w:sz="4" w:space="0"/>
              <w:bottom w:val="single" w:color="000000" w:sz="4" w:space="0"/>
              <w:right w:val="single" w:color="000000" w:sz="4" w:space="0"/>
            </w:tcBorders>
            <w:vAlign w:val="center"/>
          </w:tcPr>
          <w:p w14:paraId="18CA84FE">
            <w:r>
              <w:rPr>
                <w:rFonts w:hint="eastAsia"/>
              </w:rPr>
              <w:t>1,000,000.00</w:t>
            </w:r>
          </w:p>
        </w:tc>
        <w:tc>
          <w:tcPr>
            <w:tcW w:w="1650" w:type="dxa"/>
            <w:tcBorders>
              <w:top w:val="single" w:color="000000" w:sz="4" w:space="0"/>
              <w:left w:val="single" w:color="000000" w:sz="4" w:space="0"/>
              <w:bottom w:val="single" w:color="000000" w:sz="4" w:space="0"/>
              <w:right w:val="single" w:color="000000" w:sz="4" w:space="0"/>
            </w:tcBorders>
            <w:vAlign w:val="center"/>
          </w:tcPr>
          <w:p w14:paraId="40D1EEE3">
            <w:r>
              <w:rPr>
                <w:rFonts w:hint="eastAsia"/>
              </w:rPr>
              <w:t>855,654.50</w:t>
            </w:r>
          </w:p>
        </w:tc>
        <w:tc>
          <w:tcPr>
            <w:tcW w:w="1040" w:type="dxa"/>
            <w:tcBorders>
              <w:top w:val="single" w:color="000000" w:sz="4" w:space="0"/>
              <w:left w:val="single" w:color="000000" w:sz="4" w:space="0"/>
              <w:bottom w:val="single" w:color="000000" w:sz="4" w:space="0"/>
              <w:right w:val="single" w:color="000000" w:sz="4" w:space="0"/>
            </w:tcBorders>
            <w:vAlign w:val="center"/>
          </w:tcPr>
          <w:p w14:paraId="20057AB1">
            <w:r>
              <w:rPr>
                <w:rFonts w:hint="eastAsia"/>
              </w:rPr>
              <w:t>85.57%</w:t>
            </w:r>
          </w:p>
        </w:tc>
      </w:tr>
      <w:tr w14:paraId="2227EFF1">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14:paraId="66A4C6F4">
            <w:r>
              <w:rPr>
                <w:rFonts w:hint="eastAsia"/>
              </w:rPr>
              <w:t>乐购行动之双十二活动</w:t>
            </w:r>
          </w:p>
        </w:tc>
        <w:tc>
          <w:tcPr>
            <w:tcW w:w="1995" w:type="dxa"/>
            <w:tcBorders>
              <w:top w:val="single" w:color="000000" w:sz="4" w:space="0"/>
              <w:left w:val="single" w:color="000000" w:sz="4" w:space="0"/>
              <w:bottom w:val="single" w:color="000000" w:sz="4" w:space="0"/>
              <w:right w:val="single" w:color="000000" w:sz="4" w:space="0"/>
            </w:tcBorders>
            <w:vAlign w:val="center"/>
          </w:tcPr>
          <w:p w14:paraId="1785B65F">
            <w:r>
              <w:rPr>
                <w:rFonts w:hint="eastAsia"/>
              </w:rPr>
              <w:t>2,700,000.00</w:t>
            </w:r>
          </w:p>
        </w:tc>
        <w:tc>
          <w:tcPr>
            <w:tcW w:w="1650" w:type="dxa"/>
            <w:tcBorders>
              <w:top w:val="single" w:color="000000" w:sz="4" w:space="0"/>
              <w:left w:val="single" w:color="000000" w:sz="4" w:space="0"/>
              <w:bottom w:val="single" w:color="000000" w:sz="4" w:space="0"/>
              <w:right w:val="single" w:color="000000" w:sz="4" w:space="0"/>
            </w:tcBorders>
            <w:vAlign w:val="center"/>
          </w:tcPr>
          <w:p w14:paraId="5607BD1B">
            <w:r>
              <w:rPr>
                <w:rFonts w:hint="eastAsia"/>
              </w:rPr>
              <w:t>2,673,301.24</w:t>
            </w:r>
          </w:p>
        </w:tc>
        <w:tc>
          <w:tcPr>
            <w:tcW w:w="1040" w:type="dxa"/>
            <w:tcBorders>
              <w:top w:val="single" w:color="000000" w:sz="4" w:space="0"/>
              <w:left w:val="single" w:color="000000" w:sz="4" w:space="0"/>
              <w:bottom w:val="single" w:color="000000" w:sz="4" w:space="0"/>
              <w:right w:val="single" w:color="000000" w:sz="4" w:space="0"/>
            </w:tcBorders>
            <w:vAlign w:val="center"/>
          </w:tcPr>
          <w:p w14:paraId="16F40D79">
            <w:r>
              <w:rPr>
                <w:rFonts w:hint="eastAsia"/>
              </w:rPr>
              <w:t>99.01%</w:t>
            </w:r>
          </w:p>
        </w:tc>
      </w:tr>
      <w:tr w14:paraId="5B67BCC0">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14:paraId="119BE7FE">
            <w:r>
              <w:rPr>
                <w:rFonts w:hint="eastAsia"/>
              </w:rPr>
              <w:t>年货乐购活动</w:t>
            </w:r>
          </w:p>
        </w:tc>
        <w:tc>
          <w:tcPr>
            <w:tcW w:w="1995" w:type="dxa"/>
            <w:tcBorders>
              <w:top w:val="single" w:color="000000" w:sz="4" w:space="0"/>
              <w:left w:val="single" w:color="000000" w:sz="4" w:space="0"/>
              <w:bottom w:val="single" w:color="000000" w:sz="4" w:space="0"/>
              <w:right w:val="single" w:color="000000" w:sz="4" w:space="0"/>
            </w:tcBorders>
            <w:vAlign w:val="center"/>
          </w:tcPr>
          <w:p w14:paraId="5128F237">
            <w:r>
              <w:rPr>
                <w:rFonts w:hint="eastAsia"/>
              </w:rPr>
              <w:t>6,000,000.00</w:t>
            </w:r>
          </w:p>
        </w:tc>
        <w:tc>
          <w:tcPr>
            <w:tcW w:w="1650" w:type="dxa"/>
            <w:tcBorders>
              <w:top w:val="single" w:color="000000" w:sz="4" w:space="0"/>
              <w:left w:val="single" w:color="000000" w:sz="4" w:space="0"/>
              <w:bottom w:val="single" w:color="000000" w:sz="4" w:space="0"/>
              <w:right w:val="single" w:color="000000" w:sz="4" w:space="0"/>
            </w:tcBorders>
            <w:vAlign w:val="center"/>
          </w:tcPr>
          <w:p w14:paraId="29CE78BE">
            <w:r>
              <w:rPr>
                <w:rFonts w:hint="eastAsia"/>
              </w:rPr>
              <w:t>4,624,412.45</w:t>
            </w:r>
          </w:p>
        </w:tc>
        <w:tc>
          <w:tcPr>
            <w:tcW w:w="1040" w:type="dxa"/>
            <w:tcBorders>
              <w:top w:val="single" w:color="000000" w:sz="4" w:space="0"/>
              <w:left w:val="single" w:color="000000" w:sz="4" w:space="0"/>
              <w:bottom w:val="single" w:color="000000" w:sz="4" w:space="0"/>
              <w:right w:val="single" w:color="000000" w:sz="4" w:space="0"/>
            </w:tcBorders>
            <w:vAlign w:val="center"/>
          </w:tcPr>
          <w:p w14:paraId="1C9A2516">
            <w:r>
              <w:rPr>
                <w:rFonts w:hint="eastAsia"/>
              </w:rPr>
              <w:t>77.07%</w:t>
            </w:r>
          </w:p>
        </w:tc>
      </w:tr>
      <w:tr w14:paraId="7E86E759">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14:paraId="4EC74148">
            <w:r>
              <w:rPr>
                <w:rFonts w:hint="eastAsia"/>
              </w:rPr>
              <w:t>购车补贴</w:t>
            </w:r>
          </w:p>
        </w:tc>
        <w:tc>
          <w:tcPr>
            <w:tcW w:w="1995" w:type="dxa"/>
            <w:tcBorders>
              <w:top w:val="single" w:color="000000" w:sz="4" w:space="0"/>
              <w:left w:val="single" w:color="000000" w:sz="4" w:space="0"/>
              <w:bottom w:val="single" w:color="000000" w:sz="4" w:space="0"/>
              <w:right w:val="single" w:color="000000" w:sz="4" w:space="0"/>
            </w:tcBorders>
            <w:vAlign w:val="center"/>
          </w:tcPr>
          <w:p w14:paraId="491FD986">
            <w:r>
              <w:rPr>
                <w:rFonts w:hint="eastAsia"/>
              </w:rPr>
              <w:t>3,733,000.00</w:t>
            </w:r>
          </w:p>
        </w:tc>
        <w:tc>
          <w:tcPr>
            <w:tcW w:w="1650" w:type="dxa"/>
            <w:tcBorders>
              <w:top w:val="single" w:color="000000" w:sz="4" w:space="0"/>
              <w:left w:val="single" w:color="000000" w:sz="4" w:space="0"/>
              <w:bottom w:val="single" w:color="000000" w:sz="4" w:space="0"/>
              <w:right w:val="single" w:color="000000" w:sz="4" w:space="0"/>
            </w:tcBorders>
            <w:vAlign w:val="center"/>
          </w:tcPr>
          <w:p w14:paraId="4407544A">
            <w:r>
              <w:rPr>
                <w:rFonts w:hint="eastAsia"/>
              </w:rPr>
              <w:t>2,157,000.00</w:t>
            </w:r>
          </w:p>
        </w:tc>
        <w:tc>
          <w:tcPr>
            <w:tcW w:w="1040" w:type="dxa"/>
            <w:tcBorders>
              <w:top w:val="single" w:color="000000" w:sz="4" w:space="0"/>
              <w:left w:val="single" w:color="000000" w:sz="4" w:space="0"/>
              <w:bottom w:val="single" w:color="000000" w:sz="4" w:space="0"/>
              <w:right w:val="single" w:color="000000" w:sz="4" w:space="0"/>
            </w:tcBorders>
            <w:vAlign w:val="center"/>
          </w:tcPr>
          <w:p w14:paraId="3E5CD568">
            <w:r>
              <w:rPr>
                <w:rFonts w:hint="eastAsia"/>
              </w:rPr>
              <w:t>57.78%</w:t>
            </w:r>
          </w:p>
        </w:tc>
      </w:tr>
      <w:tr w14:paraId="5C758670">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14:paraId="11CE7692">
            <w:r>
              <w:rPr>
                <w:rFonts w:hint="eastAsia"/>
              </w:rPr>
              <w:t>合 计</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54353872">
            <w:r>
              <w:rPr>
                <w:rFonts w:hint="eastAsia"/>
              </w:rPr>
              <w:t xml:space="preserve">18,433,000.00 </w:t>
            </w:r>
          </w:p>
        </w:tc>
        <w:tc>
          <w:tcPr>
            <w:tcW w:w="1650" w:type="dxa"/>
            <w:tcBorders>
              <w:top w:val="single" w:color="auto" w:sz="4" w:space="0"/>
              <w:left w:val="nil"/>
              <w:bottom w:val="single" w:color="auto" w:sz="4" w:space="0"/>
              <w:right w:val="single" w:color="auto" w:sz="4" w:space="0"/>
            </w:tcBorders>
            <w:shd w:val="clear" w:color="auto" w:fill="auto"/>
            <w:vAlign w:val="center"/>
          </w:tcPr>
          <w:p w14:paraId="6475C571">
            <w:r>
              <w:rPr>
                <w:rFonts w:hint="eastAsia"/>
              </w:rPr>
              <w:t>11,719,615.62</w:t>
            </w:r>
          </w:p>
        </w:tc>
        <w:tc>
          <w:tcPr>
            <w:tcW w:w="1040" w:type="dxa"/>
            <w:tcBorders>
              <w:top w:val="single" w:color="000000" w:sz="4" w:space="0"/>
              <w:left w:val="single" w:color="000000" w:sz="4" w:space="0"/>
              <w:bottom w:val="single" w:color="000000" w:sz="4" w:space="0"/>
              <w:right w:val="single" w:color="000000" w:sz="4" w:space="0"/>
            </w:tcBorders>
            <w:vAlign w:val="center"/>
          </w:tcPr>
          <w:p w14:paraId="227FB503"/>
        </w:tc>
      </w:tr>
    </w:tbl>
    <w:p w14:paraId="4DA8702B">
      <w:pPr>
        <w:ind w:firstLine="420" w:firstLineChars="200"/>
      </w:pPr>
      <w:r>
        <w:rPr>
          <w:rFonts w:hint="eastAsia"/>
        </w:rPr>
        <w:t>表5  荔城区“全闽乐购·约惠荔城”系列促消费乐购券发放活动</w:t>
      </w:r>
    </w:p>
    <w:tbl>
      <w:tblPr>
        <w:tblStyle w:val="17"/>
        <w:tblW w:w="8308" w:type="dxa"/>
        <w:jc w:val="center"/>
        <w:tblLayout w:type="fixed"/>
        <w:tblCellMar>
          <w:top w:w="15" w:type="dxa"/>
          <w:left w:w="15" w:type="dxa"/>
          <w:bottom w:w="15" w:type="dxa"/>
          <w:right w:w="15" w:type="dxa"/>
        </w:tblCellMar>
      </w:tblPr>
      <w:tblGrid>
        <w:gridCol w:w="2886"/>
        <w:gridCol w:w="2315"/>
        <w:gridCol w:w="1892"/>
        <w:gridCol w:w="1215"/>
      </w:tblGrid>
      <w:tr w14:paraId="4C211CE7">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000000" w:sz="4" w:space="0"/>
              <w:right w:val="single" w:color="000000" w:sz="4" w:space="0"/>
            </w:tcBorders>
            <w:vAlign w:val="center"/>
          </w:tcPr>
          <w:p w14:paraId="14EAA62E">
            <w:r>
              <w:rPr>
                <w:rFonts w:hint="eastAsia"/>
              </w:rPr>
              <w:t>活动名称</w:t>
            </w:r>
          </w:p>
        </w:tc>
        <w:tc>
          <w:tcPr>
            <w:tcW w:w="2315" w:type="dxa"/>
            <w:tcBorders>
              <w:top w:val="single" w:color="000000" w:sz="4" w:space="0"/>
              <w:left w:val="single" w:color="000000" w:sz="4" w:space="0"/>
              <w:bottom w:val="single" w:color="000000" w:sz="4" w:space="0"/>
              <w:right w:val="single" w:color="000000" w:sz="4" w:space="0"/>
            </w:tcBorders>
            <w:vAlign w:val="center"/>
          </w:tcPr>
          <w:p w14:paraId="55CF5E08">
            <w:r>
              <w:rPr>
                <w:rFonts w:hint="eastAsia"/>
              </w:rPr>
              <w:t>方案配置金额（元）</w:t>
            </w:r>
          </w:p>
        </w:tc>
        <w:tc>
          <w:tcPr>
            <w:tcW w:w="1892" w:type="dxa"/>
            <w:tcBorders>
              <w:top w:val="single" w:color="000000" w:sz="4" w:space="0"/>
              <w:left w:val="single" w:color="000000" w:sz="4" w:space="0"/>
              <w:bottom w:val="single" w:color="000000" w:sz="4" w:space="0"/>
              <w:right w:val="single" w:color="000000" w:sz="4" w:space="0"/>
            </w:tcBorders>
            <w:vAlign w:val="center"/>
          </w:tcPr>
          <w:p w14:paraId="11513D86">
            <w:r>
              <w:rPr>
                <w:rFonts w:hint="eastAsia"/>
              </w:rPr>
              <w:t>核销金额（元）</w:t>
            </w:r>
          </w:p>
        </w:tc>
        <w:tc>
          <w:tcPr>
            <w:tcW w:w="1215" w:type="dxa"/>
            <w:tcBorders>
              <w:top w:val="single" w:color="000000" w:sz="4" w:space="0"/>
              <w:left w:val="single" w:color="000000" w:sz="4" w:space="0"/>
              <w:bottom w:val="single" w:color="000000" w:sz="4" w:space="0"/>
              <w:right w:val="single" w:color="000000" w:sz="4" w:space="0"/>
            </w:tcBorders>
            <w:vAlign w:val="center"/>
          </w:tcPr>
          <w:p w14:paraId="0AE41C0C">
            <w:r>
              <w:rPr>
                <w:rFonts w:hint="eastAsia"/>
              </w:rPr>
              <w:t>核销率</w:t>
            </w:r>
          </w:p>
        </w:tc>
      </w:tr>
      <w:tr w14:paraId="6177242A">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auto" w:sz="4" w:space="0"/>
              <w:right w:val="single" w:color="000000" w:sz="4" w:space="0"/>
            </w:tcBorders>
            <w:vAlign w:val="center"/>
          </w:tcPr>
          <w:p w14:paraId="5AE678B9">
            <w:r>
              <w:rPr>
                <w:rFonts w:hint="eastAsia"/>
              </w:rPr>
              <w:t>餐饮住宿类乐购券</w:t>
            </w:r>
          </w:p>
        </w:tc>
        <w:tc>
          <w:tcPr>
            <w:tcW w:w="2315" w:type="dxa"/>
            <w:tcBorders>
              <w:top w:val="single" w:color="000000" w:sz="4" w:space="0"/>
              <w:left w:val="single" w:color="000000" w:sz="4" w:space="0"/>
              <w:bottom w:val="single" w:color="000000" w:sz="4" w:space="0"/>
              <w:right w:val="single" w:color="000000" w:sz="4" w:space="0"/>
            </w:tcBorders>
            <w:vAlign w:val="center"/>
          </w:tcPr>
          <w:p w14:paraId="54AC4003">
            <w:r>
              <w:rPr>
                <w:rFonts w:hint="eastAsia"/>
              </w:rPr>
              <w:t>2,000,000.00</w:t>
            </w:r>
          </w:p>
        </w:tc>
        <w:tc>
          <w:tcPr>
            <w:tcW w:w="1892" w:type="dxa"/>
            <w:tcBorders>
              <w:top w:val="single" w:color="000000" w:sz="4" w:space="0"/>
              <w:left w:val="single" w:color="000000" w:sz="4" w:space="0"/>
              <w:bottom w:val="single" w:color="000000" w:sz="4" w:space="0"/>
              <w:right w:val="single" w:color="000000" w:sz="4" w:space="0"/>
            </w:tcBorders>
            <w:vAlign w:val="center"/>
          </w:tcPr>
          <w:p w14:paraId="24482504">
            <w:r>
              <w:rPr>
                <w:rFonts w:hint="eastAsia"/>
              </w:rPr>
              <w:t>1,960,453.22</w:t>
            </w:r>
          </w:p>
        </w:tc>
        <w:tc>
          <w:tcPr>
            <w:tcW w:w="1215" w:type="dxa"/>
            <w:tcBorders>
              <w:top w:val="single" w:color="000000" w:sz="4" w:space="0"/>
              <w:left w:val="single" w:color="000000" w:sz="4" w:space="0"/>
              <w:bottom w:val="single" w:color="000000" w:sz="4" w:space="0"/>
              <w:right w:val="single" w:color="000000" w:sz="4" w:space="0"/>
            </w:tcBorders>
            <w:vAlign w:val="center"/>
          </w:tcPr>
          <w:p w14:paraId="7B934307">
            <w:r>
              <w:rPr>
                <w:rFonts w:hint="eastAsia"/>
              </w:rPr>
              <w:t>98.20%</w:t>
            </w:r>
          </w:p>
        </w:tc>
      </w:tr>
      <w:tr w14:paraId="36FF215C">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auto" w:sz="4" w:space="0"/>
              <w:right w:val="single" w:color="000000" w:sz="4" w:space="0"/>
            </w:tcBorders>
            <w:vAlign w:val="center"/>
          </w:tcPr>
          <w:p w14:paraId="212EBDE4">
            <w:r>
              <w:rPr>
                <w:rFonts w:hint="eastAsia"/>
              </w:rPr>
              <w:t>三棵树健康涂料（一、二期）</w:t>
            </w:r>
          </w:p>
        </w:tc>
        <w:tc>
          <w:tcPr>
            <w:tcW w:w="2315" w:type="dxa"/>
            <w:tcBorders>
              <w:top w:val="single" w:color="000000" w:sz="4" w:space="0"/>
              <w:left w:val="single" w:color="000000" w:sz="4" w:space="0"/>
              <w:bottom w:val="single" w:color="000000" w:sz="4" w:space="0"/>
              <w:right w:val="single" w:color="000000" w:sz="4" w:space="0"/>
            </w:tcBorders>
            <w:vAlign w:val="center"/>
          </w:tcPr>
          <w:p w14:paraId="7B559900">
            <w:r>
              <w:rPr>
                <w:rFonts w:hint="eastAsia"/>
              </w:rPr>
              <w:t>6,000,000.00</w:t>
            </w:r>
          </w:p>
        </w:tc>
        <w:tc>
          <w:tcPr>
            <w:tcW w:w="1892" w:type="dxa"/>
            <w:tcBorders>
              <w:top w:val="single" w:color="000000" w:sz="4" w:space="0"/>
              <w:left w:val="single" w:color="000000" w:sz="4" w:space="0"/>
              <w:bottom w:val="single" w:color="000000" w:sz="4" w:space="0"/>
              <w:right w:val="single" w:color="000000" w:sz="4" w:space="0"/>
            </w:tcBorders>
            <w:vAlign w:val="center"/>
          </w:tcPr>
          <w:p w14:paraId="1F4E3AB3">
            <w:r>
              <w:rPr>
                <w:rFonts w:hint="eastAsia"/>
              </w:rPr>
              <w:t>6,000,000.00</w:t>
            </w:r>
          </w:p>
        </w:tc>
        <w:tc>
          <w:tcPr>
            <w:tcW w:w="1215" w:type="dxa"/>
            <w:tcBorders>
              <w:top w:val="single" w:color="000000" w:sz="4" w:space="0"/>
              <w:left w:val="single" w:color="000000" w:sz="4" w:space="0"/>
              <w:bottom w:val="single" w:color="000000" w:sz="4" w:space="0"/>
              <w:right w:val="single" w:color="000000" w:sz="4" w:space="0"/>
            </w:tcBorders>
            <w:vAlign w:val="center"/>
          </w:tcPr>
          <w:p w14:paraId="3F406FF8">
            <w:r>
              <w:rPr>
                <w:rFonts w:hint="eastAsia"/>
              </w:rPr>
              <w:t>100.00%</w:t>
            </w:r>
          </w:p>
        </w:tc>
      </w:tr>
      <w:tr w14:paraId="434EB8D3">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auto" w:sz="4" w:space="0"/>
              <w:right w:val="single" w:color="000000" w:sz="4" w:space="0"/>
            </w:tcBorders>
            <w:vAlign w:val="center"/>
          </w:tcPr>
          <w:p w14:paraId="26AF4690">
            <w:r>
              <w:rPr>
                <w:rFonts w:hint="eastAsia"/>
              </w:rPr>
              <w:t>红星美凯龙双十一</w:t>
            </w:r>
          </w:p>
        </w:tc>
        <w:tc>
          <w:tcPr>
            <w:tcW w:w="2315" w:type="dxa"/>
            <w:tcBorders>
              <w:top w:val="single" w:color="000000" w:sz="4" w:space="0"/>
              <w:left w:val="single" w:color="000000" w:sz="4" w:space="0"/>
              <w:bottom w:val="single" w:color="000000" w:sz="4" w:space="0"/>
              <w:right w:val="single" w:color="000000" w:sz="4" w:space="0"/>
            </w:tcBorders>
            <w:vAlign w:val="center"/>
          </w:tcPr>
          <w:p w14:paraId="0959F8C6">
            <w:r>
              <w:rPr>
                <w:rFonts w:hint="eastAsia"/>
              </w:rPr>
              <w:t>1,000,000.00</w:t>
            </w:r>
          </w:p>
        </w:tc>
        <w:tc>
          <w:tcPr>
            <w:tcW w:w="1892" w:type="dxa"/>
            <w:tcBorders>
              <w:top w:val="single" w:color="000000" w:sz="4" w:space="0"/>
              <w:left w:val="single" w:color="000000" w:sz="4" w:space="0"/>
              <w:bottom w:val="single" w:color="000000" w:sz="4" w:space="0"/>
              <w:right w:val="single" w:color="000000" w:sz="4" w:space="0"/>
            </w:tcBorders>
            <w:vAlign w:val="center"/>
          </w:tcPr>
          <w:p w14:paraId="2C8A65BC">
            <w:r>
              <w:rPr>
                <w:rFonts w:hint="eastAsia"/>
              </w:rPr>
              <w:t>1,000,000.00</w:t>
            </w:r>
          </w:p>
        </w:tc>
        <w:tc>
          <w:tcPr>
            <w:tcW w:w="1215" w:type="dxa"/>
            <w:tcBorders>
              <w:top w:val="single" w:color="000000" w:sz="4" w:space="0"/>
              <w:left w:val="single" w:color="000000" w:sz="4" w:space="0"/>
              <w:bottom w:val="single" w:color="000000" w:sz="4" w:space="0"/>
              <w:right w:val="single" w:color="000000" w:sz="4" w:space="0"/>
            </w:tcBorders>
            <w:vAlign w:val="center"/>
          </w:tcPr>
          <w:p w14:paraId="453AF107">
            <w:r>
              <w:rPr>
                <w:rFonts w:hint="eastAsia"/>
              </w:rPr>
              <w:t>100.00%</w:t>
            </w:r>
          </w:p>
        </w:tc>
      </w:tr>
      <w:tr w14:paraId="2AE3EBF1">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auto" w:sz="4" w:space="0"/>
              <w:right w:val="single" w:color="000000" w:sz="4" w:space="0"/>
            </w:tcBorders>
            <w:vAlign w:val="center"/>
          </w:tcPr>
          <w:p w14:paraId="591AFD84">
            <w:r>
              <w:rPr>
                <w:rFonts w:hint="eastAsia"/>
              </w:rPr>
              <w:t>鞋服类乐购活动</w:t>
            </w:r>
          </w:p>
        </w:tc>
        <w:tc>
          <w:tcPr>
            <w:tcW w:w="2315" w:type="dxa"/>
            <w:tcBorders>
              <w:top w:val="single" w:color="000000" w:sz="4" w:space="0"/>
              <w:left w:val="single" w:color="000000" w:sz="4" w:space="0"/>
              <w:bottom w:val="single" w:color="000000" w:sz="4" w:space="0"/>
              <w:right w:val="single" w:color="000000" w:sz="4" w:space="0"/>
            </w:tcBorders>
            <w:vAlign w:val="center"/>
          </w:tcPr>
          <w:p w14:paraId="4A9295B5">
            <w:r>
              <w:rPr>
                <w:rFonts w:hint="eastAsia"/>
              </w:rPr>
              <w:t>500,000.00</w:t>
            </w:r>
          </w:p>
        </w:tc>
        <w:tc>
          <w:tcPr>
            <w:tcW w:w="1892" w:type="dxa"/>
            <w:tcBorders>
              <w:top w:val="single" w:color="000000" w:sz="4" w:space="0"/>
              <w:left w:val="single" w:color="000000" w:sz="4" w:space="0"/>
              <w:bottom w:val="single" w:color="000000" w:sz="4" w:space="0"/>
              <w:right w:val="single" w:color="000000" w:sz="4" w:space="0"/>
            </w:tcBorders>
            <w:vAlign w:val="center"/>
          </w:tcPr>
          <w:p w14:paraId="4FAA5A8A">
            <w:r>
              <w:rPr>
                <w:rFonts w:hint="eastAsia"/>
              </w:rPr>
              <w:t>140,655.00</w:t>
            </w:r>
          </w:p>
        </w:tc>
        <w:tc>
          <w:tcPr>
            <w:tcW w:w="1215" w:type="dxa"/>
            <w:tcBorders>
              <w:top w:val="single" w:color="000000" w:sz="4" w:space="0"/>
              <w:left w:val="single" w:color="000000" w:sz="4" w:space="0"/>
              <w:bottom w:val="single" w:color="000000" w:sz="4" w:space="0"/>
              <w:right w:val="single" w:color="000000" w:sz="4" w:space="0"/>
            </w:tcBorders>
            <w:vAlign w:val="center"/>
          </w:tcPr>
          <w:p w14:paraId="498362D6">
            <w:r>
              <w:rPr>
                <w:rFonts w:hint="eastAsia"/>
              </w:rPr>
              <w:t>28.13%</w:t>
            </w:r>
          </w:p>
        </w:tc>
      </w:tr>
      <w:tr w14:paraId="2026562A">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auto" w:sz="4" w:space="0"/>
              <w:right w:val="single" w:color="000000" w:sz="4" w:space="0"/>
            </w:tcBorders>
            <w:vAlign w:val="center"/>
          </w:tcPr>
          <w:p w14:paraId="29BBF932">
            <w:r>
              <w:rPr>
                <w:rFonts w:hint="eastAsia"/>
              </w:rPr>
              <w:t>新春乐购</w:t>
            </w:r>
          </w:p>
        </w:tc>
        <w:tc>
          <w:tcPr>
            <w:tcW w:w="2315" w:type="dxa"/>
            <w:tcBorders>
              <w:top w:val="single" w:color="000000" w:sz="4" w:space="0"/>
              <w:left w:val="single" w:color="000000" w:sz="4" w:space="0"/>
              <w:bottom w:val="single" w:color="000000" w:sz="4" w:space="0"/>
              <w:right w:val="single" w:color="000000" w:sz="4" w:space="0"/>
            </w:tcBorders>
          </w:tcPr>
          <w:p w14:paraId="14CF6F6F">
            <w:r>
              <w:rPr>
                <w:rFonts w:hint="eastAsia"/>
              </w:rPr>
              <w:t>5,000,000.00</w:t>
            </w:r>
          </w:p>
        </w:tc>
        <w:tc>
          <w:tcPr>
            <w:tcW w:w="1892" w:type="dxa"/>
            <w:tcBorders>
              <w:top w:val="single" w:color="000000" w:sz="4" w:space="0"/>
              <w:left w:val="single" w:color="000000" w:sz="4" w:space="0"/>
              <w:bottom w:val="single" w:color="000000" w:sz="4" w:space="0"/>
              <w:right w:val="single" w:color="000000" w:sz="4" w:space="0"/>
            </w:tcBorders>
            <w:vAlign w:val="center"/>
          </w:tcPr>
          <w:p w14:paraId="22AB282A">
            <w:r>
              <w:rPr>
                <w:rFonts w:hint="eastAsia"/>
              </w:rPr>
              <w:t>4,088,867.69</w:t>
            </w:r>
          </w:p>
        </w:tc>
        <w:tc>
          <w:tcPr>
            <w:tcW w:w="1215" w:type="dxa"/>
            <w:tcBorders>
              <w:top w:val="single" w:color="000000" w:sz="4" w:space="0"/>
              <w:left w:val="single" w:color="000000" w:sz="4" w:space="0"/>
              <w:bottom w:val="single" w:color="000000" w:sz="4" w:space="0"/>
              <w:right w:val="single" w:color="000000" w:sz="4" w:space="0"/>
            </w:tcBorders>
            <w:vAlign w:val="center"/>
          </w:tcPr>
          <w:p w14:paraId="031EFD5C">
            <w:r>
              <w:rPr>
                <w:rFonts w:hint="eastAsia"/>
              </w:rPr>
              <w:t>81.78%</w:t>
            </w:r>
          </w:p>
        </w:tc>
      </w:tr>
      <w:tr w14:paraId="2CD075B8">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auto" w:sz="4" w:space="0"/>
              <w:right w:val="single" w:color="000000" w:sz="4" w:space="0"/>
            </w:tcBorders>
            <w:vAlign w:val="center"/>
          </w:tcPr>
          <w:p w14:paraId="1A7C13EA">
            <w:r>
              <w:rPr>
                <w:rFonts w:hint="eastAsia"/>
              </w:rPr>
              <w:t>新春线上乐购</w:t>
            </w:r>
          </w:p>
        </w:tc>
        <w:tc>
          <w:tcPr>
            <w:tcW w:w="2315" w:type="dxa"/>
            <w:tcBorders>
              <w:top w:val="single" w:color="000000" w:sz="4" w:space="0"/>
              <w:left w:val="single" w:color="000000" w:sz="4" w:space="0"/>
              <w:bottom w:val="single" w:color="000000" w:sz="4" w:space="0"/>
              <w:right w:val="single" w:color="000000" w:sz="4" w:space="0"/>
            </w:tcBorders>
          </w:tcPr>
          <w:p w14:paraId="45A2D37B">
            <w:r>
              <w:rPr>
                <w:rFonts w:hint="eastAsia"/>
              </w:rPr>
              <w:t>5,613,000.00</w:t>
            </w:r>
          </w:p>
        </w:tc>
        <w:tc>
          <w:tcPr>
            <w:tcW w:w="1892" w:type="dxa"/>
            <w:tcBorders>
              <w:top w:val="single" w:color="000000" w:sz="4" w:space="0"/>
              <w:left w:val="single" w:color="000000" w:sz="4" w:space="0"/>
              <w:bottom w:val="single" w:color="000000" w:sz="4" w:space="0"/>
              <w:right w:val="single" w:color="000000" w:sz="4" w:space="0"/>
            </w:tcBorders>
            <w:vAlign w:val="center"/>
          </w:tcPr>
          <w:p w14:paraId="5E999427">
            <w:r>
              <w:rPr>
                <w:rFonts w:hint="eastAsia"/>
              </w:rPr>
              <w:t>321,532.00</w:t>
            </w:r>
          </w:p>
        </w:tc>
        <w:tc>
          <w:tcPr>
            <w:tcW w:w="1215" w:type="dxa"/>
            <w:tcBorders>
              <w:top w:val="single" w:color="000000" w:sz="4" w:space="0"/>
              <w:left w:val="single" w:color="000000" w:sz="4" w:space="0"/>
              <w:bottom w:val="single" w:color="000000" w:sz="4" w:space="0"/>
              <w:right w:val="single" w:color="000000" w:sz="4" w:space="0"/>
            </w:tcBorders>
            <w:vAlign w:val="center"/>
          </w:tcPr>
          <w:p w14:paraId="7C4F9B78">
            <w:r>
              <w:rPr>
                <w:rFonts w:hint="eastAsia"/>
              </w:rPr>
              <w:t>5.73%</w:t>
            </w:r>
          </w:p>
        </w:tc>
      </w:tr>
      <w:tr w14:paraId="5F8DE265">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000000" w:sz="4" w:space="0"/>
              <w:right w:val="single" w:color="000000" w:sz="4" w:space="0"/>
            </w:tcBorders>
            <w:vAlign w:val="center"/>
          </w:tcPr>
          <w:p w14:paraId="5F804458">
            <w:r>
              <w:rPr>
                <w:rFonts w:hint="eastAsia"/>
              </w:rPr>
              <w:t>购车补贴</w:t>
            </w:r>
          </w:p>
        </w:tc>
        <w:tc>
          <w:tcPr>
            <w:tcW w:w="2315" w:type="dxa"/>
            <w:tcBorders>
              <w:top w:val="single" w:color="000000" w:sz="4" w:space="0"/>
              <w:left w:val="single" w:color="000000" w:sz="4" w:space="0"/>
              <w:bottom w:val="single" w:color="000000" w:sz="4" w:space="0"/>
              <w:right w:val="single" w:color="000000" w:sz="4" w:space="0"/>
            </w:tcBorders>
            <w:vAlign w:val="center"/>
          </w:tcPr>
          <w:p w14:paraId="1419F799">
            <w:r>
              <w:rPr>
                <w:rFonts w:hint="eastAsia"/>
              </w:rPr>
              <w:t>5,337,000.00</w:t>
            </w:r>
          </w:p>
        </w:tc>
        <w:tc>
          <w:tcPr>
            <w:tcW w:w="1892" w:type="dxa"/>
            <w:tcBorders>
              <w:top w:val="single" w:color="000000" w:sz="4" w:space="0"/>
              <w:left w:val="single" w:color="000000" w:sz="4" w:space="0"/>
              <w:bottom w:val="single" w:color="000000" w:sz="4" w:space="0"/>
              <w:right w:val="single" w:color="000000" w:sz="4" w:space="0"/>
            </w:tcBorders>
            <w:vAlign w:val="center"/>
          </w:tcPr>
          <w:p w14:paraId="2ABA6791">
            <w:r>
              <w:rPr>
                <w:rFonts w:hint="eastAsia"/>
              </w:rPr>
              <w:t>5,082,000.00</w:t>
            </w:r>
          </w:p>
        </w:tc>
        <w:tc>
          <w:tcPr>
            <w:tcW w:w="1215" w:type="dxa"/>
            <w:tcBorders>
              <w:top w:val="single" w:color="000000" w:sz="4" w:space="0"/>
              <w:left w:val="single" w:color="000000" w:sz="4" w:space="0"/>
              <w:bottom w:val="single" w:color="000000" w:sz="4" w:space="0"/>
              <w:right w:val="single" w:color="000000" w:sz="4" w:space="0"/>
            </w:tcBorders>
            <w:vAlign w:val="center"/>
          </w:tcPr>
          <w:p w14:paraId="78E2611D">
            <w:r>
              <w:rPr>
                <w:rFonts w:hint="eastAsia"/>
              </w:rPr>
              <w:t>95.22%</w:t>
            </w:r>
          </w:p>
        </w:tc>
      </w:tr>
      <w:tr w14:paraId="1B1C6D2A">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000000" w:sz="4" w:space="0"/>
              <w:right w:val="single" w:color="000000" w:sz="4" w:space="0"/>
            </w:tcBorders>
            <w:vAlign w:val="center"/>
          </w:tcPr>
          <w:p w14:paraId="266962F1">
            <w:r>
              <w:rPr>
                <w:rFonts w:hint="eastAsia"/>
              </w:rPr>
              <w:t>合 计</w:t>
            </w:r>
          </w:p>
        </w:tc>
        <w:tc>
          <w:tcPr>
            <w:tcW w:w="2315" w:type="dxa"/>
            <w:tcBorders>
              <w:top w:val="single" w:color="000000" w:sz="4" w:space="0"/>
              <w:left w:val="single" w:color="000000" w:sz="4" w:space="0"/>
              <w:bottom w:val="single" w:color="000000" w:sz="4" w:space="0"/>
              <w:right w:val="single" w:color="000000" w:sz="4" w:space="0"/>
            </w:tcBorders>
            <w:vAlign w:val="center"/>
          </w:tcPr>
          <w:p w14:paraId="1EF6995F">
            <w:r>
              <w:rPr>
                <w:rFonts w:hint="eastAsia"/>
              </w:rPr>
              <w:t>25,450,000.00</w:t>
            </w:r>
          </w:p>
        </w:tc>
        <w:tc>
          <w:tcPr>
            <w:tcW w:w="1892" w:type="dxa"/>
            <w:tcBorders>
              <w:top w:val="single" w:color="000000" w:sz="4" w:space="0"/>
              <w:left w:val="single" w:color="000000" w:sz="4" w:space="0"/>
              <w:bottom w:val="single" w:color="000000" w:sz="4" w:space="0"/>
              <w:right w:val="single" w:color="000000" w:sz="4" w:space="0"/>
            </w:tcBorders>
            <w:vAlign w:val="center"/>
          </w:tcPr>
          <w:p w14:paraId="1552D482">
            <w:r>
              <w:rPr>
                <w:rFonts w:hint="eastAsia"/>
              </w:rPr>
              <w:t>18,593,507.91</w:t>
            </w:r>
          </w:p>
        </w:tc>
        <w:tc>
          <w:tcPr>
            <w:tcW w:w="1215" w:type="dxa"/>
            <w:tcBorders>
              <w:top w:val="single" w:color="000000" w:sz="4" w:space="0"/>
              <w:left w:val="single" w:color="000000" w:sz="4" w:space="0"/>
              <w:bottom w:val="single" w:color="000000" w:sz="4" w:space="0"/>
              <w:right w:val="single" w:color="000000" w:sz="4" w:space="0"/>
            </w:tcBorders>
            <w:vAlign w:val="center"/>
          </w:tcPr>
          <w:p w14:paraId="65F20D07"/>
        </w:tc>
      </w:tr>
    </w:tbl>
    <w:p w14:paraId="026D8215">
      <w:pPr>
        <w:ind w:firstLine="420" w:firstLineChars="200"/>
      </w:pPr>
      <w:r>
        <w:rPr>
          <w:rFonts w:hint="eastAsia"/>
        </w:rPr>
        <w:t>表6 涵江区“全闽乐购·涵江行动品味涵江”促消费系列活动</w:t>
      </w:r>
    </w:p>
    <w:tbl>
      <w:tblPr>
        <w:tblStyle w:val="17"/>
        <w:tblW w:w="8425" w:type="dxa"/>
        <w:jc w:val="center"/>
        <w:tblLayout w:type="fixed"/>
        <w:tblCellMar>
          <w:top w:w="0" w:type="dxa"/>
          <w:left w:w="108" w:type="dxa"/>
          <w:bottom w:w="0" w:type="dxa"/>
          <w:right w:w="108" w:type="dxa"/>
        </w:tblCellMar>
      </w:tblPr>
      <w:tblGrid>
        <w:gridCol w:w="3333"/>
        <w:gridCol w:w="2087"/>
        <w:gridCol w:w="1851"/>
        <w:gridCol w:w="1154"/>
      </w:tblGrid>
      <w:tr w14:paraId="6700686B">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14:paraId="74069915">
            <w:r>
              <w:rPr>
                <w:rFonts w:hint="eastAsia"/>
              </w:rPr>
              <w:t>活动名称</w:t>
            </w:r>
          </w:p>
        </w:tc>
        <w:tc>
          <w:tcPr>
            <w:tcW w:w="2087" w:type="dxa"/>
            <w:tcBorders>
              <w:top w:val="single" w:color="000000" w:sz="4" w:space="0"/>
              <w:left w:val="single" w:color="000000" w:sz="4" w:space="0"/>
              <w:bottom w:val="single" w:color="000000" w:sz="4" w:space="0"/>
              <w:right w:val="single" w:color="000000" w:sz="4" w:space="0"/>
            </w:tcBorders>
            <w:vAlign w:val="center"/>
          </w:tcPr>
          <w:p w14:paraId="406644DD">
            <w:r>
              <w:rPr>
                <w:rFonts w:hint="eastAsia"/>
              </w:rPr>
              <w:t>方案配置金额（元）</w:t>
            </w:r>
          </w:p>
        </w:tc>
        <w:tc>
          <w:tcPr>
            <w:tcW w:w="1851" w:type="dxa"/>
            <w:tcBorders>
              <w:top w:val="single" w:color="000000" w:sz="4" w:space="0"/>
              <w:left w:val="single" w:color="000000" w:sz="4" w:space="0"/>
              <w:bottom w:val="single" w:color="000000" w:sz="4" w:space="0"/>
              <w:right w:val="single" w:color="000000" w:sz="4" w:space="0"/>
            </w:tcBorders>
            <w:vAlign w:val="center"/>
          </w:tcPr>
          <w:p w14:paraId="7C10E9F8">
            <w:r>
              <w:rPr>
                <w:rFonts w:hint="eastAsia"/>
              </w:rPr>
              <w:t>核销金额（元）</w:t>
            </w:r>
          </w:p>
        </w:tc>
        <w:tc>
          <w:tcPr>
            <w:tcW w:w="1154" w:type="dxa"/>
            <w:tcBorders>
              <w:top w:val="single" w:color="000000" w:sz="4" w:space="0"/>
              <w:left w:val="single" w:color="000000" w:sz="4" w:space="0"/>
              <w:bottom w:val="single" w:color="000000" w:sz="4" w:space="0"/>
              <w:right w:val="single" w:color="000000" w:sz="4" w:space="0"/>
            </w:tcBorders>
            <w:vAlign w:val="center"/>
          </w:tcPr>
          <w:p w14:paraId="0D990BA8">
            <w:r>
              <w:rPr>
                <w:rFonts w:hint="eastAsia"/>
              </w:rPr>
              <w:t>核销率</w:t>
            </w:r>
          </w:p>
        </w:tc>
      </w:tr>
      <w:tr w14:paraId="5E065F98">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14:paraId="13016BA7">
            <w:r>
              <w:rPr>
                <w:rFonts w:hint="eastAsia"/>
              </w:rPr>
              <w:t>住餐类首期乐购券</w:t>
            </w:r>
          </w:p>
        </w:tc>
        <w:tc>
          <w:tcPr>
            <w:tcW w:w="2087" w:type="dxa"/>
            <w:tcBorders>
              <w:top w:val="single" w:color="000000" w:sz="4" w:space="0"/>
              <w:left w:val="single" w:color="000000" w:sz="4" w:space="0"/>
              <w:bottom w:val="single" w:color="000000" w:sz="4" w:space="0"/>
              <w:right w:val="single" w:color="000000" w:sz="4" w:space="0"/>
            </w:tcBorders>
            <w:vAlign w:val="center"/>
          </w:tcPr>
          <w:p w14:paraId="72468A7C">
            <w:r>
              <w:rPr>
                <w:rFonts w:hint="eastAsia"/>
              </w:rPr>
              <w:t>600,000.00</w:t>
            </w:r>
          </w:p>
        </w:tc>
        <w:tc>
          <w:tcPr>
            <w:tcW w:w="1851" w:type="dxa"/>
            <w:tcBorders>
              <w:top w:val="single" w:color="000000" w:sz="4" w:space="0"/>
              <w:left w:val="single" w:color="000000" w:sz="4" w:space="0"/>
              <w:bottom w:val="single" w:color="000000" w:sz="4" w:space="0"/>
              <w:right w:val="single" w:color="000000" w:sz="4" w:space="0"/>
            </w:tcBorders>
            <w:vAlign w:val="center"/>
          </w:tcPr>
          <w:p w14:paraId="12413361">
            <w:r>
              <w:rPr>
                <w:rFonts w:hint="eastAsia"/>
              </w:rPr>
              <w:t>363,687.90</w:t>
            </w:r>
          </w:p>
        </w:tc>
        <w:tc>
          <w:tcPr>
            <w:tcW w:w="1154" w:type="dxa"/>
            <w:tcBorders>
              <w:top w:val="single" w:color="000000" w:sz="4" w:space="0"/>
              <w:left w:val="single" w:color="000000" w:sz="4" w:space="0"/>
              <w:bottom w:val="single" w:color="000000" w:sz="4" w:space="0"/>
              <w:right w:val="single" w:color="000000" w:sz="4" w:space="0"/>
            </w:tcBorders>
            <w:vAlign w:val="center"/>
          </w:tcPr>
          <w:p w14:paraId="02039C9C">
            <w:r>
              <w:rPr>
                <w:rFonts w:hint="eastAsia"/>
              </w:rPr>
              <w:t>60.61%</w:t>
            </w:r>
          </w:p>
        </w:tc>
      </w:tr>
      <w:tr w14:paraId="3DAE6CF7">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14:paraId="71CAB08C">
            <w:r>
              <w:rPr>
                <w:rFonts w:hint="eastAsia"/>
              </w:rPr>
              <w:t>住餐类二期乐购券</w:t>
            </w:r>
          </w:p>
        </w:tc>
        <w:tc>
          <w:tcPr>
            <w:tcW w:w="2087" w:type="dxa"/>
            <w:tcBorders>
              <w:top w:val="single" w:color="000000" w:sz="4" w:space="0"/>
              <w:left w:val="single" w:color="000000" w:sz="4" w:space="0"/>
              <w:bottom w:val="single" w:color="000000" w:sz="4" w:space="0"/>
              <w:right w:val="single" w:color="000000" w:sz="4" w:space="0"/>
            </w:tcBorders>
            <w:vAlign w:val="center"/>
          </w:tcPr>
          <w:p w14:paraId="606015F7">
            <w:r>
              <w:rPr>
                <w:rFonts w:hint="eastAsia"/>
              </w:rPr>
              <w:t>836,300.00</w:t>
            </w:r>
          </w:p>
        </w:tc>
        <w:tc>
          <w:tcPr>
            <w:tcW w:w="1851" w:type="dxa"/>
            <w:tcBorders>
              <w:top w:val="single" w:color="000000" w:sz="4" w:space="0"/>
              <w:left w:val="single" w:color="000000" w:sz="4" w:space="0"/>
              <w:bottom w:val="single" w:color="000000" w:sz="4" w:space="0"/>
              <w:right w:val="single" w:color="000000" w:sz="4" w:space="0"/>
            </w:tcBorders>
            <w:vAlign w:val="center"/>
          </w:tcPr>
          <w:p w14:paraId="23576209">
            <w:r>
              <w:rPr>
                <w:rFonts w:hint="eastAsia"/>
              </w:rPr>
              <w:t>542,867.34</w:t>
            </w:r>
          </w:p>
        </w:tc>
        <w:tc>
          <w:tcPr>
            <w:tcW w:w="1154" w:type="dxa"/>
            <w:tcBorders>
              <w:top w:val="single" w:color="000000" w:sz="4" w:space="0"/>
              <w:left w:val="single" w:color="000000" w:sz="4" w:space="0"/>
              <w:bottom w:val="single" w:color="000000" w:sz="4" w:space="0"/>
              <w:right w:val="single" w:color="000000" w:sz="4" w:space="0"/>
            </w:tcBorders>
            <w:vAlign w:val="center"/>
          </w:tcPr>
          <w:p w14:paraId="73BF4883">
            <w:r>
              <w:rPr>
                <w:rFonts w:hint="eastAsia"/>
              </w:rPr>
              <w:t>64.91%</w:t>
            </w:r>
          </w:p>
        </w:tc>
      </w:tr>
      <w:tr w14:paraId="3AE92E1F">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14:paraId="2FE5A025">
            <w:r>
              <w:rPr>
                <w:rFonts w:hint="eastAsia"/>
              </w:rPr>
              <w:t>成品油类乐购券</w:t>
            </w:r>
          </w:p>
        </w:tc>
        <w:tc>
          <w:tcPr>
            <w:tcW w:w="2087" w:type="dxa"/>
            <w:tcBorders>
              <w:top w:val="single" w:color="000000" w:sz="4" w:space="0"/>
              <w:left w:val="single" w:color="000000" w:sz="4" w:space="0"/>
              <w:bottom w:val="single" w:color="000000" w:sz="4" w:space="0"/>
              <w:right w:val="single" w:color="000000" w:sz="4" w:space="0"/>
            </w:tcBorders>
            <w:vAlign w:val="center"/>
          </w:tcPr>
          <w:p w14:paraId="7CE205B4">
            <w:r>
              <w:rPr>
                <w:rFonts w:hint="eastAsia"/>
              </w:rPr>
              <w:t>300,000.00</w:t>
            </w:r>
          </w:p>
        </w:tc>
        <w:tc>
          <w:tcPr>
            <w:tcW w:w="1851" w:type="dxa"/>
            <w:tcBorders>
              <w:top w:val="single" w:color="000000" w:sz="4" w:space="0"/>
              <w:left w:val="single" w:color="000000" w:sz="4" w:space="0"/>
              <w:bottom w:val="single" w:color="000000" w:sz="4" w:space="0"/>
              <w:right w:val="single" w:color="000000" w:sz="4" w:space="0"/>
            </w:tcBorders>
            <w:vAlign w:val="center"/>
          </w:tcPr>
          <w:p w14:paraId="79ABFDEA">
            <w:r>
              <w:rPr>
                <w:rFonts w:hint="eastAsia"/>
              </w:rPr>
              <w:t>170,760.00</w:t>
            </w:r>
          </w:p>
        </w:tc>
        <w:tc>
          <w:tcPr>
            <w:tcW w:w="1154" w:type="dxa"/>
            <w:tcBorders>
              <w:top w:val="single" w:color="000000" w:sz="4" w:space="0"/>
              <w:left w:val="single" w:color="000000" w:sz="4" w:space="0"/>
              <w:bottom w:val="single" w:color="000000" w:sz="4" w:space="0"/>
              <w:right w:val="single" w:color="000000" w:sz="4" w:space="0"/>
            </w:tcBorders>
            <w:vAlign w:val="center"/>
          </w:tcPr>
          <w:p w14:paraId="78FDC31D">
            <w:r>
              <w:rPr>
                <w:rFonts w:hint="eastAsia"/>
              </w:rPr>
              <w:t>56.92%</w:t>
            </w:r>
          </w:p>
        </w:tc>
      </w:tr>
      <w:tr w14:paraId="66703A2B">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14:paraId="39F35D40">
            <w:r>
              <w:rPr>
                <w:rFonts w:hint="eastAsia"/>
              </w:rPr>
              <w:t>家电家居类乐购券</w:t>
            </w:r>
          </w:p>
        </w:tc>
        <w:tc>
          <w:tcPr>
            <w:tcW w:w="2087" w:type="dxa"/>
            <w:tcBorders>
              <w:top w:val="single" w:color="000000" w:sz="4" w:space="0"/>
              <w:left w:val="single" w:color="000000" w:sz="4" w:space="0"/>
              <w:bottom w:val="single" w:color="000000" w:sz="4" w:space="0"/>
              <w:right w:val="single" w:color="000000" w:sz="4" w:space="0"/>
            </w:tcBorders>
            <w:vAlign w:val="center"/>
          </w:tcPr>
          <w:p w14:paraId="68012909">
            <w:r>
              <w:rPr>
                <w:rFonts w:hint="eastAsia"/>
              </w:rPr>
              <w:t>700,000.00</w:t>
            </w:r>
          </w:p>
        </w:tc>
        <w:tc>
          <w:tcPr>
            <w:tcW w:w="1851" w:type="dxa"/>
            <w:tcBorders>
              <w:top w:val="single" w:color="000000" w:sz="4" w:space="0"/>
              <w:left w:val="single" w:color="000000" w:sz="4" w:space="0"/>
              <w:bottom w:val="single" w:color="000000" w:sz="4" w:space="0"/>
              <w:right w:val="single" w:color="000000" w:sz="4" w:space="0"/>
            </w:tcBorders>
            <w:vAlign w:val="center"/>
          </w:tcPr>
          <w:p w14:paraId="6CD28398">
            <w:r>
              <w:rPr>
                <w:rFonts w:hint="eastAsia"/>
              </w:rPr>
              <w:t>628,600.00</w:t>
            </w:r>
          </w:p>
        </w:tc>
        <w:tc>
          <w:tcPr>
            <w:tcW w:w="1154" w:type="dxa"/>
            <w:tcBorders>
              <w:top w:val="single" w:color="000000" w:sz="4" w:space="0"/>
              <w:left w:val="single" w:color="000000" w:sz="4" w:space="0"/>
              <w:bottom w:val="single" w:color="000000" w:sz="4" w:space="0"/>
              <w:right w:val="single" w:color="000000" w:sz="4" w:space="0"/>
            </w:tcBorders>
            <w:vAlign w:val="center"/>
          </w:tcPr>
          <w:p w14:paraId="5DA62EDC">
            <w:r>
              <w:rPr>
                <w:rFonts w:hint="eastAsia"/>
              </w:rPr>
              <w:t>89.80%</w:t>
            </w:r>
          </w:p>
        </w:tc>
      </w:tr>
      <w:tr w14:paraId="53CBD2C9">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14:paraId="4E69F609">
            <w:r>
              <w:rPr>
                <w:rFonts w:hint="eastAsia"/>
              </w:rPr>
              <w:t>商超便利店类乐购券</w:t>
            </w:r>
          </w:p>
        </w:tc>
        <w:tc>
          <w:tcPr>
            <w:tcW w:w="2087" w:type="dxa"/>
            <w:tcBorders>
              <w:top w:val="single" w:color="000000" w:sz="4" w:space="0"/>
              <w:left w:val="single" w:color="000000" w:sz="4" w:space="0"/>
              <w:bottom w:val="single" w:color="000000" w:sz="4" w:space="0"/>
              <w:right w:val="single" w:color="000000" w:sz="4" w:space="0"/>
            </w:tcBorders>
            <w:vAlign w:val="center"/>
          </w:tcPr>
          <w:p w14:paraId="7BAB50A8">
            <w:r>
              <w:rPr>
                <w:rFonts w:hint="eastAsia"/>
              </w:rPr>
              <w:t>401,000.00</w:t>
            </w:r>
          </w:p>
        </w:tc>
        <w:tc>
          <w:tcPr>
            <w:tcW w:w="1851" w:type="dxa"/>
            <w:tcBorders>
              <w:top w:val="single" w:color="000000" w:sz="4" w:space="0"/>
              <w:left w:val="single" w:color="000000" w:sz="4" w:space="0"/>
              <w:bottom w:val="single" w:color="000000" w:sz="4" w:space="0"/>
              <w:right w:val="single" w:color="000000" w:sz="4" w:space="0"/>
            </w:tcBorders>
            <w:vAlign w:val="center"/>
          </w:tcPr>
          <w:p w14:paraId="3A738235">
            <w:r>
              <w:rPr>
                <w:rFonts w:hint="eastAsia"/>
              </w:rPr>
              <w:t>246,261.59</w:t>
            </w:r>
          </w:p>
        </w:tc>
        <w:tc>
          <w:tcPr>
            <w:tcW w:w="1154" w:type="dxa"/>
            <w:tcBorders>
              <w:top w:val="single" w:color="000000" w:sz="4" w:space="0"/>
              <w:left w:val="single" w:color="000000" w:sz="4" w:space="0"/>
              <w:bottom w:val="single" w:color="000000" w:sz="4" w:space="0"/>
              <w:right w:val="single" w:color="000000" w:sz="4" w:space="0"/>
            </w:tcBorders>
            <w:vAlign w:val="center"/>
          </w:tcPr>
          <w:p w14:paraId="1A766DCB">
            <w:r>
              <w:rPr>
                <w:rFonts w:hint="eastAsia"/>
              </w:rPr>
              <w:t>61.41%</w:t>
            </w:r>
          </w:p>
        </w:tc>
      </w:tr>
      <w:tr w14:paraId="2CA158B2">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14:paraId="22DDBAF1">
            <w:r>
              <w:rPr>
                <w:rFonts w:hint="eastAsia"/>
              </w:rPr>
              <w:t>本市制造新能源汽车类购车补贴</w:t>
            </w:r>
          </w:p>
        </w:tc>
        <w:tc>
          <w:tcPr>
            <w:tcW w:w="2087" w:type="dxa"/>
            <w:tcBorders>
              <w:top w:val="single" w:color="000000" w:sz="4" w:space="0"/>
              <w:left w:val="single" w:color="000000" w:sz="4" w:space="0"/>
              <w:bottom w:val="single" w:color="000000" w:sz="4" w:space="0"/>
              <w:right w:val="single" w:color="000000" w:sz="4" w:space="0"/>
            </w:tcBorders>
            <w:vAlign w:val="center"/>
          </w:tcPr>
          <w:p w14:paraId="0AB41D2A">
            <w:r>
              <w:rPr>
                <w:rFonts w:hint="eastAsia"/>
              </w:rPr>
              <w:t>4,170,000.00</w:t>
            </w:r>
          </w:p>
        </w:tc>
        <w:tc>
          <w:tcPr>
            <w:tcW w:w="1851" w:type="dxa"/>
            <w:tcBorders>
              <w:top w:val="single" w:color="000000" w:sz="4" w:space="0"/>
              <w:left w:val="single" w:color="000000" w:sz="4" w:space="0"/>
              <w:bottom w:val="single" w:color="000000" w:sz="4" w:space="0"/>
              <w:right w:val="single" w:color="000000" w:sz="4" w:space="0"/>
            </w:tcBorders>
            <w:vAlign w:val="center"/>
          </w:tcPr>
          <w:p w14:paraId="1814D5F4">
            <w:r>
              <w:rPr>
                <w:rFonts w:hint="eastAsia"/>
              </w:rPr>
              <w:t>2,280,000.00</w:t>
            </w:r>
          </w:p>
        </w:tc>
        <w:tc>
          <w:tcPr>
            <w:tcW w:w="1154" w:type="dxa"/>
            <w:tcBorders>
              <w:top w:val="single" w:color="000000" w:sz="4" w:space="0"/>
              <w:left w:val="single" w:color="000000" w:sz="4" w:space="0"/>
              <w:bottom w:val="single" w:color="000000" w:sz="4" w:space="0"/>
              <w:right w:val="single" w:color="000000" w:sz="4" w:space="0"/>
            </w:tcBorders>
            <w:vAlign w:val="center"/>
          </w:tcPr>
          <w:p w14:paraId="118EFDAE">
            <w:r>
              <w:rPr>
                <w:rFonts w:hint="eastAsia"/>
              </w:rPr>
              <w:t>89.41%</w:t>
            </w:r>
          </w:p>
        </w:tc>
      </w:tr>
      <w:tr w14:paraId="16A87A6D">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14:paraId="62517A76">
            <w:r>
              <w:rPr>
                <w:rFonts w:hint="eastAsia"/>
              </w:rPr>
              <w:t>燃料汽车类购车补贴</w:t>
            </w:r>
          </w:p>
        </w:tc>
        <w:tc>
          <w:tcPr>
            <w:tcW w:w="2087" w:type="dxa"/>
            <w:tcBorders>
              <w:top w:val="single" w:color="000000" w:sz="4" w:space="0"/>
              <w:left w:val="single" w:color="000000" w:sz="4" w:space="0"/>
              <w:bottom w:val="single" w:color="000000" w:sz="4" w:space="0"/>
              <w:right w:val="single" w:color="000000" w:sz="4" w:space="0"/>
            </w:tcBorders>
            <w:vAlign w:val="center"/>
          </w:tcPr>
          <w:p w14:paraId="50C10B69">
            <w:r>
              <w:rPr>
                <w:rFonts w:hint="eastAsia"/>
              </w:rPr>
              <w:t>2,049,000.00</w:t>
            </w:r>
          </w:p>
        </w:tc>
        <w:tc>
          <w:tcPr>
            <w:tcW w:w="1851" w:type="dxa"/>
            <w:tcBorders>
              <w:top w:val="single" w:color="000000" w:sz="4" w:space="0"/>
              <w:left w:val="single" w:color="000000" w:sz="4" w:space="0"/>
              <w:bottom w:val="single" w:color="000000" w:sz="4" w:space="0"/>
              <w:right w:val="single" w:color="000000" w:sz="4" w:space="0"/>
            </w:tcBorders>
            <w:vAlign w:val="center"/>
          </w:tcPr>
          <w:p w14:paraId="40EE10C5">
            <w:r>
              <w:rPr>
                <w:rFonts w:hint="eastAsia"/>
              </w:rPr>
              <w:t>1,926,000.00</w:t>
            </w:r>
          </w:p>
        </w:tc>
        <w:tc>
          <w:tcPr>
            <w:tcW w:w="1154" w:type="dxa"/>
            <w:tcBorders>
              <w:top w:val="single" w:color="000000" w:sz="4" w:space="0"/>
              <w:left w:val="single" w:color="000000" w:sz="4" w:space="0"/>
              <w:bottom w:val="single" w:color="000000" w:sz="4" w:space="0"/>
              <w:right w:val="single" w:color="000000" w:sz="4" w:space="0"/>
            </w:tcBorders>
            <w:vAlign w:val="center"/>
          </w:tcPr>
          <w:p w14:paraId="6C961859">
            <w:r>
              <w:rPr>
                <w:rFonts w:hint="eastAsia"/>
              </w:rPr>
              <w:t>94.00%</w:t>
            </w:r>
          </w:p>
        </w:tc>
      </w:tr>
      <w:tr w14:paraId="51706DFA">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14:paraId="748F09A3">
            <w:r>
              <w:rPr>
                <w:rFonts w:hint="eastAsia"/>
              </w:rPr>
              <w:t>合  计</w:t>
            </w:r>
          </w:p>
        </w:tc>
        <w:tc>
          <w:tcPr>
            <w:tcW w:w="2087" w:type="dxa"/>
            <w:tcBorders>
              <w:top w:val="single" w:color="000000" w:sz="4" w:space="0"/>
              <w:left w:val="single" w:color="000000" w:sz="4" w:space="0"/>
              <w:bottom w:val="single" w:color="000000" w:sz="4" w:space="0"/>
              <w:right w:val="single" w:color="000000" w:sz="4" w:space="0"/>
            </w:tcBorders>
            <w:vAlign w:val="center"/>
          </w:tcPr>
          <w:p w14:paraId="0F6842CC">
            <w:r>
              <w:rPr>
                <w:rFonts w:hint="eastAsia"/>
              </w:rPr>
              <w:t>9,056,300.00</w:t>
            </w:r>
          </w:p>
        </w:tc>
        <w:tc>
          <w:tcPr>
            <w:tcW w:w="1851" w:type="dxa"/>
            <w:tcBorders>
              <w:top w:val="single" w:color="000000" w:sz="4" w:space="0"/>
              <w:left w:val="single" w:color="000000" w:sz="4" w:space="0"/>
              <w:bottom w:val="single" w:color="000000" w:sz="4" w:space="0"/>
              <w:right w:val="single" w:color="000000" w:sz="4" w:space="0"/>
            </w:tcBorders>
            <w:vAlign w:val="center"/>
          </w:tcPr>
          <w:p w14:paraId="4433CD6D">
            <w:r>
              <w:rPr>
                <w:rFonts w:hint="eastAsia"/>
              </w:rPr>
              <w:t>6,158,176.83</w:t>
            </w:r>
          </w:p>
        </w:tc>
        <w:tc>
          <w:tcPr>
            <w:tcW w:w="1154" w:type="dxa"/>
            <w:tcBorders>
              <w:top w:val="single" w:color="000000" w:sz="4" w:space="0"/>
              <w:left w:val="single" w:color="000000" w:sz="4" w:space="0"/>
              <w:bottom w:val="single" w:color="000000" w:sz="4" w:space="0"/>
              <w:right w:val="single" w:color="000000" w:sz="4" w:space="0"/>
            </w:tcBorders>
            <w:vAlign w:val="center"/>
          </w:tcPr>
          <w:p w14:paraId="42EFD837"/>
        </w:tc>
      </w:tr>
    </w:tbl>
    <w:p w14:paraId="7DF982DE">
      <w:pPr>
        <w:ind w:firstLine="420" w:firstLineChars="200"/>
      </w:pPr>
      <w:r>
        <w:rPr>
          <w:rFonts w:hint="eastAsia"/>
        </w:rPr>
        <w:t>表7秀屿区“全闽乐购·富美秀屿”促消费乐购券及购车补贴行动</w:t>
      </w:r>
    </w:p>
    <w:tbl>
      <w:tblPr>
        <w:tblStyle w:val="17"/>
        <w:tblW w:w="8415" w:type="dxa"/>
        <w:jc w:val="center"/>
        <w:tblLayout w:type="fixed"/>
        <w:tblCellMar>
          <w:top w:w="0" w:type="dxa"/>
          <w:left w:w="108" w:type="dxa"/>
          <w:bottom w:w="0" w:type="dxa"/>
          <w:right w:w="108" w:type="dxa"/>
        </w:tblCellMar>
      </w:tblPr>
      <w:tblGrid>
        <w:gridCol w:w="3826"/>
        <w:gridCol w:w="1920"/>
        <w:gridCol w:w="1635"/>
        <w:gridCol w:w="1034"/>
      </w:tblGrid>
      <w:tr w14:paraId="469B5594">
        <w:tblPrEx>
          <w:tblCellMar>
            <w:top w:w="0" w:type="dxa"/>
            <w:left w:w="108" w:type="dxa"/>
            <w:bottom w:w="0" w:type="dxa"/>
            <w:right w:w="108" w:type="dxa"/>
          </w:tblCellMar>
        </w:tblPrEx>
        <w:trPr>
          <w:trHeight w:val="340"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053E5FAC">
            <w:r>
              <w:rPr>
                <w:rFonts w:hint="eastAsia"/>
              </w:rPr>
              <w:t>活动名称</w:t>
            </w:r>
          </w:p>
        </w:tc>
        <w:tc>
          <w:tcPr>
            <w:tcW w:w="1920" w:type="dxa"/>
            <w:tcBorders>
              <w:top w:val="single" w:color="000000" w:sz="4" w:space="0"/>
              <w:left w:val="single" w:color="000000" w:sz="4" w:space="0"/>
              <w:bottom w:val="single" w:color="000000" w:sz="4" w:space="0"/>
              <w:right w:val="single" w:color="000000" w:sz="4" w:space="0"/>
            </w:tcBorders>
            <w:vAlign w:val="center"/>
          </w:tcPr>
          <w:p w14:paraId="5A560CA6">
            <w:r>
              <w:rPr>
                <w:rFonts w:hint="eastAsia"/>
              </w:rPr>
              <w:t>方案配置金额（元）</w:t>
            </w:r>
          </w:p>
        </w:tc>
        <w:tc>
          <w:tcPr>
            <w:tcW w:w="1635" w:type="dxa"/>
            <w:tcBorders>
              <w:top w:val="single" w:color="000000" w:sz="4" w:space="0"/>
              <w:left w:val="single" w:color="000000" w:sz="4" w:space="0"/>
              <w:bottom w:val="single" w:color="000000" w:sz="4" w:space="0"/>
              <w:right w:val="single" w:color="000000" w:sz="4" w:space="0"/>
            </w:tcBorders>
            <w:vAlign w:val="center"/>
          </w:tcPr>
          <w:p w14:paraId="6038640F">
            <w:r>
              <w:rPr>
                <w:rFonts w:hint="eastAsia"/>
              </w:rPr>
              <w:t>核销金额（元）</w:t>
            </w:r>
          </w:p>
        </w:tc>
        <w:tc>
          <w:tcPr>
            <w:tcW w:w="1034" w:type="dxa"/>
            <w:tcBorders>
              <w:top w:val="single" w:color="000000" w:sz="4" w:space="0"/>
              <w:left w:val="single" w:color="000000" w:sz="4" w:space="0"/>
              <w:bottom w:val="single" w:color="000000" w:sz="4" w:space="0"/>
              <w:right w:val="single" w:color="000000" w:sz="4" w:space="0"/>
            </w:tcBorders>
            <w:vAlign w:val="center"/>
          </w:tcPr>
          <w:p w14:paraId="249AD10D">
            <w:r>
              <w:rPr>
                <w:rFonts w:hint="eastAsia"/>
              </w:rPr>
              <w:t>核销率</w:t>
            </w:r>
          </w:p>
        </w:tc>
      </w:tr>
      <w:tr w14:paraId="6DF4D5CE">
        <w:tblPrEx>
          <w:tblCellMar>
            <w:top w:w="0" w:type="dxa"/>
            <w:left w:w="108" w:type="dxa"/>
            <w:bottom w:w="0" w:type="dxa"/>
            <w:right w:w="108" w:type="dxa"/>
          </w:tblCellMar>
        </w:tblPrEx>
        <w:trPr>
          <w:trHeight w:val="340"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3B3510F7">
            <w:r>
              <w:rPr>
                <w:rFonts w:hint="eastAsia"/>
              </w:rPr>
              <w:t>2020“七夕”上塘银饰小镇缤纷季（电音啤酒美食节）促消费活动</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7B0BDB7">
            <w:r>
              <w:rPr>
                <w:rFonts w:hint="eastAsia"/>
              </w:rPr>
              <w:t>200,000.00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DA7ACB1">
            <w:r>
              <w:rPr>
                <w:rFonts w:hint="eastAsia"/>
              </w:rPr>
              <w:t>9,568.00</w:t>
            </w:r>
          </w:p>
        </w:tc>
        <w:tc>
          <w:tcPr>
            <w:tcW w:w="1034" w:type="dxa"/>
            <w:tcBorders>
              <w:top w:val="single" w:color="000000" w:sz="4" w:space="0"/>
              <w:left w:val="single" w:color="000000" w:sz="4" w:space="0"/>
              <w:bottom w:val="single" w:color="000000" w:sz="4" w:space="0"/>
              <w:right w:val="single" w:color="000000" w:sz="4" w:space="0"/>
            </w:tcBorders>
            <w:vAlign w:val="center"/>
          </w:tcPr>
          <w:p w14:paraId="2A95FBA1">
            <w:r>
              <w:rPr>
                <w:rFonts w:hint="eastAsia"/>
              </w:rPr>
              <w:t>4.78%</w:t>
            </w:r>
          </w:p>
        </w:tc>
      </w:tr>
      <w:tr w14:paraId="07A5D582">
        <w:tblPrEx>
          <w:tblCellMar>
            <w:top w:w="0" w:type="dxa"/>
            <w:left w:w="108" w:type="dxa"/>
            <w:bottom w:w="0" w:type="dxa"/>
            <w:right w:w="108" w:type="dxa"/>
          </w:tblCellMar>
        </w:tblPrEx>
        <w:trPr>
          <w:trHeight w:val="340" w:hRule="atLeast"/>
          <w:jc w:val="center"/>
        </w:trPr>
        <w:tc>
          <w:tcPr>
            <w:tcW w:w="3826" w:type="dxa"/>
            <w:tcBorders>
              <w:top w:val="single" w:color="000000" w:sz="4" w:space="0"/>
              <w:left w:val="single" w:color="000000" w:sz="4" w:space="0"/>
              <w:bottom w:val="nil"/>
              <w:right w:val="single" w:color="000000" w:sz="4" w:space="0"/>
            </w:tcBorders>
            <w:vAlign w:val="center"/>
          </w:tcPr>
          <w:p w14:paraId="2BC1F80B">
            <w:r>
              <w:rPr>
                <w:rFonts w:hint="eastAsia"/>
              </w:rPr>
              <w:t>木材加工区美居美家集采节暨美食嘉年华满额立减</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9A707DF">
            <w:r>
              <w:rPr>
                <w:rFonts w:hint="eastAsia"/>
              </w:rPr>
              <w:t>654,000.00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A7B7E6D">
            <w:r>
              <w:rPr>
                <w:rFonts w:hint="eastAsia"/>
              </w:rPr>
              <w:t>158,466.00</w:t>
            </w:r>
          </w:p>
        </w:tc>
        <w:tc>
          <w:tcPr>
            <w:tcW w:w="1034" w:type="dxa"/>
            <w:tcBorders>
              <w:top w:val="single" w:color="000000" w:sz="4" w:space="0"/>
              <w:left w:val="single" w:color="000000" w:sz="4" w:space="0"/>
              <w:bottom w:val="single" w:color="000000" w:sz="4" w:space="0"/>
              <w:right w:val="single" w:color="000000" w:sz="4" w:space="0"/>
            </w:tcBorders>
            <w:vAlign w:val="center"/>
          </w:tcPr>
          <w:p w14:paraId="1BBEA961">
            <w:r>
              <w:rPr>
                <w:rFonts w:hint="eastAsia"/>
              </w:rPr>
              <w:t>24.23%</w:t>
            </w:r>
          </w:p>
        </w:tc>
      </w:tr>
      <w:tr w14:paraId="59D0D221">
        <w:tblPrEx>
          <w:tblCellMar>
            <w:top w:w="0" w:type="dxa"/>
            <w:left w:w="108" w:type="dxa"/>
            <w:bottom w:w="0" w:type="dxa"/>
            <w:right w:w="108" w:type="dxa"/>
          </w:tblCellMar>
        </w:tblPrEx>
        <w:trPr>
          <w:trHeight w:val="340"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1774347">
            <w:r>
              <w:rPr>
                <w:rFonts w:hint="eastAsia"/>
              </w:rPr>
              <w:t>激情广场“双十一美食嘉年华”满额立减</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5D79810">
            <w:r>
              <w:rPr>
                <w:rFonts w:hint="eastAsia"/>
              </w:rPr>
              <w:t>98,000.00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76B2853F">
            <w:r>
              <w:rPr>
                <w:rFonts w:hint="eastAsia"/>
              </w:rPr>
              <w:t>81,428.00</w:t>
            </w:r>
          </w:p>
        </w:tc>
        <w:tc>
          <w:tcPr>
            <w:tcW w:w="1034" w:type="dxa"/>
            <w:tcBorders>
              <w:top w:val="single" w:color="000000" w:sz="4" w:space="0"/>
              <w:left w:val="single" w:color="000000" w:sz="4" w:space="0"/>
              <w:bottom w:val="single" w:color="000000" w:sz="4" w:space="0"/>
              <w:right w:val="single" w:color="000000" w:sz="4" w:space="0"/>
            </w:tcBorders>
            <w:vAlign w:val="center"/>
          </w:tcPr>
          <w:p w14:paraId="25D87B65">
            <w:r>
              <w:rPr>
                <w:rFonts w:hint="eastAsia"/>
              </w:rPr>
              <w:t>83.09%</w:t>
            </w:r>
          </w:p>
        </w:tc>
      </w:tr>
      <w:tr w14:paraId="66D30C3D">
        <w:tblPrEx>
          <w:tblCellMar>
            <w:top w:w="0" w:type="dxa"/>
            <w:left w:w="108" w:type="dxa"/>
            <w:bottom w:w="0" w:type="dxa"/>
            <w:right w:w="108" w:type="dxa"/>
          </w:tblCellMar>
        </w:tblPrEx>
        <w:trPr>
          <w:trHeight w:val="340"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44A7D4CA">
            <w:r>
              <w:rPr>
                <w:rFonts w:hint="eastAsia"/>
              </w:rPr>
              <w:t>商超活动</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DDAB616">
            <w:r>
              <w:rPr>
                <w:rFonts w:hint="eastAsia"/>
              </w:rPr>
              <w:t>500,000.00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6820565D">
            <w:r>
              <w:rPr>
                <w:rFonts w:hint="eastAsia"/>
              </w:rPr>
              <w:t>366,182.14</w:t>
            </w:r>
          </w:p>
        </w:tc>
        <w:tc>
          <w:tcPr>
            <w:tcW w:w="1034" w:type="dxa"/>
            <w:tcBorders>
              <w:top w:val="single" w:color="000000" w:sz="4" w:space="0"/>
              <w:left w:val="single" w:color="000000" w:sz="4" w:space="0"/>
              <w:bottom w:val="single" w:color="000000" w:sz="4" w:space="0"/>
              <w:right w:val="single" w:color="000000" w:sz="4" w:space="0"/>
            </w:tcBorders>
            <w:vAlign w:val="center"/>
          </w:tcPr>
          <w:p w14:paraId="3123906F">
            <w:r>
              <w:rPr>
                <w:rFonts w:hint="eastAsia"/>
              </w:rPr>
              <w:t>73.24%</w:t>
            </w:r>
          </w:p>
        </w:tc>
      </w:tr>
      <w:tr w14:paraId="4E41D920">
        <w:tblPrEx>
          <w:tblCellMar>
            <w:top w:w="0" w:type="dxa"/>
            <w:left w:w="108" w:type="dxa"/>
            <w:bottom w:w="0" w:type="dxa"/>
            <w:right w:w="108" w:type="dxa"/>
          </w:tblCellMar>
        </w:tblPrEx>
        <w:trPr>
          <w:trHeight w:val="340"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4F5CFF48">
            <w:r>
              <w:rPr>
                <w:rFonts w:hint="eastAsia"/>
              </w:rPr>
              <w:t>莆欣连锁超市线上乐购</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2A14B4B">
            <w:r>
              <w:rPr>
                <w:rFonts w:hint="eastAsia"/>
              </w:rPr>
              <w:t>132,000.00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76F4A67">
            <w:r>
              <w:rPr>
                <w:rFonts w:hint="eastAsia"/>
              </w:rPr>
              <w:t>132,000.00</w:t>
            </w:r>
          </w:p>
        </w:tc>
        <w:tc>
          <w:tcPr>
            <w:tcW w:w="1034" w:type="dxa"/>
            <w:tcBorders>
              <w:top w:val="single" w:color="000000" w:sz="4" w:space="0"/>
              <w:left w:val="single" w:color="000000" w:sz="4" w:space="0"/>
              <w:bottom w:val="single" w:color="000000" w:sz="4" w:space="0"/>
              <w:right w:val="single" w:color="000000" w:sz="4" w:space="0"/>
            </w:tcBorders>
            <w:vAlign w:val="center"/>
          </w:tcPr>
          <w:p w14:paraId="1F011AD9">
            <w:r>
              <w:rPr>
                <w:rFonts w:hint="eastAsia"/>
              </w:rPr>
              <w:t>100%</w:t>
            </w:r>
          </w:p>
        </w:tc>
      </w:tr>
      <w:tr w14:paraId="45B79F7D">
        <w:tblPrEx>
          <w:tblCellMar>
            <w:top w:w="0" w:type="dxa"/>
            <w:left w:w="108" w:type="dxa"/>
            <w:bottom w:w="0" w:type="dxa"/>
            <w:right w:w="108" w:type="dxa"/>
          </w:tblCellMar>
        </w:tblPrEx>
        <w:trPr>
          <w:trHeight w:val="340" w:hRule="atLeast"/>
          <w:jc w:val="center"/>
        </w:trPr>
        <w:tc>
          <w:tcPr>
            <w:tcW w:w="3826" w:type="dxa"/>
            <w:tcBorders>
              <w:top w:val="single" w:color="000000" w:sz="4" w:space="0"/>
              <w:left w:val="single" w:color="000000" w:sz="4" w:space="0"/>
              <w:bottom w:val="single" w:color="auto" w:sz="4" w:space="0"/>
              <w:right w:val="single" w:color="000000" w:sz="4" w:space="0"/>
            </w:tcBorders>
            <w:vAlign w:val="center"/>
          </w:tcPr>
          <w:p w14:paraId="37562554">
            <w:r>
              <w:rPr>
                <w:rFonts w:hint="eastAsia"/>
              </w:rPr>
              <w:t>商超跨年购活动</w:t>
            </w:r>
          </w:p>
        </w:tc>
        <w:tc>
          <w:tcPr>
            <w:tcW w:w="1920" w:type="dxa"/>
            <w:tcBorders>
              <w:top w:val="single" w:color="000000" w:sz="4" w:space="0"/>
              <w:left w:val="single" w:color="000000" w:sz="4" w:space="0"/>
              <w:bottom w:val="single" w:color="auto" w:sz="4" w:space="0"/>
              <w:right w:val="single" w:color="000000" w:sz="4" w:space="0"/>
            </w:tcBorders>
            <w:noWrap/>
            <w:vAlign w:val="center"/>
          </w:tcPr>
          <w:p w14:paraId="28A81091">
            <w:r>
              <w:rPr>
                <w:rFonts w:hint="eastAsia"/>
              </w:rPr>
              <w:t>500,000.00</w:t>
            </w:r>
          </w:p>
        </w:tc>
        <w:tc>
          <w:tcPr>
            <w:tcW w:w="1635" w:type="dxa"/>
            <w:tcBorders>
              <w:top w:val="single" w:color="000000" w:sz="4" w:space="0"/>
              <w:left w:val="single" w:color="000000" w:sz="4" w:space="0"/>
              <w:bottom w:val="single" w:color="auto" w:sz="4" w:space="0"/>
              <w:right w:val="single" w:color="000000" w:sz="4" w:space="0"/>
            </w:tcBorders>
            <w:noWrap/>
            <w:vAlign w:val="center"/>
          </w:tcPr>
          <w:p w14:paraId="43B07EB8">
            <w:r>
              <w:rPr>
                <w:rFonts w:hint="eastAsia"/>
              </w:rPr>
              <w:t>246,800.00</w:t>
            </w:r>
          </w:p>
        </w:tc>
        <w:tc>
          <w:tcPr>
            <w:tcW w:w="1034" w:type="dxa"/>
            <w:tcBorders>
              <w:top w:val="single" w:color="000000" w:sz="4" w:space="0"/>
              <w:left w:val="single" w:color="000000" w:sz="4" w:space="0"/>
              <w:bottom w:val="single" w:color="auto" w:sz="4" w:space="0"/>
              <w:right w:val="single" w:color="000000" w:sz="4" w:space="0"/>
            </w:tcBorders>
            <w:vAlign w:val="center"/>
          </w:tcPr>
          <w:p w14:paraId="44E8ADAA">
            <w:r>
              <w:rPr>
                <w:rFonts w:hint="eastAsia"/>
              </w:rPr>
              <w:t>49.36%</w:t>
            </w:r>
          </w:p>
        </w:tc>
      </w:tr>
      <w:tr w14:paraId="3FE5F42E">
        <w:tblPrEx>
          <w:tblCellMar>
            <w:top w:w="0" w:type="dxa"/>
            <w:left w:w="108" w:type="dxa"/>
            <w:bottom w:w="0" w:type="dxa"/>
            <w:right w:w="108" w:type="dxa"/>
          </w:tblCellMar>
        </w:tblPrEx>
        <w:trPr>
          <w:trHeight w:val="340" w:hRule="atLeast"/>
          <w:jc w:val="center"/>
        </w:trPr>
        <w:tc>
          <w:tcPr>
            <w:tcW w:w="3826" w:type="dxa"/>
            <w:tcBorders>
              <w:top w:val="single" w:color="auto" w:sz="4" w:space="0"/>
              <w:left w:val="single" w:color="auto" w:sz="4" w:space="0"/>
              <w:bottom w:val="single" w:color="auto" w:sz="4" w:space="0"/>
              <w:right w:val="single" w:color="auto" w:sz="4" w:space="0"/>
            </w:tcBorders>
            <w:vAlign w:val="center"/>
          </w:tcPr>
          <w:p w14:paraId="42D868A0">
            <w:r>
              <w:rPr>
                <w:rFonts w:hint="eastAsia"/>
              </w:rPr>
              <w:t>珠宝好礼跨年购活动</w:t>
            </w:r>
          </w:p>
        </w:tc>
        <w:tc>
          <w:tcPr>
            <w:tcW w:w="1920" w:type="dxa"/>
            <w:tcBorders>
              <w:top w:val="single" w:color="auto" w:sz="4" w:space="0"/>
              <w:left w:val="single" w:color="auto" w:sz="4" w:space="0"/>
              <w:bottom w:val="single" w:color="auto" w:sz="4" w:space="0"/>
              <w:right w:val="single" w:color="auto" w:sz="4" w:space="0"/>
            </w:tcBorders>
            <w:noWrap/>
            <w:vAlign w:val="center"/>
          </w:tcPr>
          <w:p w14:paraId="4F6119D4">
            <w:r>
              <w:rPr>
                <w:rFonts w:hint="eastAsia"/>
              </w:rPr>
              <w:t>300,000.00</w:t>
            </w:r>
          </w:p>
        </w:tc>
        <w:tc>
          <w:tcPr>
            <w:tcW w:w="1635" w:type="dxa"/>
            <w:tcBorders>
              <w:top w:val="single" w:color="auto" w:sz="4" w:space="0"/>
              <w:left w:val="single" w:color="auto" w:sz="4" w:space="0"/>
              <w:bottom w:val="single" w:color="auto" w:sz="4" w:space="0"/>
              <w:right w:val="single" w:color="auto" w:sz="4" w:space="0"/>
            </w:tcBorders>
            <w:noWrap/>
            <w:vAlign w:val="center"/>
          </w:tcPr>
          <w:p w14:paraId="6C3AFA46">
            <w:r>
              <w:rPr>
                <w:rFonts w:hint="eastAsia"/>
              </w:rPr>
              <w:t>197,600.00</w:t>
            </w:r>
          </w:p>
        </w:tc>
        <w:tc>
          <w:tcPr>
            <w:tcW w:w="1034" w:type="dxa"/>
            <w:tcBorders>
              <w:top w:val="single" w:color="auto" w:sz="4" w:space="0"/>
              <w:left w:val="single" w:color="auto" w:sz="4" w:space="0"/>
              <w:bottom w:val="single" w:color="auto" w:sz="4" w:space="0"/>
              <w:right w:val="single" w:color="auto" w:sz="4" w:space="0"/>
            </w:tcBorders>
            <w:vAlign w:val="center"/>
          </w:tcPr>
          <w:p w14:paraId="04A34633">
            <w:r>
              <w:rPr>
                <w:rFonts w:hint="eastAsia"/>
              </w:rPr>
              <w:t>65.87%</w:t>
            </w:r>
          </w:p>
        </w:tc>
      </w:tr>
      <w:tr w14:paraId="1B4020D1">
        <w:tblPrEx>
          <w:tblCellMar>
            <w:top w:w="0" w:type="dxa"/>
            <w:left w:w="108" w:type="dxa"/>
            <w:bottom w:w="0" w:type="dxa"/>
            <w:right w:w="108" w:type="dxa"/>
          </w:tblCellMar>
        </w:tblPrEx>
        <w:trPr>
          <w:trHeight w:val="340" w:hRule="atLeast"/>
          <w:jc w:val="center"/>
        </w:trPr>
        <w:tc>
          <w:tcPr>
            <w:tcW w:w="3826" w:type="dxa"/>
            <w:tcBorders>
              <w:top w:val="single" w:color="auto" w:sz="4" w:space="0"/>
              <w:left w:val="single" w:color="auto" w:sz="4" w:space="0"/>
              <w:bottom w:val="single" w:color="auto" w:sz="4" w:space="0"/>
              <w:right w:val="single" w:color="auto" w:sz="4" w:space="0"/>
            </w:tcBorders>
            <w:vAlign w:val="center"/>
          </w:tcPr>
          <w:p w14:paraId="7107359F">
            <w:r>
              <w:rPr>
                <w:rFonts w:hint="eastAsia"/>
              </w:rPr>
              <w:t>约惠春天美食品鉴活动</w:t>
            </w:r>
          </w:p>
        </w:tc>
        <w:tc>
          <w:tcPr>
            <w:tcW w:w="1920" w:type="dxa"/>
            <w:tcBorders>
              <w:top w:val="single" w:color="auto" w:sz="4" w:space="0"/>
              <w:left w:val="single" w:color="auto" w:sz="4" w:space="0"/>
              <w:bottom w:val="single" w:color="auto" w:sz="4" w:space="0"/>
              <w:right w:val="single" w:color="auto" w:sz="4" w:space="0"/>
            </w:tcBorders>
            <w:noWrap/>
            <w:vAlign w:val="center"/>
          </w:tcPr>
          <w:p w14:paraId="3213BA71">
            <w:r>
              <w:rPr>
                <w:rFonts w:hint="eastAsia"/>
              </w:rPr>
              <w:t>480,000.00</w:t>
            </w:r>
          </w:p>
        </w:tc>
        <w:tc>
          <w:tcPr>
            <w:tcW w:w="1635" w:type="dxa"/>
            <w:tcBorders>
              <w:top w:val="single" w:color="auto" w:sz="4" w:space="0"/>
              <w:left w:val="single" w:color="auto" w:sz="4" w:space="0"/>
              <w:bottom w:val="single" w:color="auto" w:sz="4" w:space="0"/>
              <w:right w:val="single" w:color="auto" w:sz="4" w:space="0"/>
            </w:tcBorders>
            <w:noWrap/>
            <w:vAlign w:val="center"/>
          </w:tcPr>
          <w:p w14:paraId="11F51D4A">
            <w:r>
              <w:rPr>
                <w:rFonts w:hint="eastAsia"/>
              </w:rPr>
              <w:t>216,380.00</w:t>
            </w:r>
          </w:p>
        </w:tc>
        <w:tc>
          <w:tcPr>
            <w:tcW w:w="1034" w:type="dxa"/>
            <w:tcBorders>
              <w:top w:val="single" w:color="auto" w:sz="4" w:space="0"/>
              <w:left w:val="single" w:color="auto" w:sz="4" w:space="0"/>
              <w:bottom w:val="single" w:color="auto" w:sz="4" w:space="0"/>
              <w:right w:val="single" w:color="auto" w:sz="4" w:space="0"/>
            </w:tcBorders>
            <w:vAlign w:val="center"/>
          </w:tcPr>
          <w:p w14:paraId="6EB41042">
            <w:r>
              <w:rPr>
                <w:rFonts w:hint="eastAsia"/>
              </w:rPr>
              <w:t>45.08%</w:t>
            </w:r>
          </w:p>
        </w:tc>
      </w:tr>
      <w:tr w14:paraId="649B5D29">
        <w:tblPrEx>
          <w:tblCellMar>
            <w:top w:w="0" w:type="dxa"/>
            <w:left w:w="108" w:type="dxa"/>
            <w:bottom w:w="0" w:type="dxa"/>
            <w:right w:w="108" w:type="dxa"/>
          </w:tblCellMar>
        </w:tblPrEx>
        <w:trPr>
          <w:trHeight w:val="340" w:hRule="atLeast"/>
          <w:jc w:val="center"/>
        </w:trPr>
        <w:tc>
          <w:tcPr>
            <w:tcW w:w="3826" w:type="dxa"/>
            <w:tcBorders>
              <w:top w:val="single" w:color="auto" w:sz="4" w:space="0"/>
              <w:left w:val="single" w:color="auto" w:sz="4" w:space="0"/>
              <w:bottom w:val="single" w:color="auto" w:sz="4" w:space="0"/>
              <w:right w:val="single" w:color="auto" w:sz="4" w:space="0"/>
            </w:tcBorders>
            <w:vAlign w:val="center"/>
          </w:tcPr>
          <w:p w14:paraId="66B6F70B">
            <w:r>
              <w:rPr>
                <w:rFonts w:hint="eastAsia"/>
              </w:rPr>
              <w:t>莆欣连锁超市开春钜惠活动</w:t>
            </w:r>
          </w:p>
        </w:tc>
        <w:tc>
          <w:tcPr>
            <w:tcW w:w="1920" w:type="dxa"/>
            <w:tcBorders>
              <w:top w:val="single" w:color="auto" w:sz="4" w:space="0"/>
              <w:left w:val="single" w:color="auto" w:sz="4" w:space="0"/>
              <w:bottom w:val="single" w:color="auto" w:sz="4" w:space="0"/>
              <w:right w:val="single" w:color="auto" w:sz="4" w:space="0"/>
            </w:tcBorders>
            <w:noWrap/>
            <w:vAlign w:val="center"/>
          </w:tcPr>
          <w:p w14:paraId="1C755674">
            <w:r>
              <w:rPr>
                <w:rFonts w:hint="eastAsia"/>
              </w:rPr>
              <w:t>150,000.00</w:t>
            </w:r>
          </w:p>
        </w:tc>
        <w:tc>
          <w:tcPr>
            <w:tcW w:w="1635" w:type="dxa"/>
            <w:tcBorders>
              <w:top w:val="single" w:color="auto" w:sz="4" w:space="0"/>
              <w:left w:val="single" w:color="auto" w:sz="4" w:space="0"/>
              <w:bottom w:val="single" w:color="auto" w:sz="4" w:space="0"/>
              <w:right w:val="single" w:color="auto" w:sz="4" w:space="0"/>
            </w:tcBorders>
            <w:noWrap/>
            <w:vAlign w:val="center"/>
          </w:tcPr>
          <w:p w14:paraId="218278F6">
            <w:r>
              <w:rPr>
                <w:rFonts w:hint="eastAsia"/>
              </w:rPr>
              <w:t>132,040.00</w:t>
            </w:r>
          </w:p>
        </w:tc>
        <w:tc>
          <w:tcPr>
            <w:tcW w:w="1034" w:type="dxa"/>
            <w:tcBorders>
              <w:top w:val="single" w:color="auto" w:sz="4" w:space="0"/>
              <w:left w:val="single" w:color="auto" w:sz="4" w:space="0"/>
              <w:bottom w:val="single" w:color="auto" w:sz="4" w:space="0"/>
              <w:right w:val="single" w:color="auto" w:sz="4" w:space="0"/>
            </w:tcBorders>
            <w:vAlign w:val="center"/>
          </w:tcPr>
          <w:p w14:paraId="5E26695E">
            <w:r>
              <w:rPr>
                <w:rFonts w:hint="eastAsia"/>
              </w:rPr>
              <w:t>88.03%</w:t>
            </w:r>
          </w:p>
        </w:tc>
      </w:tr>
      <w:tr w14:paraId="24D82C1F">
        <w:tblPrEx>
          <w:tblCellMar>
            <w:top w:w="0" w:type="dxa"/>
            <w:left w:w="108" w:type="dxa"/>
            <w:bottom w:w="0" w:type="dxa"/>
            <w:right w:w="108" w:type="dxa"/>
          </w:tblCellMar>
        </w:tblPrEx>
        <w:trPr>
          <w:trHeight w:val="340" w:hRule="atLeast"/>
          <w:jc w:val="center"/>
        </w:trPr>
        <w:tc>
          <w:tcPr>
            <w:tcW w:w="3826" w:type="dxa"/>
            <w:tcBorders>
              <w:top w:val="single" w:color="auto" w:sz="4" w:space="0"/>
              <w:left w:val="single" w:color="auto" w:sz="4" w:space="0"/>
              <w:bottom w:val="single" w:color="auto" w:sz="4" w:space="0"/>
              <w:right w:val="single" w:color="auto" w:sz="4" w:space="0"/>
            </w:tcBorders>
            <w:vAlign w:val="center"/>
          </w:tcPr>
          <w:p w14:paraId="3F828B5A">
            <w:r>
              <w:rPr>
                <w:rFonts w:hint="eastAsia"/>
              </w:rPr>
              <w:t>中秋国庆展销、开春钜惠购车补贴</w:t>
            </w:r>
          </w:p>
        </w:tc>
        <w:tc>
          <w:tcPr>
            <w:tcW w:w="1920" w:type="dxa"/>
            <w:tcBorders>
              <w:top w:val="single" w:color="auto" w:sz="4" w:space="0"/>
              <w:left w:val="single" w:color="auto" w:sz="4" w:space="0"/>
              <w:bottom w:val="single" w:color="auto" w:sz="4" w:space="0"/>
              <w:right w:val="single" w:color="auto" w:sz="4" w:space="0"/>
            </w:tcBorders>
            <w:noWrap/>
            <w:vAlign w:val="center"/>
          </w:tcPr>
          <w:p w14:paraId="2115EB6B">
            <w:r>
              <w:rPr>
                <w:rFonts w:hint="eastAsia"/>
              </w:rPr>
              <w:t>852,000.00</w:t>
            </w:r>
          </w:p>
        </w:tc>
        <w:tc>
          <w:tcPr>
            <w:tcW w:w="1635" w:type="dxa"/>
            <w:tcBorders>
              <w:top w:val="single" w:color="auto" w:sz="4" w:space="0"/>
              <w:left w:val="single" w:color="auto" w:sz="4" w:space="0"/>
              <w:bottom w:val="single" w:color="auto" w:sz="4" w:space="0"/>
              <w:right w:val="single" w:color="auto" w:sz="4" w:space="0"/>
            </w:tcBorders>
            <w:noWrap/>
            <w:vAlign w:val="center"/>
          </w:tcPr>
          <w:p w14:paraId="016FC985">
            <w:r>
              <w:rPr>
                <w:rFonts w:hint="eastAsia"/>
              </w:rPr>
              <w:t>348,000.00</w:t>
            </w:r>
          </w:p>
        </w:tc>
        <w:tc>
          <w:tcPr>
            <w:tcW w:w="1034" w:type="dxa"/>
            <w:tcBorders>
              <w:top w:val="single" w:color="auto" w:sz="4" w:space="0"/>
              <w:left w:val="single" w:color="auto" w:sz="4" w:space="0"/>
              <w:bottom w:val="single" w:color="auto" w:sz="4" w:space="0"/>
              <w:right w:val="single" w:color="auto" w:sz="4" w:space="0"/>
            </w:tcBorders>
            <w:vAlign w:val="center"/>
          </w:tcPr>
          <w:p w14:paraId="16BED116">
            <w:r>
              <w:rPr>
                <w:rFonts w:hint="eastAsia"/>
              </w:rPr>
              <w:t>40.85%</w:t>
            </w:r>
          </w:p>
        </w:tc>
      </w:tr>
      <w:tr w14:paraId="31D42131">
        <w:tblPrEx>
          <w:tblCellMar>
            <w:top w:w="0" w:type="dxa"/>
            <w:left w:w="108" w:type="dxa"/>
            <w:bottom w:w="0" w:type="dxa"/>
            <w:right w:w="108" w:type="dxa"/>
          </w:tblCellMar>
        </w:tblPrEx>
        <w:trPr>
          <w:trHeight w:val="340" w:hRule="atLeast"/>
          <w:jc w:val="center"/>
        </w:trPr>
        <w:tc>
          <w:tcPr>
            <w:tcW w:w="3826" w:type="dxa"/>
            <w:tcBorders>
              <w:top w:val="single" w:color="auto" w:sz="4" w:space="0"/>
              <w:left w:val="single" w:color="auto" w:sz="4" w:space="0"/>
              <w:bottom w:val="single" w:color="auto" w:sz="4" w:space="0"/>
              <w:right w:val="single" w:color="auto" w:sz="4" w:space="0"/>
            </w:tcBorders>
            <w:vAlign w:val="center"/>
          </w:tcPr>
          <w:p w14:paraId="1E5D7C36">
            <w:r>
              <w:rPr>
                <w:rFonts w:hint="eastAsia"/>
              </w:rPr>
              <w:t>合  计</w:t>
            </w:r>
          </w:p>
        </w:tc>
        <w:tc>
          <w:tcPr>
            <w:tcW w:w="1920" w:type="dxa"/>
            <w:tcBorders>
              <w:top w:val="single" w:color="auto" w:sz="4" w:space="0"/>
              <w:left w:val="single" w:color="auto" w:sz="4" w:space="0"/>
              <w:bottom w:val="single" w:color="auto" w:sz="4" w:space="0"/>
              <w:right w:val="single" w:color="auto" w:sz="4" w:space="0"/>
            </w:tcBorders>
            <w:noWrap/>
            <w:vAlign w:val="center"/>
          </w:tcPr>
          <w:p w14:paraId="51E17D36">
            <w:r>
              <w:rPr>
                <w:rFonts w:hint="eastAsia"/>
              </w:rPr>
              <w:t>3,866,000.00</w:t>
            </w:r>
          </w:p>
        </w:tc>
        <w:tc>
          <w:tcPr>
            <w:tcW w:w="1635" w:type="dxa"/>
            <w:tcBorders>
              <w:top w:val="single" w:color="auto" w:sz="4" w:space="0"/>
              <w:left w:val="single" w:color="auto" w:sz="4" w:space="0"/>
              <w:bottom w:val="single" w:color="auto" w:sz="4" w:space="0"/>
              <w:right w:val="single" w:color="auto" w:sz="4" w:space="0"/>
            </w:tcBorders>
            <w:noWrap/>
            <w:vAlign w:val="center"/>
          </w:tcPr>
          <w:p w14:paraId="024BDA9A">
            <w:r>
              <w:rPr>
                <w:rFonts w:hint="eastAsia"/>
              </w:rPr>
              <w:t>1,888,464.14</w:t>
            </w:r>
          </w:p>
        </w:tc>
        <w:tc>
          <w:tcPr>
            <w:tcW w:w="1034" w:type="dxa"/>
            <w:tcBorders>
              <w:top w:val="single" w:color="auto" w:sz="4" w:space="0"/>
              <w:left w:val="single" w:color="auto" w:sz="4" w:space="0"/>
              <w:bottom w:val="single" w:color="auto" w:sz="4" w:space="0"/>
              <w:right w:val="single" w:color="auto" w:sz="4" w:space="0"/>
            </w:tcBorders>
          </w:tcPr>
          <w:p w14:paraId="564167B6"/>
        </w:tc>
      </w:tr>
    </w:tbl>
    <w:p w14:paraId="1616AE2B">
      <w:pPr>
        <w:ind w:firstLine="420" w:firstLineChars="200"/>
      </w:pPr>
      <w:r>
        <w:rPr>
          <w:rFonts w:hint="eastAsia"/>
        </w:rPr>
        <w:t>表8  湄洲湾北岸经济开发区“全闽乐购·惠聚北岸”第一至第二期乐购券</w:t>
      </w:r>
    </w:p>
    <w:tbl>
      <w:tblPr>
        <w:tblStyle w:val="17"/>
        <w:tblW w:w="8367" w:type="dxa"/>
        <w:jc w:val="center"/>
        <w:tblLayout w:type="fixed"/>
        <w:tblCellMar>
          <w:top w:w="0" w:type="dxa"/>
          <w:left w:w="108" w:type="dxa"/>
          <w:bottom w:w="0" w:type="dxa"/>
          <w:right w:w="108" w:type="dxa"/>
        </w:tblCellMar>
      </w:tblPr>
      <w:tblGrid>
        <w:gridCol w:w="3516"/>
        <w:gridCol w:w="2100"/>
        <w:gridCol w:w="1693"/>
        <w:gridCol w:w="1058"/>
      </w:tblGrid>
      <w:tr w14:paraId="73AAD38B">
        <w:tblPrEx>
          <w:tblCellMar>
            <w:top w:w="0" w:type="dxa"/>
            <w:left w:w="108" w:type="dxa"/>
            <w:bottom w:w="0" w:type="dxa"/>
            <w:right w:w="108"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noWrap/>
            <w:vAlign w:val="center"/>
          </w:tcPr>
          <w:p w14:paraId="237E88D1">
            <w:r>
              <w:rPr>
                <w:rFonts w:hint="eastAsia"/>
              </w:rPr>
              <w:t>活动名称</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693A1E4F">
            <w:r>
              <w:rPr>
                <w:rFonts w:hint="eastAsia"/>
              </w:rPr>
              <w:t>方案配置金额（元）</w:t>
            </w:r>
          </w:p>
        </w:tc>
        <w:tc>
          <w:tcPr>
            <w:tcW w:w="1693" w:type="dxa"/>
            <w:tcBorders>
              <w:top w:val="single" w:color="000000" w:sz="4" w:space="0"/>
              <w:left w:val="single" w:color="000000" w:sz="4" w:space="0"/>
              <w:bottom w:val="single" w:color="000000" w:sz="4" w:space="0"/>
              <w:right w:val="single" w:color="000000" w:sz="4" w:space="0"/>
            </w:tcBorders>
            <w:vAlign w:val="center"/>
          </w:tcPr>
          <w:p w14:paraId="5DDA1AA6">
            <w:r>
              <w:rPr>
                <w:rFonts w:hint="eastAsia"/>
              </w:rPr>
              <w:t>核销金额（元）</w:t>
            </w:r>
          </w:p>
        </w:tc>
        <w:tc>
          <w:tcPr>
            <w:tcW w:w="1058" w:type="dxa"/>
            <w:tcBorders>
              <w:top w:val="single" w:color="000000" w:sz="4" w:space="0"/>
              <w:left w:val="single" w:color="000000" w:sz="4" w:space="0"/>
              <w:bottom w:val="single" w:color="000000" w:sz="4" w:space="0"/>
              <w:right w:val="single" w:color="000000" w:sz="4" w:space="0"/>
            </w:tcBorders>
            <w:vAlign w:val="center"/>
          </w:tcPr>
          <w:p w14:paraId="35049279">
            <w:r>
              <w:rPr>
                <w:rFonts w:hint="eastAsia"/>
              </w:rPr>
              <w:t>核销率</w:t>
            </w:r>
          </w:p>
        </w:tc>
      </w:tr>
      <w:tr w14:paraId="02AF6B19">
        <w:tblPrEx>
          <w:tblCellMar>
            <w:top w:w="0" w:type="dxa"/>
            <w:left w:w="108" w:type="dxa"/>
            <w:bottom w:w="0" w:type="dxa"/>
            <w:right w:w="108"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noWrap/>
            <w:vAlign w:val="center"/>
          </w:tcPr>
          <w:p w14:paraId="29315A40">
            <w:r>
              <w:rPr>
                <w:rFonts w:hint="eastAsia"/>
              </w:rPr>
              <w:t>全闽乐购·惠聚北岸第一期乐购券</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67588B5">
            <w:r>
              <w:rPr>
                <w:rFonts w:hint="eastAsia"/>
              </w:rPr>
              <w:t>500,000.00</w:t>
            </w:r>
          </w:p>
        </w:tc>
        <w:tc>
          <w:tcPr>
            <w:tcW w:w="1693" w:type="dxa"/>
            <w:tcBorders>
              <w:top w:val="single" w:color="000000" w:sz="4" w:space="0"/>
              <w:left w:val="single" w:color="000000" w:sz="4" w:space="0"/>
              <w:bottom w:val="single" w:color="000000" w:sz="4" w:space="0"/>
              <w:right w:val="single" w:color="000000" w:sz="4" w:space="0"/>
            </w:tcBorders>
            <w:vAlign w:val="center"/>
          </w:tcPr>
          <w:p w14:paraId="670150D5">
            <w:r>
              <w:rPr>
                <w:rFonts w:hint="eastAsia"/>
              </w:rPr>
              <w:t>216,907.68</w:t>
            </w: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1602CD4E">
            <w:r>
              <w:rPr>
                <w:rFonts w:hint="eastAsia"/>
              </w:rPr>
              <w:t>43.38%</w:t>
            </w:r>
          </w:p>
        </w:tc>
      </w:tr>
      <w:tr w14:paraId="0BDB07E0">
        <w:tblPrEx>
          <w:tblCellMar>
            <w:top w:w="0" w:type="dxa"/>
            <w:left w:w="108" w:type="dxa"/>
            <w:bottom w:w="0" w:type="dxa"/>
            <w:right w:w="108"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noWrap/>
            <w:vAlign w:val="center"/>
          </w:tcPr>
          <w:p w14:paraId="4C8D0DE4">
            <w:r>
              <w:rPr>
                <w:rFonts w:hint="eastAsia"/>
              </w:rPr>
              <w:t>全闽乐购·惠聚北岸第二期乐购券</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1F5B7F4">
            <w:r>
              <w:rPr>
                <w:rFonts w:hint="eastAsia"/>
              </w:rPr>
              <w:t>282,400.00</w:t>
            </w:r>
          </w:p>
        </w:tc>
        <w:tc>
          <w:tcPr>
            <w:tcW w:w="1693" w:type="dxa"/>
            <w:tcBorders>
              <w:top w:val="single" w:color="000000" w:sz="4" w:space="0"/>
              <w:left w:val="single" w:color="000000" w:sz="4" w:space="0"/>
              <w:bottom w:val="single" w:color="000000" w:sz="4" w:space="0"/>
              <w:right w:val="single" w:color="000000" w:sz="4" w:space="0"/>
            </w:tcBorders>
            <w:vAlign w:val="center"/>
          </w:tcPr>
          <w:p w14:paraId="1DD1039D">
            <w:r>
              <w:rPr>
                <w:rFonts w:hint="eastAsia"/>
              </w:rPr>
              <w:t>282,400.00</w:t>
            </w: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3AC6822B">
            <w:r>
              <w:rPr>
                <w:rFonts w:hint="eastAsia"/>
              </w:rPr>
              <w:t>100%</w:t>
            </w:r>
          </w:p>
        </w:tc>
      </w:tr>
      <w:tr w14:paraId="40CECF65">
        <w:tblPrEx>
          <w:tblCellMar>
            <w:top w:w="0" w:type="dxa"/>
            <w:left w:w="108" w:type="dxa"/>
            <w:bottom w:w="0" w:type="dxa"/>
            <w:right w:w="108"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noWrap/>
            <w:vAlign w:val="center"/>
          </w:tcPr>
          <w:p w14:paraId="7AF67B3A">
            <w:r>
              <w:rPr>
                <w:rFonts w:hint="eastAsia"/>
              </w:rPr>
              <w:t>合  计</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0ADED7B9">
            <w:r>
              <w:rPr>
                <w:rFonts w:hint="eastAsia"/>
              </w:rPr>
              <w:t>782,400.00</w:t>
            </w:r>
          </w:p>
        </w:tc>
        <w:tc>
          <w:tcPr>
            <w:tcW w:w="1693" w:type="dxa"/>
            <w:tcBorders>
              <w:top w:val="single" w:color="000000" w:sz="4" w:space="0"/>
              <w:left w:val="single" w:color="000000" w:sz="4" w:space="0"/>
              <w:bottom w:val="single" w:color="000000" w:sz="4" w:space="0"/>
              <w:right w:val="single" w:color="000000" w:sz="4" w:space="0"/>
            </w:tcBorders>
            <w:vAlign w:val="center"/>
          </w:tcPr>
          <w:p w14:paraId="33E21518">
            <w:r>
              <w:rPr>
                <w:rFonts w:hint="eastAsia"/>
              </w:rPr>
              <w:t>499,307.68</w:t>
            </w: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5507B2CA"/>
        </w:tc>
      </w:tr>
    </w:tbl>
    <w:p w14:paraId="70325D4D">
      <w:pPr>
        <w:ind w:firstLine="420" w:firstLineChars="200"/>
      </w:pPr>
      <w:r>
        <w:rPr>
          <w:rFonts w:hint="eastAsia"/>
        </w:rPr>
        <w:t>表9 湄洲岛国家旅游度假区“全闽乐购·湄洲岛乐购”开春乐购活动</w:t>
      </w:r>
    </w:p>
    <w:tbl>
      <w:tblPr>
        <w:tblStyle w:val="17"/>
        <w:tblW w:w="8340" w:type="dxa"/>
        <w:jc w:val="center"/>
        <w:tblLayout w:type="fixed"/>
        <w:tblCellMar>
          <w:top w:w="0" w:type="dxa"/>
          <w:left w:w="108" w:type="dxa"/>
          <w:bottom w:w="0" w:type="dxa"/>
          <w:right w:w="108" w:type="dxa"/>
        </w:tblCellMar>
      </w:tblPr>
      <w:tblGrid>
        <w:gridCol w:w="3350"/>
        <w:gridCol w:w="2146"/>
        <w:gridCol w:w="1609"/>
        <w:gridCol w:w="1235"/>
      </w:tblGrid>
      <w:tr w14:paraId="25AE6807">
        <w:tblPrEx>
          <w:tblCellMar>
            <w:top w:w="0" w:type="dxa"/>
            <w:left w:w="108" w:type="dxa"/>
            <w:bottom w:w="0" w:type="dxa"/>
            <w:right w:w="108" w:type="dxa"/>
          </w:tblCellMar>
        </w:tblPrEx>
        <w:trPr>
          <w:trHeight w:val="340" w:hRule="atLeast"/>
          <w:jc w:val="center"/>
        </w:trPr>
        <w:tc>
          <w:tcPr>
            <w:tcW w:w="3350" w:type="dxa"/>
            <w:tcBorders>
              <w:top w:val="single" w:color="000000" w:sz="4" w:space="0"/>
              <w:left w:val="single" w:color="000000" w:sz="4" w:space="0"/>
              <w:bottom w:val="single" w:color="000000" w:sz="4" w:space="0"/>
              <w:right w:val="single" w:color="000000" w:sz="4" w:space="0"/>
            </w:tcBorders>
            <w:noWrap/>
            <w:vAlign w:val="center"/>
          </w:tcPr>
          <w:p w14:paraId="6662E577">
            <w:r>
              <w:rPr>
                <w:rFonts w:hint="eastAsia"/>
              </w:rPr>
              <w:t>活动名称</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47004D1F">
            <w:r>
              <w:rPr>
                <w:rFonts w:hint="eastAsia"/>
              </w:rPr>
              <w:t>方案配置金额（元）</w:t>
            </w:r>
          </w:p>
        </w:tc>
        <w:tc>
          <w:tcPr>
            <w:tcW w:w="1609" w:type="dxa"/>
            <w:tcBorders>
              <w:top w:val="single" w:color="000000" w:sz="4" w:space="0"/>
              <w:left w:val="single" w:color="000000" w:sz="4" w:space="0"/>
              <w:bottom w:val="single" w:color="000000" w:sz="4" w:space="0"/>
              <w:right w:val="single" w:color="000000" w:sz="4" w:space="0"/>
            </w:tcBorders>
            <w:vAlign w:val="center"/>
          </w:tcPr>
          <w:p w14:paraId="0E273065">
            <w:r>
              <w:rPr>
                <w:rFonts w:hint="eastAsia"/>
              </w:rPr>
              <w:t>核销金额（元）</w:t>
            </w:r>
          </w:p>
        </w:tc>
        <w:tc>
          <w:tcPr>
            <w:tcW w:w="1235" w:type="dxa"/>
            <w:tcBorders>
              <w:top w:val="single" w:color="000000" w:sz="4" w:space="0"/>
              <w:left w:val="single" w:color="000000" w:sz="4" w:space="0"/>
              <w:bottom w:val="single" w:color="000000" w:sz="4" w:space="0"/>
              <w:right w:val="single" w:color="000000" w:sz="4" w:space="0"/>
            </w:tcBorders>
            <w:vAlign w:val="center"/>
          </w:tcPr>
          <w:p w14:paraId="35EBF3F8">
            <w:r>
              <w:rPr>
                <w:rFonts w:hint="eastAsia"/>
              </w:rPr>
              <w:t>核销率</w:t>
            </w:r>
          </w:p>
        </w:tc>
      </w:tr>
      <w:tr w14:paraId="65195E87">
        <w:tblPrEx>
          <w:tblCellMar>
            <w:top w:w="0" w:type="dxa"/>
            <w:left w:w="108" w:type="dxa"/>
            <w:bottom w:w="0" w:type="dxa"/>
            <w:right w:w="108" w:type="dxa"/>
          </w:tblCellMar>
        </w:tblPrEx>
        <w:trPr>
          <w:trHeight w:val="340" w:hRule="atLeast"/>
          <w:jc w:val="center"/>
        </w:trPr>
        <w:tc>
          <w:tcPr>
            <w:tcW w:w="3350" w:type="dxa"/>
            <w:tcBorders>
              <w:top w:val="single" w:color="000000" w:sz="4" w:space="0"/>
              <w:left w:val="single" w:color="000000" w:sz="4" w:space="0"/>
              <w:bottom w:val="single" w:color="000000" w:sz="4" w:space="0"/>
              <w:right w:val="single" w:color="000000" w:sz="4" w:space="0"/>
            </w:tcBorders>
            <w:vAlign w:val="center"/>
          </w:tcPr>
          <w:p w14:paraId="141491ED">
            <w:r>
              <w:rPr>
                <w:rFonts w:hint="eastAsia"/>
              </w:rPr>
              <w:t>全闽乐购•美丽湄州</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00388395">
            <w:r>
              <w:rPr>
                <w:rFonts w:hint="eastAsia"/>
              </w:rPr>
              <w:t xml:space="preserve">1,000,000.00 </w:t>
            </w:r>
          </w:p>
        </w:tc>
        <w:tc>
          <w:tcPr>
            <w:tcW w:w="1609" w:type="dxa"/>
            <w:tcBorders>
              <w:top w:val="single" w:color="000000" w:sz="4" w:space="0"/>
              <w:left w:val="single" w:color="000000" w:sz="4" w:space="0"/>
              <w:bottom w:val="single" w:color="000000" w:sz="4" w:space="0"/>
              <w:right w:val="single" w:color="000000" w:sz="4" w:space="0"/>
            </w:tcBorders>
            <w:vAlign w:val="center"/>
          </w:tcPr>
          <w:p w14:paraId="098A90C7">
            <w:r>
              <w:rPr>
                <w:rFonts w:hint="eastAsia"/>
              </w:rPr>
              <w:t>203,460.00</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73181E33">
            <w:r>
              <w:rPr>
                <w:rFonts w:hint="eastAsia"/>
              </w:rPr>
              <w:t>20.35%</w:t>
            </w:r>
          </w:p>
        </w:tc>
      </w:tr>
      <w:tr w14:paraId="2CC4DB77">
        <w:tblPrEx>
          <w:tblCellMar>
            <w:top w:w="0" w:type="dxa"/>
            <w:left w:w="108" w:type="dxa"/>
            <w:bottom w:w="0" w:type="dxa"/>
            <w:right w:w="108" w:type="dxa"/>
          </w:tblCellMar>
        </w:tblPrEx>
        <w:trPr>
          <w:trHeight w:val="340" w:hRule="atLeast"/>
          <w:jc w:val="center"/>
        </w:trPr>
        <w:tc>
          <w:tcPr>
            <w:tcW w:w="3350" w:type="dxa"/>
            <w:tcBorders>
              <w:top w:val="single" w:color="000000" w:sz="4" w:space="0"/>
              <w:left w:val="single" w:color="000000" w:sz="4" w:space="0"/>
              <w:bottom w:val="single" w:color="000000" w:sz="4" w:space="0"/>
              <w:right w:val="single" w:color="000000" w:sz="4" w:space="0"/>
            </w:tcBorders>
            <w:vAlign w:val="center"/>
          </w:tcPr>
          <w:p w14:paraId="1936413C">
            <w:r>
              <w:rPr>
                <w:rFonts w:hint="eastAsia"/>
              </w:rPr>
              <w:t>全闽乐购•湄洲岛乐购</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1997D67C">
            <w:r>
              <w:rPr>
                <w:rFonts w:hint="eastAsia"/>
              </w:rPr>
              <w:t>796,450.00</w:t>
            </w:r>
          </w:p>
        </w:tc>
        <w:tc>
          <w:tcPr>
            <w:tcW w:w="1609" w:type="dxa"/>
            <w:tcBorders>
              <w:top w:val="single" w:color="000000" w:sz="4" w:space="0"/>
              <w:left w:val="single" w:color="000000" w:sz="4" w:space="0"/>
              <w:bottom w:val="single" w:color="000000" w:sz="4" w:space="0"/>
              <w:right w:val="single" w:color="000000" w:sz="4" w:space="0"/>
            </w:tcBorders>
            <w:vAlign w:val="center"/>
          </w:tcPr>
          <w:p w14:paraId="4166FEFC">
            <w:r>
              <w:rPr>
                <w:rFonts w:hint="eastAsia"/>
              </w:rPr>
              <w:t>31,270.00</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7C4EFBD0">
            <w:r>
              <w:rPr>
                <w:rFonts w:hint="eastAsia"/>
              </w:rPr>
              <w:t>3.91%</w:t>
            </w:r>
          </w:p>
        </w:tc>
      </w:tr>
      <w:tr w14:paraId="324F5BB2">
        <w:tblPrEx>
          <w:tblCellMar>
            <w:top w:w="0" w:type="dxa"/>
            <w:left w:w="108" w:type="dxa"/>
            <w:bottom w:w="0" w:type="dxa"/>
            <w:right w:w="108" w:type="dxa"/>
          </w:tblCellMar>
        </w:tblPrEx>
        <w:trPr>
          <w:trHeight w:val="340" w:hRule="atLeast"/>
          <w:jc w:val="center"/>
        </w:trPr>
        <w:tc>
          <w:tcPr>
            <w:tcW w:w="3350" w:type="dxa"/>
            <w:tcBorders>
              <w:top w:val="single" w:color="000000" w:sz="4" w:space="0"/>
              <w:left w:val="single" w:color="000000" w:sz="4" w:space="0"/>
              <w:bottom w:val="single" w:color="000000" w:sz="4" w:space="0"/>
              <w:right w:val="single" w:color="000000" w:sz="4" w:space="0"/>
            </w:tcBorders>
            <w:noWrap/>
            <w:vAlign w:val="center"/>
          </w:tcPr>
          <w:p w14:paraId="511F3C2D">
            <w:r>
              <w:rPr>
                <w:rFonts w:hint="eastAsia"/>
              </w:rPr>
              <w:t>合  计</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7715DA76">
            <w:r>
              <w:rPr>
                <w:rFonts w:hint="eastAsia"/>
              </w:rPr>
              <w:t xml:space="preserve">1,796,450.00 </w:t>
            </w:r>
          </w:p>
        </w:tc>
        <w:tc>
          <w:tcPr>
            <w:tcW w:w="1609" w:type="dxa"/>
            <w:tcBorders>
              <w:top w:val="single" w:color="000000" w:sz="4" w:space="0"/>
              <w:left w:val="single" w:color="000000" w:sz="4" w:space="0"/>
              <w:bottom w:val="single" w:color="000000" w:sz="4" w:space="0"/>
              <w:right w:val="single" w:color="000000" w:sz="4" w:space="0"/>
            </w:tcBorders>
            <w:vAlign w:val="center"/>
          </w:tcPr>
          <w:p w14:paraId="7B784A97">
            <w:r>
              <w:rPr>
                <w:rFonts w:hint="eastAsia"/>
              </w:rPr>
              <w:t>234,730.00</w:t>
            </w:r>
          </w:p>
        </w:tc>
        <w:tc>
          <w:tcPr>
            <w:tcW w:w="1235" w:type="dxa"/>
            <w:tcBorders>
              <w:top w:val="single" w:color="000000" w:sz="4" w:space="0"/>
              <w:left w:val="single" w:color="000000" w:sz="4" w:space="0"/>
              <w:bottom w:val="single" w:color="000000" w:sz="4" w:space="0"/>
              <w:right w:val="single" w:color="000000" w:sz="4" w:space="0"/>
            </w:tcBorders>
            <w:noWrap/>
            <w:vAlign w:val="center"/>
          </w:tcPr>
          <w:p w14:paraId="34D6EE17"/>
        </w:tc>
      </w:tr>
    </w:tbl>
    <w:p w14:paraId="0E25D896">
      <w:pPr>
        <w:ind w:firstLine="420" w:firstLineChars="200"/>
      </w:pPr>
      <w:r>
        <w:rPr>
          <w:rFonts w:hint="eastAsia"/>
        </w:rPr>
        <w:t>表10 各县区（管委会）财政拨付资金情况</w:t>
      </w:r>
    </w:p>
    <w:tbl>
      <w:tblPr>
        <w:tblStyle w:val="18"/>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9"/>
        <w:gridCol w:w="1818"/>
        <w:gridCol w:w="1450"/>
        <w:gridCol w:w="967"/>
        <w:gridCol w:w="1567"/>
        <w:gridCol w:w="1296"/>
      </w:tblGrid>
      <w:tr w14:paraId="7B7C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69" w:type="dxa"/>
            <w:vAlign w:val="center"/>
          </w:tcPr>
          <w:p w14:paraId="0FBBAD3A">
            <w:r>
              <w:rPr>
                <w:rFonts w:hint="eastAsia"/>
              </w:rPr>
              <w:t>县区</w:t>
            </w:r>
          </w:p>
        </w:tc>
        <w:tc>
          <w:tcPr>
            <w:tcW w:w="1029" w:type="dxa"/>
            <w:vAlign w:val="center"/>
          </w:tcPr>
          <w:p w14:paraId="22536B40">
            <w:r>
              <w:rPr>
                <w:rFonts w:hint="eastAsia"/>
              </w:rPr>
              <w:t>财政（管委会）等拨付资金</w:t>
            </w:r>
          </w:p>
        </w:tc>
        <w:tc>
          <w:tcPr>
            <w:tcW w:w="1818" w:type="dxa"/>
            <w:vAlign w:val="center"/>
          </w:tcPr>
          <w:p w14:paraId="1CE48298">
            <w:r>
              <w:rPr>
                <w:rFonts w:hint="eastAsia"/>
              </w:rPr>
              <w:t>核销金额</w:t>
            </w:r>
          </w:p>
        </w:tc>
        <w:tc>
          <w:tcPr>
            <w:tcW w:w="1450" w:type="dxa"/>
            <w:vAlign w:val="center"/>
          </w:tcPr>
          <w:p w14:paraId="3100C836">
            <w:r>
              <w:rPr>
                <w:rFonts w:hint="eastAsia"/>
              </w:rPr>
              <w:t>财政资金剩余</w:t>
            </w:r>
          </w:p>
        </w:tc>
        <w:tc>
          <w:tcPr>
            <w:tcW w:w="967" w:type="dxa"/>
            <w:vAlign w:val="center"/>
          </w:tcPr>
          <w:p w14:paraId="28698493">
            <w:r>
              <w:rPr>
                <w:rFonts w:hint="eastAsia"/>
              </w:rPr>
              <w:t>核销率</w:t>
            </w:r>
          </w:p>
        </w:tc>
        <w:tc>
          <w:tcPr>
            <w:tcW w:w="1567" w:type="dxa"/>
            <w:vAlign w:val="center"/>
          </w:tcPr>
          <w:p w14:paraId="67CF6377">
            <w:r>
              <w:rPr>
                <w:rFonts w:hint="eastAsia"/>
              </w:rPr>
              <w:t>直接拉动消费额</w:t>
            </w:r>
          </w:p>
        </w:tc>
        <w:tc>
          <w:tcPr>
            <w:tcW w:w="1296" w:type="dxa"/>
            <w:vAlign w:val="center"/>
          </w:tcPr>
          <w:p w14:paraId="73ADC21F">
            <w:r>
              <w:rPr>
                <w:rFonts w:hint="eastAsia"/>
              </w:rPr>
              <w:t>杠杠比=直接拉动的消费额/核销金额</w:t>
            </w:r>
          </w:p>
        </w:tc>
      </w:tr>
      <w:tr w14:paraId="35A4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69" w:type="dxa"/>
            <w:vAlign w:val="center"/>
          </w:tcPr>
          <w:p w14:paraId="4628A7C6">
            <w:r>
              <w:rPr>
                <w:rFonts w:hint="eastAsia"/>
              </w:rPr>
              <w:t>仙游县</w:t>
            </w:r>
          </w:p>
        </w:tc>
        <w:tc>
          <w:tcPr>
            <w:tcW w:w="1029" w:type="dxa"/>
            <w:vAlign w:val="center"/>
          </w:tcPr>
          <w:p w14:paraId="795ED63C">
            <w:r>
              <w:rPr>
                <w:rFonts w:hint="eastAsia"/>
              </w:rPr>
              <w:t>10400000</w:t>
            </w:r>
          </w:p>
        </w:tc>
        <w:tc>
          <w:tcPr>
            <w:tcW w:w="1818" w:type="dxa"/>
            <w:vAlign w:val="center"/>
          </w:tcPr>
          <w:p w14:paraId="3B0CBEA8">
            <w:r>
              <w:rPr>
                <w:rFonts w:hint="eastAsia"/>
              </w:rPr>
              <w:t>10,328,804.12</w:t>
            </w:r>
          </w:p>
        </w:tc>
        <w:tc>
          <w:tcPr>
            <w:tcW w:w="1450" w:type="dxa"/>
            <w:vAlign w:val="center"/>
          </w:tcPr>
          <w:p w14:paraId="46D044B0">
            <w:r>
              <w:rPr>
                <w:rFonts w:hint="eastAsia"/>
              </w:rPr>
              <w:t>71195.88</w:t>
            </w:r>
          </w:p>
        </w:tc>
        <w:tc>
          <w:tcPr>
            <w:tcW w:w="967" w:type="dxa"/>
            <w:vAlign w:val="center"/>
          </w:tcPr>
          <w:p w14:paraId="405CF2C0">
            <w:r>
              <w:rPr>
                <w:rFonts w:hint="eastAsia"/>
              </w:rPr>
              <w:t>99.32%</w:t>
            </w:r>
          </w:p>
        </w:tc>
        <w:tc>
          <w:tcPr>
            <w:tcW w:w="1567" w:type="dxa"/>
            <w:vAlign w:val="center"/>
          </w:tcPr>
          <w:p w14:paraId="17D772EA">
            <w:r>
              <w:rPr>
                <w:rFonts w:hint="eastAsia"/>
              </w:rPr>
              <w:t>67,729,534.45</w:t>
            </w:r>
          </w:p>
        </w:tc>
        <w:tc>
          <w:tcPr>
            <w:tcW w:w="1296" w:type="dxa"/>
            <w:vAlign w:val="center"/>
          </w:tcPr>
          <w:p w14:paraId="0C8D57B8">
            <w:r>
              <w:rPr>
                <w:rFonts w:hint="eastAsia"/>
              </w:rPr>
              <w:t>6.56</w:t>
            </w:r>
          </w:p>
        </w:tc>
      </w:tr>
      <w:tr w14:paraId="3264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69" w:type="dxa"/>
            <w:vAlign w:val="center"/>
          </w:tcPr>
          <w:p w14:paraId="23B0C769">
            <w:r>
              <w:rPr>
                <w:rFonts w:hint="eastAsia"/>
              </w:rPr>
              <w:t>荔城区</w:t>
            </w:r>
          </w:p>
        </w:tc>
        <w:tc>
          <w:tcPr>
            <w:tcW w:w="1029" w:type="dxa"/>
            <w:vAlign w:val="center"/>
          </w:tcPr>
          <w:p w14:paraId="3C1DD285">
            <w:r>
              <w:rPr>
                <w:rFonts w:hint="eastAsia"/>
              </w:rPr>
              <w:t>22950000</w:t>
            </w:r>
          </w:p>
        </w:tc>
        <w:tc>
          <w:tcPr>
            <w:tcW w:w="1818" w:type="dxa"/>
            <w:vAlign w:val="center"/>
          </w:tcPr>
          <w:p w14:paraId="41CC96C6">
            <w:r>
              <w:rPr>
                <w:rFonts w:hint="eastAsia"/>
              </w:rPr>
              <w:t>18,593,507.91</w:t>
            </w:r>
          </w:p>
        </w:tc>
        <w:tc>
          <w:tcPr>
            <w:tcW w:w="1450" w:type="dxa"/>
            <w:vAlign w:val="center"/>
          </w:tcPr>
          <w:p w14:paraId="3E491C95">
            <w:r>
              <w:rPr>
                <w:rFonts w:hint="eastAsia"/>
              </w:rPr>
              <w:t>4356492.09</w:t>
            </w:r>
          </w:p>
        </w:tc>
        <w:tc>
          <w:tcPr>
            <w:tcW w:w="967" w:type="dxa"/>
            <w:vAlign w:val="center"/>
          </w:tcPr>
          <w:p w14:paraId="5345D904">
            <w:r>
              <w:rPr>
                <w:rFonts w:hint="eastAsia"/>
              </w:rPr>
              <w:t>81.02%</w:t>
            </w:r>
          </w:p>
        </w:tc>
        <w:tc>
          <w:tcPr>
            <w:tcW w:w="1567" w:type="dxa"/>
            <w:vAlign w:val="center"/>
          </w:tcPr>
          <w:p w14:paraId="577A97A2">
            <w:r>
              <w:rPr>
                <w:rFonts w:hint="eastAsia"/>
              </w:rPr>
              <w:t>394,218,214.78</w:t>
            </w:r>
          </w:p>
        </w:tc>
        <w:tc>
          <w:tcPr>
            <w:tcW w:w="1296" w:type="dxa"/>
            <w:vAlign w:val="center"/>
          </w:tcPr>
          <w:p w14:paraId="0636433B">
            <w:r>
              <w:rPr>
                <w:rFonts w:hint="eastAsia"/>
              </w:rPr>
              <w:t>21.20</w:t>
            </w:r>
          </w:p>
        </w:tc>
      </w:tr>
      <w:tr w14:paraId="42EB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9" w:type="dxa"/>
            <w:vAlign w:val="center"/>
          </w:tcPr>
          <w:p w14:paraId="63F26DA3">
            <w:r>
              <w:rPr>
                <w:rFonts w:hint="eastAsia"/>
              </w:rPr>
              <w:t>城厢区</w:t>
            </w:r>
          </w:p>
        </w:tc>
        <w:tc>
          <w:tcPr>
            <w:tcW w:w="1029" w:type="dxa"/>
            <w:vAlign w:val="center"/>
          </w:tcPr>
          <w:p w14:paraId="2FDE25C4">
            <w:r>
              <w:rPr>
                <w:rFonts w:hint="eastAsia"/>
              </w:rPr>
              <w:t>14700000</w:t>
            </w:r>
          </w:p>
        </w:tc>
        <w:tc>
          <w:tcPr>
            <w:tcW w:w="1818" w:type="dxa"/>
            <w:vAlign w:val="center"/>
          </w:tcPr>
          <w:p w14:paraId="5D4231B0">
            <w:r>
              <w:rPr>
                <w:rFonts w:hint="eastAsia"/>
              </w:rPr>
              <w:t>11,719,615.62</w:t>
            </w:r>
          </w:p>
        </w:tc>
        <w:tc>
          <w:tcPr>
            <w:tcW w:w="1450" w:type="dxa"/>
            <w:vAlign w:val="center"/>
          </w:tcPr>
          <w:p w14:paraId="43FCDD85">
            <w:r>
              <w:rPr>
                <w:rFonts w:hint="eastAsia"/>
              </w:rPr>
              <w:t>2980384.38</w:t>
            </w:r>
          </w:p>
        </w:tc>
        <w:tc>
          <w:tcPr>
            <w:tcW w:w="967" w:type="dxa"/>
            <w:vAlign w:val="center"/>
          </w:tcPr>
          <w:p w14:paraId="3E9471A6">
            <w:r>
              <w:rPr>
                <w:rFonts w:hint="eastAsia"/>
              </w:rPr>
              <w:t>79.73%</w:t>
            </w:r>
          </w:p>
        </w:tc>
        <w:tc>
          <w:tcPr>
            <w:tcW w:w="1567" w:type="dxa"/>
            <w:vAlign w:val="center"/>
          </w:tcPr>
          <w:p w14:paraId="3881F84B">
            <w:r>
              <w:rPr>
                <w:rFonts w:hint="eastAsia"/>
              </w:rPr>
              <w:t>187,905,124.01</w:t>
            </w:r>
          </w:p>
        </w:tc>
        <w:tc>
          <w:tcPr>
            <w:tcW w:w="1296" w:type="dxa"/>
            <w:vAlign w:val="center"/>
          </w:tcPr>
          <w:p w14:paraId="657A892A">
            <w:r>
              <w:rPr>
                <w:rFonts w:hint="eastAsia"/>
              </w:rPr>
              <w:t>16.03</w:t>
            </w:r>
          </w:p>
        </w:tc>
      </w:tr>
      <w:tr w14:paraId="543C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6DD69631">
            <w:r>
              <w:rPr>
                <w:rFonts w:hint="eastAsia"/>
              </w:rPr>
              <w:t>涵江区</w:t>
            </w:r>
          </w:p>
        </w:tc>
        <w:tc>
          <w:tcPr>
            <w:tcW w:w="1029" w:type="dxa"/>
            <w:vAlign w:val="center"/>
          </w:tcPr>
          <w:p w14:paraId="3B92A6EA">
            <w:r>
              <w:rPr>
                <w:rFonts w:hint="eastAsia"/>
              </w:rPr>
              <w:t>7200000</w:t>
            </w:r>
          </w:p>
        </w:tc>
        <w:tc>
          <w:tcPr>
            <w:tcW w:w="1818" w:type="dxa"/>
            <w:vAlign w:val="center"/>
          </w:tcPr>
          <w:p w14:paraId="20774A88">
            <w:r>
              <w:rPr>
                <w:rFonts w:hint="eastAsia"/>
              </w:rPr>
              <w:t>6,158,176.83</w:t>
            </w:r>
          </w:p>
        </w:tc>
        <w:tc>
          <w:tcPr>
            <w:tcW w:w="1450" w:type="dxa"/>
            <w:vAlign w:val="center"/>
          </w:tcPr>
          <w:p w14:paraId="3B221C8E">
            <w:r>
              <w:rPr>
                <w:rFonts w:hint="eastAsia"/>
              </w:rPr>
              <w:t>1041823.17</w:t>
            </w:r>
          </w:p>
        </w:tc>
        <w:tc>
          <w:tcPr>
            <w:tcW w:w="967" w:type="dxa"/>
            <w:vAlign w:val="center"/>
          </w:tcPr>
          <w:p w14:paraId="7B09DD74">
            <w:r>
              <w:rPr>
                <w:rFonts w:hint="eastAsia"/>
              </w:rPr>
              <w:t>85.53%</w:t>
            </w:r>
          </w:p>
        </w:tc>
        <w:tc>
          <w:tcPr>
            <w:tcW w:w="1567" w:type="dxa"/>
            <w:vAlign w:val="center"/>
          </w:tcPr>
          <w:p w14:paraId="34D56E89">
            <w:r>
              <w:rPr>
                <w:rFonts w:hint="eastAsia"/>
              </w:rPr>
              <w:t>125,025,377.09</w:t>
            </w:r>
          </w:p>
        </w:tc>
        <w:tc>
          <w:tcPr>
            <w:tcW w:w="1296" w:type="dxa"/>
            <w:vAlign w:val="center"/>
          </w:tcPr>
          <w:p w14:paraId="7AD830B1">
            <w:r>
              <w:rPr>
                <w:rFonts w:hint="eastAsia"/>
              </w:rPr>
              <w:t>20.30</w:t>
            </w:r>
          </w:p>
        </w:tc>
      </w:tr>
      <w:tr w14:paraId="63BD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69" w:type="dxa"/>
            <w:vAlign w:val="center"/>
          </w:tcPr>
          <w:p w14:paraId="61EB8B24">
            <w:r>
              <w:rPr>
                <w:rFonts w:hint="eastAsia"/>
              </w:rPr>
              <w:t>秀屿区</w:t>
            </w:r>
          </w:p>
        </w:tc>
        <w:tc>
          <w:tcPr>
            <w:tcW w:w="1029" w:type="dxa"/>
            <w:vAlign w:val="center"/>
          </w:tcPr>
          <w:p w14:paraId="748557D9">
            <w:r>
              <w:rPr>
                <w:rFonts w:hint="eastAsia"/>
              </w:rPr>
              <w:t>3800000</w:t>
            </w:r>
          </w:p>
        </w:tc>
        <w:tc>
          <w:tcPr>
            <w:tcW w:w="1818" w:type="dxa"/>
            <w:vAlign w:val="center"/>
          </w:tcPr>
          <w:p w14:paraId="6DAF7176">
            <w:r>
              <w:rPr>
                <w:rFonts w:hint="eastAsia"/>
              </w:rPr>
              <w:t>1,888,464.14</w:t>
            </w:r>
          </w:p>
        </w:tc>
        <w:tc>
          <w:tcPr>
            <w:tcW w:w="1450" w:type="dxa"/>
            <w:vAlign w:val="center"/>
          </w:tcPr>
          <w:p w14:paraId="13EAFAA8">
            <w:r>
              <w:rPr>
                <w:rFonts w:hint="eastAsia"/>
              </w:rPr>
              <w:t>1911535.86</w:t>
            </w:r>
          </w:p>
        </w:tc>
        <w:tc>
          <w:tcPr>
            <w:tcW w:w="967" w:type="dxa"/>
            <w:vAlign w:val="center"/>
          </w:tcPr>
          <w:p w14:paraId="47C41425">
            <w:r>
              <w:rPr>
                <w:rFonts w:hint="eastAsia"/>
              </w:rPr>
              <w:t>49.70%</w:t>
            </w:r>
          </w:p>
        </w:tc>
        <w:tc>
          <w:tcPr>
            <w:tcW w:w="1567" w:type="dxa"/>
            <w:vAlign w:val="center"/>
          </w:tcPr>
          <w:p w14:paraId="07080625">
            <w:r>
              <w:rPr>
                <w:rFonts w:hint="eastAsia"/>
              </w:rPr>
              <w:t>22,932,619.83</w:t>
            </w:r>
          </w:p>
        </w:tc>
        <w:tc>
          <w:tcPr>
            <w:tcW w:w="1296" w:type="dxa"/>
            <w:vAlign w:val="center"/>
          </w:tcPr>
          <w:p w14:paraId="1471CBBB">
            <w:r>
              <w:rPr>
                <w:rFonts w:hint="eastAsia"/>
              </w:rPr>
              <w:t>12.14</w:t>
            </w:r>
          </w:p>
        </w:tc>
      </w:tr>
      <w:tr w14:paraId="2768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69" w:type="dxa"/>
            <w:vAlign w:val="center"/>
          </w:tcPr>
          <w:p w14:paraId="6DAF8E67">
            <w:r>
              <w:rPr>
                <w:rFonts w:hint="eastAsia"/>
              </w:rPr>
              <w:t>湄洲岛</w:t>
            </w:r>
          </w:p>
        </w:tc>
        <w:tc>
          <w:tcPr>
            <w:tcW w:w="1029" w:type="dxa"/>
            <w:vAlign w:val="center"/>
          </w:tcPr>
          <w:p w14:paraId="63AEA5CB">
            <w:r>
              <w:rPr>
                <w:rFonts w:hint="eastAsia"/>
              </w:rPr>
              <w:t>1000000</w:t>
            </w:r>
          </w:p>
        </w:tc>
        <w:tc>
          <w:tcPr>
            <w:tcW w:w="1818" w:type="dxa"/>
            <w:vAlign w:val="center"/>
          </w:tcPr>
          <w:p w14:paraId="15F0758E">
            <w:r>
              <w:rPr>
                <w:rFonts w:hint="eastAsia"/>
              </w:rPr>
              <w:t>234,730</w:t>
            </w:r>
          </w:p>
        </w:tc>
        <w:tc>
          <w:tcPr>
            <w:tcW w:w="1450" w:type="dxa"/>
            <w:vAlign w:val="center"/>
          </w:tcPr>
          <w:p w14:paraId="7396B527">
            <w:r>
              <w:rPr>
                <w:rFonts w:hint="eastAsia"/>
              </w:rPr>
              <w:t>765270</w:t>
            </w:r>
          </w:p>
        </w:tc>
        <w:tc>
          <w:tcPr>
            <w:tcW w:w="967" w:type="dxa"/>
            <w:vAlign w:val="center"/>
          </w:tcPr>
          <w:p w14:paraId="437F9799">
            <w:r>
              <w:rPr>
                <w:rFonts w:hint="eastAsia"/>
              </w:rPr>
              <w:t>23.47%</w:t>
            </w:r>
          </w:p>
        </w:tc>
        <w:tc>
          <w:tcPr>
            <w:tcW w:w="1567" w:type="dxa"/>
            <w:vAlign w:val="center"/>
          </w:tcPr>
          <w:p w14:paraId="0FD4F565">
            <w:r>
              <w:rPr>
                <w:rFonts w:hint="eastAsia"/>
              </w:rPr>
              <w:t>778,902.48</w:t>
            </w:r>
          </w:p>
        </w:tc>
        <w:tc>
          <w:tcPr>
            <w:tcW w:w="1296" w:type="dxa"/>
            <w:vAlign w:val="center"/>
          </w:tcPr>
          <w:p w14:paraId="2CE5DCC3">
            <w:r>
              <w:rPr>
                <w:rFonts w:hint="eastAsia"/>
              </w:rPr>
              <w:t>3.32</w:t>
            </w:r>
          </w:p>
        </w:tc>
      </w:tr>
      <w:tr w14:paraId="6AEA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69" w:type="dxa"/>
            <w:vAlign w:val="center"/>
          </w:tcPr>
          <w:p w14:paraId="791BAFF1">
            <w:r>
              <w:rPr>
                <w:rFonts w:hint="eastAsia"/>
              </w:rPr>
              <w:t>北岸</w:t>
            </w:r>
          </w:p>
        </w:tc>
        <w:tc>
          <w:tcPr>
            <w:tcW w:w="1029" w:type="dxa"/>
            <w:vAlign w:val="center"/>
          </w:tcPr>
          <w:p w14:paraId="04D23254">
            <w:r>
              <w:rPr>
                <w:rFonts w:hint="eastAsia"/>
              </w:rPr>
              <w:t>500000</w:t>
            </w:r>
          </w:p>
        </w:tc>
        <w:tc>
          <w:tcPr>
            <w:tcW w:w="1818" w:type="dxa"/>
            <w:vAlign w:val="center"/>
          </w:tcPr>
          <w:p w14:paraId="107166DF">
            <w:r>
              <w:rPr>
                <w:rFonts w:hint="eastAsia"/>
              </w:rPr>
              <w:t>499,307.68</w:t>
            </w:r>
          </w:p>
        </w:tc>
        <w:tc>
          <w:tcPr>
            <w:tcW w:w="1450" w:type="dxa"/>
            <w:vAlign w:val="center"/>
          </w:tcPr>
          <w:p w14:paraId="10CF63A7">
            <w:r>
              <w:rPr>
                <w:rFonts w:hint="eastAsia"/>
              </w:rPr>
              <w:t>692.32</w:t>
            </w:r>
          </w:p>
        </w:tc>
        <w:tc>
          <w:tcPr>
            <w:tcW w:w="967" w:type="dxa"/>
            <w:vAlign w:val="center"/>
          </w:tcPr>
          <w:p w14:paraId="1986CAF7">
            <w:r>
              <w:rPr>
                <w:rFonts w:hint="eastAsia"/>
              </w:rPr>
              <w:t>99.86%</w:t>
            </w:r>
          </w:p>
        </w:tc>
        <w:tc>
          <w:tcPr>
            <w:tcW w:w="1567" w:type="dxa"/>
            <w:vAlign w:val="center"/>
          </w:tcPr>
          <w:p w14:paraId="50ABC053">
            <w:r>
              <w:rPr>
                <w:rFonts w:hint="eastAsia"/>
              </w:rPr>
              <w:t>2,318,700.43</w:t>
            </w:r>
          </w:p>
        </w:tc>
        <w:tc>
          <w:tcPr>
            <w:tcW w:w="1296" w:type="dxa"/>
            <w:vAlign w:val="center"/>
          </w:tcPr>
          <w:p w14:paraId="359D37DC">
            <w:r>
              <w:rPr>
                <w:rFonts w:hint="eastAsia"/>
              </w:rPr>
              <w:t>4.64</w:t>
            </w:r>
          </w:p>
        </w:tc>
      </w:tr>
      <w:tr w14:paraId="4C5B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69" w:type="dxa"/>
            <w:vAlign w:val="center"/>
          </w:tcPr>
          <w:p w14:paraId="36C2607C">
            <w:r>
              <w:rPr>
                <w:rFonts w:hint="eastAsia"/>
              </w:rPr>
              <w:t>莆田市商务局</w:t>
            </w:r>
          </w:p>
        </w:tc>
        <w:tc>
          <w:tcPr>
            <w:tcW w:w="1029" w:type="dxa"/>
            <w:vAlign w:val="center"/>
          </w:tcPr>
          <w:p w14:paraId="7A31804D">
            <w:r>
              <w:rPr>
                <w:rFonts w:hint="eastAsia"/>
              </w:rPr>
              <w:t>5000000</w:t>
            </w:r>
          </w:p>
        </w:tc>
        <w:tc>
          <w:tcPr>
            <w:tcW w:w="1818" w:type="dxa"/>
            <w:vAlign w:val="center"/>
          </w:tcPr>
          <w:p w14:paraId="5050AA66">
            <w:r>
              <w:rPr>
                <w:rFonts w:hint="eastAsia"/>
              </w:rPr>
              <w:t>2,915,792.50</w:t>
            </w:r>
          </w:p>
        </w:tc>
        <w:tc>
          <w:tcPr>
            <w:tcW w:w="1450" w:type="dxa"/>
            <w:vAlign w:val="center"/>
          </w:tcPr>
          <w:p w14:paraId="304C4DE8">
            <w:r>
              <w:rPr>
                <w:rFonts w:hint="eastAsia"/>
              </w:rPr>
              <w:t>2084207.5</w:t>
            </w:r>
          </w:p>
        </w:tc>
        <w:tc>
          <w:tcPr>
            <w:tcW w:w="967" w:type="dxa"/>
            <w:vAlign w:val="center"/>
          </w:tcPr>
          <w:p w14:paraId="05ABF088">
            <w:r>
              <w:rPr>
                <w:rFonts w:hint="eastAsia"/>
              </w:rPr>
              <w:t>58.32%</w:t>
            </w:r>
          </w:p>
        </w:tc>
        <w:tc>
          <w:tcPr>
            <w:tcW w:w="1567" w:type="dxa"/>
            <w:vAlign w:val="center"/>
          </w:tcPr>
          <w:p w14:paraId="6996820E">
            <w:r>
              <w:rPr>
                <w:rFonts w:hint="eastAsia"/>
              </w:rPr>
              <w:t>10,160,599.81</w:t>
            </w:r>
          </w:p>
        </w:tc>
        <w:tc>
          <w:tcPr>
            <w:tcW w:w="1296" w:type="dxa"/>
            <w:vAlign w:val="center"/>
          </w:tcPr>
          <w:p w14:paraId="318F5F5D">
            <w:r>
              <w:rPr>
                <w:rFonts w:hint="eastAsia"/>
              </w:rPr>
              <w:t>3.48</w:t>
            </w:r>
          </w:p>
        </w:tc>
      </w:tr>
      <w:tr w14:paraId="1DF6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9" w:type="dxa"/>
            <w:vAlign w:val="center"/>
          </w:tcPr>
          <w:p w14:paraId="77A8250A">
            <w:r>
              <w:rPr>
                <w:rFonts w:hint="eastAsia"/>
              </w:rPr>
              <w:t>合计</w:t>
            </w:r>
          </w:p>
        </w:tc>
        <w:tc>
          <w:tcPr>
            <w:tcW w:w="1029" w:type="dxa"/>
            <w:vAlign w:val="center"/>
          </w:tcPr>
          <w:p w14:paraId="203E5490">
            <w:r>
              <w:rPr>
                <w:rFonts w:hint="eastAsia"/>
              </w:rPr>
              <w:t>65550000</w:t>
            </w:r>
          </w:p>
        </w:tc>
        <w:tc>
          <w:tcPr>
            <w:tcW w:w="1818" w:type="dxa"/>
            <w:vAlign w:val="center"/>
          </w:tcPr>
          <w:p w14:paraId="3A65C0A5">
            <w:r>
              <w:rPr>
                <w:rFonts w:hint="eastAsia"/>
              </w:rPr>
              <w:t>52338398.8</w:t>
            </w:r>
          </w:p>
        </w:tc>
        <w:tc>
          <w:tcPr>
            <w:tcW w:w="1450" w:type="dxa"/>
            <w:vAlign w:val="center"/>
          </w:tcPr>
          <w:p w14:paraId="79875F5F">
            <w:r>
              <w:rPr>
                <w:rFonts w:hint="eastAsia"/>
              </w:rPr>
              <w:t>13211601.2</w:t>
            </w:r>
          </w:p>
        </w:tc>
        <w:tc>
          <w:tcPr>
            <w:tcW w:w="967" w:type="dxa"/>
            <w:vAlign w:val="center"/>
          </w:tcPr>
          <w:p w14:paraId="6645A821">
            <w:r>
              <w:rPr>
                <w:rFonts w:hint="eastAsia"/>
              </w:rPr>
              <w:t>79.85%</w:t>
            </w:r>
          </w:p>
        </w:tc>
        <w:tc>
          <w:tcPr>
            <w:tcW w:w="1567" w:type="dxa"/>
            <w:vAlign w:val="center"/>
          </w:tcPr>
          <w:p w14:paraId="6054EB24">
            <w:r>
              <w:rPr>
                <w:rFonts w:hint="eastAsia"/>
              </w:rPr>
              <w:t>811069072.9</w:t>
            </w:r>
          </w:p>
        </w:tc>
        <w:tc>
          <w:tcPr>
            <w:tcW w:w="1296" w:type="dxa"/>
            <w:vAlign w:val="center"/>
          </w:tcPr>
          <w:p w14:paraId="5144F81A">
            <w:r>
              <w:rPr>
                <w:rFonts w:hint="eastAsia"/>
              </w:rPr>
              <w:t>15.50</w:t>
            </w:r>
          </w:p>
        </w:tc>
      </w:tr>
    </w:tbl>
    <w:p w14:paraId="1FFFD6EF">
      <w:pPr>
        <w:ind w:firstLine="420" w:firstLineChars="200"/>
      </w:pPr>
    </w:p>
    <w:p w14:paraId="33EF3C8A">
      <w:pPr>
        <w:ind w:firstLine="420" w:firstLineChars="200"/>
      </w:pPr>
      <w:bookmarkStart w:id="227" w:name="_Toc25991"/>
      <w:r>
        <w:rPr>
          <w:rFonts w:hint="eastAsia"/>
        </w:rPr>
        <w:t>图1 各县区及市商务局资金使用效率</w:t>
      </w:r>
      <w:bookmarkStart w:id="228" w:name="_Toc3124"/>
      <w:bookmarkStart w:id="229" w:name="_Toc14502"/>
      <w:bookmarkStart w:id="230" w:name="_Toc32344"/>
    </w:p>
    <w:p w14:paraId="3704D12B">
      <w:pPr>
        <w:ind w:firstLine="420" w:firstLineChars="200"/>
      </w:pPr>
    </w:p>
    <w:p w14:paraId="6AF56478">
      <w:pPr>
        <w:ind w:firstLine="420" w:firstLineChars="200"/>
      </w:pPr>
      <w:bookmarkStart w:id="231" w:name="_Toc22017"/>
      <w:r>
        <w:rPr>
          <w:rFonts w:hint="eastAsia"/>
        </w:rPr>
        <w:drawing>
          <wp:anchor distT="0" distB="0" distL="114300" distR="114300" simplePos="0" relativeHeight="251666432" behindDoc="0" locked="0" layoutInCell="1" allowOverlap="1">
            <wp:simplePos x="0" y="0"/>
            <wp:positionH relativeFrom="column">
              <wp:posOffset>417195</wp:posOffset>
            </wp:positionH>
            <wp:positionV relativeFrom="paragraph">
              <wp:posOffset>114935</wp:posOffset>
            </wp:positionV>
            <wp:extent cx="4966970" cy="2972435"/>
            <wp:effectExtent l="0" t="0" r="1270" b="1460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8"/>
                    <a:stretch>
                      <a:fillRect/>
                    </a:stretch>
                  </pic:blipFill>
                  <pic:spPr>
                    <a:xfrm>
                      <a:off x="0" y="0"/>
                      <a:ext cx="4966970" cy="2972435"/>
                    </a:xfrm>
                    <a:prstGeom prst="rect">
                      <a:avLst/>
                    </a:prstGeom>
                    <a:noFill/>
                    <a:ln>
                      <a:noFill/>
                    </a:ln>
                  </pic:spPr>
                </pic:pic>
              </a:graphicData>
            </a:graphic>
          </wp:anchor>
        </w:drawing>
      </w:r>
      <w:bookmarkEnd w:id="231"/>
    </w:p>
    <w:p w14:paraId="53917BA8">
      <w:pPr>
        <w:ind w:firstLine="420" w:firstLineChars="200"/>
      </w:pPr>
    </w:p>
    <w:p w14:paraId="1E248547">
      <w:pPr>
        <w:ind w:firstLine="420" w:firstLineChars="200"/>
      </w:pPr>
    </w:p>
    <w:p w14:paraId="784886ED">
      <w:pPr>
        <w:ind w:firstLine="420" w:firstLineChars="200"/>
      </w:pPr>
    </w:p>
    <w:p w14:paraId="06786DFE">
      <w:pPr>
        <w:ind w:firstLine="420" w:firstLineChars="200"/>
      </w:pPr>
    </w:p>
    <w:p w14:paraId="7A80FCE9">
      <w:pPr>
        <w:ind w:firstLine="420" w:firstLineChars="200"/>
      </w:pPr>
    </w:p>
    <w:p w14:paraId="6D2D1ACE">
      <w:pPr>
        <w:ind w:firstLine="420" w:firstLineChars="200"/>
      </w:pPr>
    </w:p>
    <w:p w14:paraId="2AAA64D5">
      <w:pPr>
        <w:ind w:firstLine="420" w:firstLineChars="200"/>
      </w:pPr>
    </w:p>
    <w:p w14:paraId="26150FA9">
      <w:pPr>
        <w:ind w:firstLine="420" w:firstLineChars="200"/>
      </w:pPr>
    </w:p>
    <w:p w14:paraId="5B091EE4">
      <w:pPr>
        <w:ind w:firstLine="420" w:firstLineChars="200"/>
      </w:pPr>
    </w:p>
    <w:p w14:paraId="08E5FAD1">
      <w:pPr>
        <w:ind w:firstLine="420" w:firstLineChars="200"/>
      </w:pPr>
    </w:p>
    <w:p w14:paraId="679B5850">
      <w:pPr>
        <w:ind w:firstLine="420" w:firstLineChars="200"/>
      </w:pPr>
    </w:p>
    <w:p w14:paraId="3AE03F2A">
      <w:pPr>
        <w:ind w:firstLine="420" w:firstLineChars="200"/>
      </w:pPr>
    </w:p>
    <w:p w14:paraId="11DB6AF0">
      <w:pPr>
        <w:ind w:firstLine="420" w:firstLineChars="200"/>
      </w:pPr>
    </w:p>
    <w:p w14:paraId="08C6A70A">
      <w:pPr>
        <w:ind w:firstLine="420" w:firstLineChars="200"/>
      </w:pPr>
    </w:p>
    <w:p w14:paraId="4191A23B">
      <w:pPr>
        <w:ind w:firstLine="420" w:firstLineChars="200"/>
      </w:pPr>
    </w:p>
    <w:p w14:paraId="7A7F87E7">
      <w:pPr>
        <w:ind w:firstLine="420" w:firstLineChars="200"/>
      </w:pPr>
    </w:p>
    <w:p w14:paraId="0B7E325B">
      <w:pPr>
        <w:ind w:firstLine="420" w:firstLineChars="200"/>
      </w:pPr>
    </w:p>
    <w:p w14:paraId="0052D67E">
      <w:pPr>
        <w:ind w:firstLine="420" w:firstLineChars="200"/>
      </w:pPr>
      <w:r>
        <w:rPr>
          <w:rFonts w:hint="eastAsia"/>
        </w:rPr>
        <w:t>图2 各县区市商务局的核销率</w:t>
      </w:r>
      <w:bookmarkEnd w:id="228"/>
      <w:bookmarkEnd w:id="229"/>
    </w:p>
    <w:p w14:paraId="6545594C">
      <w:pPr>
        <w:ind w:firstLine="420" w:firstLineChars="200"/>
      </w:pPr>
      <w:bookmarkStart w:id="232" w:name="_Toc24201"/>
      <w:r>
        <w:rPr>
          <w:rFonts w:hint="eastAsia"/>
        </w:rPr>
        <w:drawing>
          <wp:anchor distT="0" distB="0" distL="114300" distR="114300" simplePos="0" relativeHeight="251665408" behindDoc="0" locked="0" layoutInCell="1" allowOverlap="1">
            <wp:simplePos x="0" y="0"/>
            <wp:positionH relativeFrom="column">
              <wp:posOffset>306705</wp:posOffset>
            </wp:positionH>
            <wp:positionV relativeFrom="paragraph">
              <wp:posOffset>153670</wp:posOffset>
            </wp:positionV>
            <wp:extent cx="4953000" cy="3176905"/>
            <wp:effectExtent l="0" t="0" r="0" b="8255"/>
            <wp:wrapNone/>
            <wp:docPr id="7" name="图片 7" descr="1626268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26268493(1)"/>
                    <pic:cNvPicPr>
                      <a:picLocks noChangeAspect="1"/>
                    </pic:cNvPicPr>
                  </pic:nvPicPr>
                  <pic:blipFill>
                    <a:blip r:embed="rId19"/>
                    <a:stretch>
                      <a:fillRect/>
                    </a:stretch>
                  </pic:blipFill>
                  <pic:spPr>
                    <a:xfrm>
                      <a:off x="0" y="0"/>
                      <a:ext cx="4953000" cy="3176905"/>
                    </a:xfrm>
                    <a:prstGeom prst="rect">
                      <a:avLst/>
                    </a:prstGeom>
                  </pic:spPr>
                </pic:pic>
              </a:graphicData>
            </a:graphic>
          </wp:anchor>
        </w:drawing>
      </w:r>
      <w:bookmarkEnd w:id="232"/>
    </w:p>
    <w:p w14:paraId="3D42E483">
      <w:pPr>
        <w:ind w:firstLine="420" w:firstLineChars="200"/>
      </w:pPr>
    </w:p>
    <w:p w14:paraId="1D3F3D6F">
      <w:pPr>
        <w:ind w:firstLine="420" w:firstLineChars="200"/>
      </w:pPr>
    </w:p>
    <w:p w14:paraId="192AD581">
      <w:pPr>
        <w:ind w:firstLine="420" w:firstLineChars="200"/>
      </w:pPr>
    </w:p>
    <w:p w14:paraId="3E53A180">
      <w:pPr>
        <w:ind w:firstLine="420" w:firstLineChars="200"/>
      </w:pPr>
    </w:p>
    <w:p w14:paraId="34C99F15">
      <w:pPr>
        <w:ind w:firstLine="420" w:firstLineChars="200"/>
      </w:pPr>
    </w:p>
    <w:p w14:paraId="1FE6B812">
      <w:pPr>
        <w:ind w:firstLine="420" w:firstLineChars="200"/>
      </w:pPr>
    </w:p>
    <w:p w14:paraId="5C9EFB63">
      <w:pPr>
        <w:ind w:firstLine="420" w:firstLineChars="200"/>
      </w:pPr>
    </w:p>
    <w:p w14:paraId="4175C1DD">
      <w:pPr>
        <w:ind w:firstLine="420" w:firstLineChars="200"/>
      </w:pPr>
    </w:p>
    <w:p w14:paraId="52DE67E9">
      <w:pPr>
        <w:ind w:firstLine="420" w:firstLineChars="200"/>
      </w:pPr>
    </w:p>
    <w:p w14:paraId="5A304A32">
      <w:pPr>
        <w:ind w:firstLine="420" w:firstLineChars="200"/>
      </w:pPr>
    </w:p>
    <w:p w14:paraId="07D70876">
      <w:pPr>
        <w:ind w:firstLine="420" w:firstLineChars="200"/>
      </w:pPr>
    </w:p>
    <w:p w14:paraId="28D44F94">
      <w:pPr>
        <w:ind w:firstLine="420" w:firstLineChars="200"/>
      </w:pPr>
    </w:p>
    <w:p w14:paraId="4FDFAA0B">
      <w:pPr>
        <w:ind w:firstLine="420" w:firstLineChars="200"/>
      </w:pPr>
    </w:p>
    <w:p w14:paraId="7A8AB7D6">
      <w:pPr>
        <w:ind w:firstLine="420" w:firstLineChars="200"/>
      </w:pPr>
    </w:p>
    <w:p w14:paraId="6E248737">
      <w:pPr>
        <w:ind w:firstLine="420" w:firstLineChars="200"/>
      </w:pPr>
    </w:p>
    <w:p w14:paraId="49F0AAC2">
      <w:pPr>
        <w:ind w:firstLine="420" w:firstLineChars="200"/>
      </w:pPr>
    </w:p>
    <w:p w14:paraId="15F40198">
      <w:pPr>
        <w:ind w:firstLine="420" w:firstLineChars="200"/>
      </w:pPr>
    </w:p>
    <w:p w14:paraId="1C27DD1B">
      <w:pPr>
        <w:ind w:firstLine="420" w:firstLineChars="200"/>
      </w:pPr>
      <w:bookmarkStart w:id="233" w:name="_Toc24035"/>
      <w:bookmarkStart w:id="234" w:name="_Toc25503"/>
      <w:r>
        <w:rPr>
          <w:rFonts w:hint="eastAsia"/>
        </w:rPr>
        <w:t>（五）项目建设目标</w:t>
      </w:r>
      <w:bookmarkEnd w:id="230"/>
      <w:bookmarkEnd w:id="233"/>
      <w:bookmarkEnd w:id="234"/>
    </w:p>
    <w:p w14:paraId="1EE71E00">
      <w:pPr>
        <w:ind w:firstLine="420" w:firstLineChars="200"/>
      </w:pPr>
      <w:bookmarkStart w:id="235" w:name="_Toc5845"/>
      <w:bookmarkStart w:id="236" w:name="_Toc26463"/>
      <w:r>
        <w:rPr>
          <w:rFonts w:hint="eastAsia"/>
        </w:rPr>
        <w:t>年社会消费品零售总额同比增长6%，以“全闽乐购”促消费线上线下融合为主题，通过激发市内外消费者参与消费热潮，加快消费回补和潜力释放，力争增速高于全省平均水平1个百分点。</w:t>
      </w:r>
      <w:bookmarkEnd w:id="235"/>
      <w:bookmarkEnd w:id="236"/>
      <w:bookmarkStart w:id="237" w:name="_Toc25474"/>
      <w:bookmarkStart w:id="238" w:name="_Toc19838"/>
    </w:p>
    <w:p w14:paraId="48ED3921">
      <w:pPr>
        <w:ind w:firstLine="420" w:firstLineChars="200"/>
        <w:outlineLvl w:val="0"/>
      </w:pPr>
      <w:bookmarkStart w:id="239" w:name="_Toc18305"/>
      <w:r>
        <w:rPr>
          <w:rFonts w:hint="eastAsia"/>
        </w:rPr>
        <w:t>二、绩效评价工作情况</w:t>
      </w:r>
      <w:bookmarkEnd w:id="227"/>
      <w:bookmarkEnd w:id="237"/>
      <w:bookmarkEnd w:id="238"/>
      <w:bookmarkEnd w:id="239"/>
    </w:p>
    <w:p w14:paraId="0A6928CD">
      <w:pPr>
        <w:ind w:firstLine="420" w:firstLineChars="200"/>
      </w:pPr>
      <w:bookmarkStart w:id="240" w:name="_Toc15444"/>
      <w:bookmarkStart w:id="241" w:name="_Toc22726"/>
      <w:bookmarkStart w:id="242" w:name="_Toc663"/>
      <w:r>
        <w:rPr>
          <w:rFonts w:hint="eastAsia"/>
        </w:rPr>
        <w:t>（一）绩效评价目的</w:t>
      </w:r>
      <w:bookmarkEnd w:id="240"/>
      <w:bookmarkEnd w:id="241"/>
      <w:bookmarkEnd w:id="242"/>
    </w:p>
    <w:p w14:paraId="7EF7AEB8">
      <w:pPr>
        <w:ind w:firstLine="420" w:firstLineChars="200"/>
      </w:pPr>
      <w:r>
        <w:rPr>
          <w:rFonts w:hint="eastAsia"/>
        </w:rPr>
        <w:t>1.了解“全闽乐购”促消费项目的实施情况和管理情况。</w:t>
      </w:r>
    </w:p>
    <w:p w14:paraId="2A3CB3F9">
      <w:pPr>
        <w:ind w:firstLine="420" w:firstLineChars="200"/>
      </w:pPr>
      <w:r>
        <w:rPr>
          <w:rFonts w:hint="eastAsia"/>
        </w:rPr>
        <w:t>2.了解莆田市“全闽乐购”促消费资金的使用情况。</w:t>
      </w:r>
    </w:p>
    <w:p w14:paraId="06676950">
      <w:pPr>
        <w:ind w:firstLine="420" w:firstLineChars="200"/>
      </w:pPr>
      <w:r>
        <w:rPr>
          <w:rFonts w:hint="eastAsia"/>
        </w:rPr>
        <w:t>3.找出项目实施过程及资金管理存在的问题，为项目提出可行性建议。</w:t>
      </w:r>
    </w:p>
    <w:p w14:paraId="3FA8B429">
      <w:pPr>
        <w:ind w:firstLine="420" w:firstLineChars="200"/>
      </w:pPr>
      <w:r>
        <w:rPr>
          <w:rFonts w:hint="eastAsia"/>
        </w:rPr>
        <w:t>4.全面推进项目预算绩效管理，促进财政资金发挥最大效益。</w:t>
      </w:r>
    </w:p>
    <w:p w14:paraId="0D18E43A">
      <w:pPr>
        <w:ind w:firstLine="420" w:firstLineChars="200"/>
      </w:pPr>
      <w:bookmarkStart w:id="243" w:name="_Toc23066"/>
      <w:bookmarkStart w:id="244" w:name="_Toc14916"/>
      <w:bookmarkStart w:id="245" w:name="_Toc24994"/>
      <w:bookmarkStart w:id="246" w:name="_Toc10466"/>
      <w:r>
        <w:rPr>
          <w:rFonts w:hint="eastAsia"/>
        </w:rPr>
        <w:t>（二）绩效评价的依据</w:t>
      </w:r>
      <w:bookmarkEnd w:id="243"/>
      <w:bookmarkEnd w:id="244"/>
      <w:bookmarkEnd w:id="245"/>
      <w:bookmarkEnd w:id="246"/>
    </w:p>
    <w:p w14:paraId="187502D2">
      <w:pPr>
        <w:ind w:firstLine="420" w:firstLineChars="200"/>
      </w:pPr>
      <w:r>
        <w:rPr>
          <w:rFonts w:hint="eastAsia"/>
        </w:rPr>
        <w:t>1.《中华人民共和国预算法》。</w:t>
      </w:r>
    </w:p>
    <w:p w14:paraId="35CED9FF">
      <w:pPr>
        <w:ind w:firstLine="420" w:firstLineChars="200"/>
      </w:pPr>
      <w:r>
        <w:rPr>
          <w:rFonts w:hint="eastAsia"/>
        </w:rPr>
        <w:t>2.财政部《财政支出绩效评价管理暂行办法》（财预[2011]285号）。</w:t>
      </w:r>
    </w:p>
    <w:p w14:paraId="4AD06AF5">
      <w:pPr>
        <w:ind w:firstLine="420" w:firstLineChars="200"/>
      </w:pPr>
      <w:r>
        <w:rPr>
          <w:rFonts w:hint="eastAsia"/>
        </w:rPr>
        <w:t>3.《福建省财政厅关于印发财政支出绩效评价管理办法》（闽财绩[2015]4号）。</w:t>
      </w:r>
    </w:p>
    <w:p w14:paraId="7F21787A">
      <w:pPr>
        <w:ind w:firstLine="420" w:firstLineChars="200"/>
      </w:pPr>
      <w:r>
        <w:rPr>
          <w:rFonts w:hint="eastAsia"/>
        </w:rPr>
        <w:t>4.《福建省财政厅关于加强和改进绩效管理有关工作的通知》（闽财绩[2017]4号）。</w:t>
      </w:r>
    </w:p>
    <w:p w14:paraId="6AEF5BF5">
      <w:pPr>
        <w:ind w:firstLine="420" w:firstLineChars="200"/>
      </w:pPr>
      <w:r>
        <w:rPr>
          <w:rFonts w:hint="eastAsia"/>
        </w:rPr>
        <w:t>5.《关于财政资金绩效管理覆盖率考核事项的通知》（闽财绩[2018]1号）。</w:t>
      </w:r>
    </w:p>
    <w:p w14:paraId="1D365F09">
      <w:pPr>
        <w:ind w:firstLine="420" w:firstLineChars="200"/>
      </w:pPr>
      <w:r>
        <w:rPr>
          <w:rFonts w:hint="eastAsia"/>
        </w:rPr>
        <w:t>6.《福建省省级财政专项资金管理办法》（福建省人民政府令第131号）。</w:t>
      </w:r>
    </w:p>
    <w:p w14:paraId="1E93EAE3">
      <w:pPr>
        <w:ind w:firstLine="420" w:firstLineChars="200"/>
      </w:pPr>
      <w:r>
        <w:rPr>
          <w:rFonts w:hint="eastAsia"/>
        </w:rPr>
        <w:t>7.《莆田市市级财政专项资金管理办法》（莆财预[2017]159号）。</w:t>
      </w:r>
    </w:p>
    <w:p w14:paraId="28C80FDF">
      <w:pPr>
        <w:ind w:firstLine="420" w:firstLineChars="200"/>
      </w:pPr>
      <w:r>
        <w:rPr>
          <w:rFonts w:hint="eastAsia"/>
        </w:rPr>
        <w:t>8.《莆田市应对新型冠状病毒感染肺炎疫情工作指挥部综合协调组关于印发“全闽乐购”莆田市促消费十大活动方案的通知》（莆疫防指综[2020]11号）。</w:t>
      </w:r>
    </w:p>
    <w:p w14:paraId="64F1C901">
      <w:pPr>
        <w:ind w:firstLine="420" w:firstLineChars="200"/>
      </w:pPr>
      <w:r>
        <w:rPr>
          <w:rFonts w:hint="eastAsia"/>
        </w:rPr>
        <w:t>9.《福建省商务厅福建省财政厅关于进一步落实促销费行动方案工作的通知》（闽商务[2020]174号）。</w:t>
      </w:r>
    </w:p>
    <w:p w14:paraId="699120DD">
      <w:pPr>
        <w:ind w:firstLine="420" w:firstLineChars="200"/>
      </w:pPr>
      <w:r>
        <w:rPr>
          <w:rFonts w:hint="eastAsia"/>
        </w:rPr>
        <w:t>10.莆田市财政局莆田市商务局《关于预下达“全闽乐购”促消费省市财政正向激励资金的通知》（莆财外[2020]59号）。</w:t>
      </w:r>
    </w:p>
    <w:p w14:paraId="77BA87AB">
      <w:pPr>
        <w:ind w:firstLine="420" w:firstLineChars="200"/>
      </w:pPr>
      <w:r>
        <w:rPr>
          <w:rFonts w:hint="eastAsia"/>
        </w:rPr>
        <w:t>11.《关于下达“全闽乐购”第二批、第三批促消费省级财政正向激励资金的通知》（莆财外[2021]12号）。</w:t>
      </w:r>
    </w:p>
    <w:p w14:paraId="54A83771">
      <w:pPr>
        <w:ind w:firstLine="420" w:firstLineChars="200"/>
      </w:pPr>
      <w:bookmarkStart w:id="247" w:name="_Toc9292"/>
      <w:bookmarkStart w:id="248" w:name="_Toc10181"/>
      <w:bookmarkStart w:id="249" w:name="_Toc23561"/>
      <w:r>
        <w:rPr>
          <w:rFonts w:hint="eastAsia"/>
        </w:rPr>
        <w:t>（三）绩效评价原则</w:t>
      </w:r>
      <w:bookmarkEnd w:id="247"/>
      <w:bookmarkEnd w:id="248"/>
      <w:bookmarkEnd w:id="249"/>
    </w:p>
    <w:p w14:paraId="610DE452">
      <w:pPr>
        <w:ind w:firstLine="420" w:firstLineChars="200"/>
      </w:pPr>
      <w:r>
        <w:rPr>
          <w:rFonts w:hint="eastAsia"/>
        </w:rPr>
        <w:t>1.科学规范原则。绩效评价注重财政支出的经济性、效率性和有效性，严格执行规定的程序。</w:t>
      </w:r>
    </w:p>
    <w:p w14:paraId="74BF25E7">
      <w:pPr>
        <w:ind w:firstLine="420" w:firstLineChars="200"/>
      </w:pPr>
      <w:r>
        <w:rPr>
          <w:rFonts w:hint="eastAsia"/>
        </w:rPr>
        <w:t>2.公正公开原则。绩效评价客观、公正；标准统一、资料可靠。</w:t>
      </w:r>
    </w:p>
    <w:p w14:paraId="06C7BE4F">
      <w:pPr>
        <w:ind w:firstLine="420" w:firstLineChars="200"/>
      </w:pPr>
      <w:r>
        <w:rPr>
          <w:rFonts w:hint="eastAsia"/>
        </w:rPr>
        <w:t>3.分级分类原则。绩效评价根据评价对象的特点组织实施。</w:t>
      </w:r>
    </w:p>
    <w:p w14:paraId="0A41C059">
      <w:pPr>
        <w:ind w:firstLine="420" w:firstLineChars="200"/>
      </w:pPr>
      <w:r>
        <w:rPr>
          <w:rFonts w:hint="eastAsia"/>
        </w:rPr>
        <w:t>4.绩效相关原则。绩效评价针对具体支出及其产出绩效进行，评价结果反映支出和产出绩效之间的紧密对应关系。</w:t>
      </w:r>
    </w:p>
    <w:p w14:paraId="541BE93E">
      <w:pPr>
        <w:ind w:firstLine="420" w:firstLineChars="200"/>
      </w:pPr>
      <w:bookmarkStart w:id="250" w:name="_Toc5462"/>
      <w:bookmarkStart w:id="251" w:name="_Toc29443"/>
      <w:bookmarkStart w:id="252" w:name="_Toc275"/>
      <w:r>
        <w:rPr>
          <w:rFonts w:hint="eastAsia"/>
        </w:rPr>
        <w:t>（四）绩效评价方法说明</w:t>
      </w:r>
      <w:bookmarkEnd w:id="250"/>
      <w:bookmarkEnd w:id="251"/>
      <w:bookmarkEnd w:id="252"/>
    </w:p>
    <w:p w14:paraId="5F52E55B">
      <w:pPr>
        <w:ind w:firstLine="420" w:firstLineChars="200"/>
      </w:pPr>
      <w:r>
        <w:rPr>
          <w:rFonts w:hint="eastAsia"/>
        </w:rPr>
        <w:t>本次绩效评价采用访谈法、问卷调查法、统计方法，定性与定量相结合的方法。</w:t>
      </w:r>
    </w:p>
    <w:p w14:paraId="2A5C6368">
      <w:pPr>
        <w:ind w:firstLine="420" w:firstLineChars="200"/>
      </w:pPr>
      <w:bookmarkStart w:id="253" w:name="_Toc3925"/>
      <w:bookmarkStart w:id="254" w:name="_Toc30570"/>
      <w:bookmarkStart w:id="255" w:name="_Toc7080"/>
      <w:r>
        <w:rPr>
          <w:rFonts w:hint="eastAsia"/>
        </w:rPr>
        <w:t>（五）评价过程</w:t>
      </w:r>
      <w:bookmarkEnd w:id="253"/>
      <w:bookmarkEnd w:id="254"/>
      <w:bookmarkEnd w:id="255"/>
    </w:p>
    <w:p w14:paraId="1066281C">
      <w:pPr>
        <w:ind w:firstLine="420" w:firstLineChars="200"/>
      </w:pPr>
      <w:r>
        <w:rPr>
          <w:rFonts w:hint="eastAsia"/>
        </w:rPr>
        <w:t>1.成立绩效评价工作小组。接受委托后，成立了绩效评价工作小组。</w:t>
      </w:r>
    </w:p>
    <w:p w14:paraId="52FABD37">
      <w:pPr>
        <w:ind w:firstLine="420" w:firstLineChars="200"/>
      </w:pPr>
      <w:r>
        <w:rPr>
          <w:rFonts w:hint="eastAsia"/>
        </w:rPr>
        <w:t>2.收集相关资料，熟悉掌握相关信息。在前期准备中，评价小组从莆田市财政局收集了政策依据、专项资金管理办法、项目申报和评审办法、指标文件等，并从有关部门、互联网等途径获取相关资料信息，熟悉并了解专项资金的性质和绩效目标。</w:t>
      </w:r>
    </w:p>
    <w:p w14:paraId="0B057B29">
      <w:pPr>
        <w:ind w:firstLine="420" w:firstLineChars="200"/>
      </w:pPr>
      <w:r>
        <w:rPr>
          <w:rFonts w:hint="eastAsia"/>
        </w:rPr>
        <w:t>3.开发绩效评价框架。确定绩效目标，明确绩效指标后，根据专项资金的项目特点进行分析，设计专项资金的基础数据表，根据基础数据要能反映或计算出评价指标的原则，确定要取得那些数据。编制好绩效评价指标及打分表、基础数据表。</w:t>
      </w:r>
    </w:p>
    <w:p w14:paraId="38740643">
      <w:pPr>
        <w:ind w:firstLine="420" w:firstLineChars="200"/>
      </w:pPr>
      <w:r>
        <w:rPr>
          <w:rFonts w:hint="eastAsia"/>
        </w:rPr>
        <w:t>4.对各指标进行整理分类、筛选和优化。评价小组针对关键评价问题，首先根据其内容收集和采集所需资料，并对此进行分类整理，选取绩效评价指标；然后按各指标的内在因果、隶属等逻辑关系进行分解，对各指标进行整理分类、筛选和优化，消除了各指标间的重复、交叉、矛盾等现象。</w:t>
      </w:r>
    </w:p>
    <w:p w14:paraId="679803BD">
      <w:pPr>
        <w:ind w:firstLine="420" w:firstLineChars="200"/>
      </w:pPr>
      <w:r>
        <w:rPr>
          <w:rFonts w:hint="eastAsia"/>
        </w:rPr>
        <w:t>5.与主管单位沟通，对框架达成共识。评价小组认真听取主管单位的意见和建议，对框架进行了修订，最终达成了共识。制定实施方案，合理分解安排任务。</w:t>
      </w:r>
    </w:p>
    <w:p w14:paraId="1E7E0A4F">
      <w:pPr>
        <w:ind w:firstLine="420" w:firstLineChars="200"/>
      </w:pPr>
      <w:r>
        <w:rPr>
          <w:rFonts w:hint="eastAsia"/>
        </w:rPr>
        <w:t>6、设计问卷调查与访问对象。框架设计完成后，根据资金特点和指标内容设计了“问卷调查”。根据问题，提出了面访对象，面访对象包括项目实施单位工作人员、项目地域公众代表。</w:t>
      </w:r>
    </w:p>
    <w:p w14:paraId="3C7A2F42">
      <w:pPr>
        <w:ind w:firstLine="420" w:firstLineChars="200"/>
      </w:pPr>
      <w:r>
        <w:rPr>
          <w:rFonts w:hint="eastAsia"/>
        </w:rPr>
        <w:t>7.绩效评价实施过程。评价设计过程阶段结束后，评价小组随即进入评价实施过程：召开对接会→下发绩效评价工作方案和基础数据表→收集自评报告及基础数据表→提前通知现场评价对象→按计划现场评价及取证→编制现场评价工作底稿→实地调研、发放问卷调查→整理资料汇总数据→撰写绩效评价报告。</w:t>
      </w:r>
    </w:p>
    <w:p w14:paraId="077C85D2">
      <w:pPr>
        <w:ind w:firstLine="420" w:firstLineChars="200"/>
      </w:pPr>
      <w:r>
        <w:rPr>
          <w:rFonts w:hint="eastAsia"/>
        </w:rPr>
        <w:t>8.绩效评价的客观性。检查专项项目及使用的资金到达实施单位，具有真实性。能充分反映专项资金带来的社会、经济、生态、持续发展等方面的影响。因此，本次绩效评价指标中的项目完成率指标所进行的分析、评分较为准确客观。</w:t>
      </w:r>
    </w:p>
    <w:p w14:paraId="7D8527A0">
      <w:pPr>
        <w:ind w:firstLine="420" w:firstLineChars="200"/>
        <w:outlineLvl w:val="0"/>
      </w:pPr>
      <w:bookmarkStart w:id="256" w:name="_Toc7038"/>
      <w:bookmarkStart w:id="257" w:name="_Toc31801"/>
      <w:bookmarkStart w:id="258" w:name="_Toc27248"/>
      <w:bookmarkStart w:id="259" w:name="_Toc8189"/>
      <w:r>
        <w:rPr>
          <w:rFonts w:hint="eastAsia"/>
        </w:rPr>
        <w:t>三、绩效评价评分结果与分析</w:t>
      </w:r>
      <w:bookmarkEnd w:id="256"/>
      <w:bookmarkEnd w:id="257"/>
      <w:bookmarkEnd w:id="258"/>
      <w:bookmarkEnd w:id="259"/>
    </w:p>
    <w:p w14:paraId="6B9B21FA">
      <w:pPr>
        <w:ind w:firstLine="420" w:firstLineChars="200"/>
      </w:pPr>
      <w:r>
        <w:rPr>
          <w:rFonts w:hint="eastAsia"/>
        </w:rPr>
        <w:t>本次评价共设3个一级指标、10个二级指标、27个三级指标。</w:t>
      </w:r>
    </w:p>
    <w:p w14:paraId="61BE226E">
      <w:pPr>
        <w:ind w:firstLine="420" w:firstLineChars="200"/>
      </w:pPr>
      <w:bookmarkStart w:id="260" w:name="_Toc10026"/>
      <w:bookmarkStart w:id="261" w:name="_Toc31561"/>
      <w:bookmarkStart w:id="262" w:name="_Toc2632"/>
      <w:r>
        <w:rPr>
          <w:rFonts w:hint="eastAsia"/>
        </w:rPr>
        <w:t>（一）项目决策（满分10分，得9分）</w:t>
      </w:r>
      <w:bookmarkEnd w:id="260"/>
      <w:bookmarkEnd w:id="261"/>
      <w:bookmarkEnd w:id="262"/>
    </w:p>
    <w:p w14:paraId="0D3AEE9B">
      <w:pPr>
        <w:ind w:firstLine="420" w:firstLineChars="200"/>
      </w:pPr>
      <w:r>
        <w:rPr>
          <w:rFonts w:hint="eastAsia"/>
        </w:rPr>
        <w:t>1.项目立项的规范性（满分3分，得3分）</w:t>
      </w:r>
      <w:r>
        <w:rPr>
          <w:rFonts w:hint="eastAsia"/>
        </w:rPr>
        <w:tab/>
      </w:r>
    </w:p>
    <w:p w14:paraId="731CAA11">
      <w:pPr>
        <w:ind w:firstLine="420" w:firstLineChars="200"/>
      </w:pPr>
      <w:r>
        <w:rPr>
          <w:rFonts w:hint="eastAsia"/>
        </w:rPr>
        <w:t>莆田市“全闽乐购”促销费项目是依据《福建省应对新型冠状病毒感染肺炎疫情工作领导小组综合协调组关于印发&lt;福建省促进消费行动方案的通知&gt;》闽应对疫情领到小组综[2020]136号、《福建省应对新型冠状病毒感染肺炎疫情工作领导小组关于做好消费促进工作的通知》闽商务明电[2020]11号、《福建省商务厅关于组织开展2020年“全闽乐购”促消费系列活动的通知》（闽商务便函[2020]400号）、《福建省商务厅福建省财政厅关于进一步落实促销费行动方案工作的通知》（闽商务[2020]174号）、《莆田市应对新型冠状病毒感染肺炎疫情工作指挥部综合协调组关于印发“全闽乐购”莆田市促消费十大活动方案的通知》（莆疫防指综[2020]11号）等立项。项目按照规定的程序设立；所提交的文件、材料符合相关要求；项目属于公共财政支持范围，符合中央、地方事权支出责任划分原则。此项得3分。</w:t>
      </w:r>
    </w:p>
    <w:p w14:paraId="4880DA7A">
      <w:pPr>
        <w:ind w:firstLine="420" w:firstLineChars="200"/>
      </w:pPr>
      <w:r>
        <w:rPr>
          <w:rFonts w:hint="eastAsia"/>
        </w:rPr>
        <w:t>2.绩效目标的合理性（满分3分，得3分）</w:t>
      </w:r>
    </w:p>
    <w:p w14:paraId="52E8CBFB">
      <w:pPr>
        <w:ind w:firstLine="420" w:firstLineChars="200"/>
      </w:pPr>
      <w:r>
        <w:rPr>
          <w:rFonts w:hint="eastAsia"/>
        </w:rPr>
        <w:t>从专项资金绩效目标申报表看，项目符合国家相关法律法规、国民经济发展规划和党委政府决策；与项目实施单位或委托单位职责密切相关；项目为促进事业发展所必需。该项得3分。</w:t>
      </w:r>
    </w:p>
    <w:p w14:paraId="35CF5E3A">
      <w:pPr>
        <w:ind w:firstLine="420" w:firstLineChars="200"/>
      </w:pPr>
      <w:r>
        <w:rPr>
          <w:rFonts w:hint="eastAsia"/>
        </w:rPr>
        <w:t>3.绩效指标的明确性（满分4分，得3分）</w:t>
      </w:r>
    </w:p>
    <w:p w14:paraId="0880E819">
      <w:pPr>
        <w:ind w:firstLine="420" w:firstLineChars="200"/>
      </w:pPr>
      <w:r>
        <w:rPr>
          <w:rFonts w:hint="eastAsia"/>
        </w:rPr>
        <w:t>从业务部门提供的专项资金绩效目标申报表及自评表看，项目绩效目标有细化分解为绩效指标；指标可以通过清晰、可衡量的指标值予以体现；与预算确定的项目投资额或资金量相匹配；但指标的设置未能体现县区具体的任务要求；扣1分，得3分。</w:t>
      </w:r>
      <w:bookmarkStart w:id="263" w:name="_Toc12796"/>
      <w:bookmarkStart w:id="264" w:name="_Toc32225"/>
    </w:p>
    <w:p w14:paraId="0BCADDBB">
      <w:pPr>
        <w:ind w:firstLine="420" w:firstLineChars="200"/>
      </w:pPr>
      <w:r>
        <w:rPr>
          <w:rFonts w:hint="eastAsia"/>
        </w:rPr>
        <w:t>（二）项目管理（满分22分，得20.5分）</w:t>
      </w:r>
      <w:bookmarkEnd w:id="263"/>
      <w:bookmarkEnd w:id="264"/>
    </w:p>
    <w:p w14:paraId="0C5FF07A">
      <w:pPr>
        <w:ind w:firstLine="420" w:firstLineChars="200"/>
      </w:pPr>
      <w:r>
        <w:rPr>
          <w:rFonts w:hint="eastAsia"/>
        </w:rPr>
        <w:t>1.投入管理（满分3分，得3分）</w:t>
      </w:r>
    </w:p>
    <w:p w14:paraId="4B5F9BDB">
      <w:pPr>
        <w:ind w:firstLine="420" w:firstLineChars="200"/>
      </w:pPr>
      <w:r>
        <w:rPr>
          <w:rFonts w:hint="eastAsia"/>
        </w:rPr>
        <w:t>（1）预算执行率（满分3分，得3分）</w:t>
      </w:r>
    </w:p>
    <w:p w14:paraId="47013729">
      <w:pPr>
        <w:ind w:firstLine="420" w:firstLineChars="200"/>
      </w:pPr>
      <w:r>
        <w:rPr>
          <w:rFonts w:hint="eastAsia"/>
        </w:rPr>
        <w:t>根据莆田市财政局、莆田市商务局《关于预下达“全闽乐购”促消费省市财政正向激励资金的通知》（莆财外[2020]59号），执行率=1500万/1500万*100%=100%，所以此项得分＝预算执行率*权重分值=1*3=3分。</w:t>
      </w:r>
    </w:p>
    <w:p w14:paraId="4A6DE427">
      <w:pPr>
        <w:ind w:firstLine="420" w:firstLineChars="200"/>
      </w:pPr>
      <w:r>
        <w:rPr>
          <w:rFonts w:hint="eastAsia"/>
        </w:rPr>
        <w:t>2.财务管理（满分7分，得5.5分）</w:t>
      </w:r>
    </w:p>
    <w:p w14:paraId="611F03C6">
      <w:pPr>
        <w:ind w:firstLine="420" w:firstLineChars="200"/>
      </w:pPr>
      <w:r>
        <w:rPr>
          <w:rFonts w:hint="eastAsia"/>
        </w:rPr>
        <w:t>（1）资金使用合规性(满分4分，得4分)</w:t>
      </w:r>
    </w:p>
    <w:p w14:paraId="5F1892CB">
      <w:pPr>
        <w:ind w:firstLine="420" w:firstLineChars="200"/>
      </w:pPr>
      <w:r>
        <w:rPr>
          <w:rFonts w:hint="eastAsia"/>
        </w:rPr>
        <w:t>根据第三方提供的审计报告看，资金使用符合国家财经法规和财务管理制度以及有关专项资金管理办法的规定；资金的拨付有完整的审批程序和手续；资金的使用符合项目预算批复等文件规定的用途；资金使用过程未存在未用财政拨款未及时返还财政或脱离监管等情况。得4分。</w:t>
      </w:r>
    </w:p>
    <w:p w14:paraId="7CA4B893">
      <w:pPr>
        <w:ind w:firstLine="420" w:firstLineChars="200"/>
      </w:pPr>
      <w:r>
        <w:rPr>
          <w:rFonts w:hint="eastAsia"/>
        </w:rPr>
        <w:t>（2）财务管理制度健全性（满分3分，得1.5分）</w:t>
      </w:r>
    </w:p>
    <w:p w14:paraId="652C6F72">
      <w:pPr>
        <w:ind w:firstLine="420" w:firstLineChars="200"/>
      </w:pPr>
      <w:r>
        <w:rPr>
          <w:rFonts w:hint="eastAsia"/>
        </w:rPr>
        <w:t>该项目有设置项目资金管理办法；项目资金管理办法符合相关财务会计制度的规定，但办法中对市级资金拨付环节未做规定，故此项扣1.5分得1.5分。</w:t>
      </w:r>
    </w:p>
    <w:p w14:paraId="558A21CC">
      <w:pPr>
        <w:ind w:firstLine="420" w:firstLineChars="200"/>
      </w:pPr>
      <w:r>
        <w:rPr>
          <w:rFonts w:hint="eastAsia"/>
        </w:rPr>
        <w:t>3.项目实施（满分12分 ，得12分）</w:t>
      </w:r>
    </w:p>
    <w:p w14:paraId="712368A7">
      <w:pPr>
        <w:ind w:firstLine="420" w:firstLineChars="200"/>
      </w:pPr>
      <w:r>
        <w:rPr>
          <w:rFonts w:hint="eastAsia"/>
        </w:rPr>
        <w:t>（1）业务管理制度的健全性（满分3分，得3分）</w:t>
      </w:r>
    </w:p>
    <w:p w14:paraId="47BCC69D">
      <w:pPr>
        <w:ind w:firstLine="420" w:firstLineChars="200"/>
      </w:pPr>
      <w:r>
        <w:rPr>
          <w:rFonts w:hint="eastAsia"/>
        </w:rPr>
        <w:t>从《莆田市应对新型冠状病毒感染肺炎疫情工作指挥部综合协调组关于印发“全闽乐购”莆田市促消费十大活动方案的通知》（莆疫防指综[2020]11号）看项目具有相应的业务管理制度；业务管理制度合法合规完整。此项得3分。</w:t>
      </w:r>
    </w:p>
    <w:p w14:paraId="608FEE6D">
      <w:pPr>
        <w:ind w:firstLine="420" w:firstLineChars="200"/>
      </w:pPr>
      <w:r>
        <w:rPr>
          <w:rFonts w:hint="eastAsia"/>
        </w:rPr>
        <w:t>（2）制度执行的有效性（满分3分，得3分）</w:t>
      </w:r>
    </w:p>
    <w:p w14:paraId="195E3010">
      <w:pPr>
        <w:ind w:firstLine="420" w:firstLineChars="200"/>
      </w:pPr>
      <w:r>
        <w:rPr>
          <w:rFonts w:hint="eastAsia"/>
        </w:rPr>
        <w:t>根据7县区提供的资料开看，县区在进行促销活动前都有对各场促销活动拟定方案并及时将资金拨付给银联保证促销活动的按时进行。项目实施符合相关业务管理规定；有按规定细化项目制定具体实施方案；任务在规定期限内完成。所以此项得3分。</w:t>
      </w:r>
    </w:p>
    <w:p w14:paraId="1A849F4D">
      <w:pPr>
        <w:ind w:firstLine="420" w:firstLineChars="200"/>
      </w:pPr>
      <w:r>
        <w:rPr>
          <w:rFonts w:hint="eastAsia"/>
        </w:rPr>
        <w:t>（3）第三方审计单位介入过程合规性（满分3分，得3分）</w:t>
      </w:r>
    </w:p>
    <w:p w14:paraId="34D398FE">
      <w:pPr>
        <w:ind w:firstLine="420" w:firstLineChars="200"/>
      </w:pPr>
      <w:r>
        <w:rPr>
          <w:rFonts w:hint="eastAsia"/>
        </w:rPr>
        <w:t>根据厦门好企聚会计师事务所有限公司提供的审计报告看，单位介入按照相关规定进行。此项得3分。</w:t>
      </w:r>
    </w:p>
    <w:p w14:paraId="63918D76">
      <w:pPr>
        <w:ind w:firstLine="420" w:firstLineChars="200"/>
      </w:pPr>
      <w:r>
        <w:rPr>
          <w:rFonts w:hint="eastAsia"/>
        </w:rPr>
        <w:t>（4）项目质量可控性（满分3分，得3分）</w:t>
      </w:r>
    </w:p>
    <w:p w14:paraId="05CAF11D">
      <w:pPr>
        <w:ind w:firstLine="420" w:firstLineChars="200"/>
      </w:pPr>
      <w:r>
        <w:rPr>
          <w:rFonts w:hint="eastAsia"/>
        </w:rPr>
        <w:t>主管部门委托第三方审计机构通过银联云闪付核查项目的开展情况。此项得3分。</w:t>
      </w:r>
    </w:p>
    <w:p w14:paraId="4CE30A0D">
      <w:pPr>
        <w:ind w:firstLine="420" w:firstLineChars="200"/>
      </w:pPr>
      <w:bookmarkStart w:id="265" w:name="_Toc13516"/>
      <w:bookmarkStart w:id="266" w:name="_Toc5406"/>
      <w:bookmarkStart w:id="267" w:name="_Toc7854"/>
      <w:r>
        <w:rPr>
          <w:rFonts w:hint="eastAsia"/>
        </w:rPr>
        <w:t>（三）项目绩效（满分68分，得58.69分）</w:t>
      </w:r>
      <w:bookmarkEnd w:id="265"/>
      <w:bookmarkEnd w:id="266"/>
      <w:bookmarkEnd w:id="267"/>
    </w:p>
    <w:p w14:paraId="7F35B4B6">
      <w:pPr>
        <w:ind w:firstLine="420" w:firstLineChars="200"/>
      </w:pPr>
      <w:r>
        <w:rPr>
          <w:rFonts w:hint="eastAsia"/>
        </w:rPr>
        <w:t>1.产出时效（满分4分，得4分）</w:t>
      </w:r>
    </w:p>
    <w:p w14:paraId="2AD9BBB8">
      <w:pPr>
        <w:ind w:firstLine="420" w:firstLineChars="200"/>
      </w:pPr>
      <w:r>
        <w:rPr>
          <w:rFonts w:hint="eastAsia"/>
        </w:rPr>
        <w:t>（1）促销任务完成及时性（满分4分，得4分）</w:t>
      </w:r>
    </w:p>
    <w:p w14:paraId="53F74554">
      <w:pPr>
        <w:ind w:firstLine="420" w:firstLineChars="200"/>
      </w:pPr>
      <w:r>
        <w:rPr>
          <w:rFonts w:hint="eastAsia"/>
        </w:rPr>
        <w:t>根据主管部门及县区提供的资料开看，主管部门有在《“全闽乐购”莆田市促销费十大行动方案》规定的时间内完成促消费任务，此项得4分。</w:t>
      </w:r>
    </w:p>
    <w:p w14:paraId="2ED960CC">
      <w:pPr>
        <w:ind w:firstLine="420" w:firstLineChars="200"/>
      </w:pPr>
      <w:r>
        <w:rPr>
          <w:rFonts w:hint="eastAsia"/>
        </w:rPr>
        <w:t>2.产出数量（满分20分，得18.3分）</w:t>
      </w:r>
    </w:p>
    <w:p w14:paraId="700F92D7">
      <w:pPr>
        <w:ind w:firstLine="420" w:firstLineChars="200"/>
      </w:pPr>
      <w:r>
        <w:rPr>
          <w:rFonts w:hint="eastAsia"/>
        </w:rPr>
        <w:t>（1）促销场次完成率（满分4分，得4分）</w:t>
      </w:r>
    </w:p>
    <w:p w14:paraId="224C45F2">
      <w:pPr>
        <w:ind w:firstLine="420" w:firstLineChars="200"/>
      </w:pPr>
      <w:r>
        <w:rPr>
          <w:rFonts w:hint="eastAsia"/>
        </w:rPr>
        <w:t>依据7县区及莆田市商务局提供的资料看，此次开展促消费活动达到118场，超额完成《“全闽乐购”莆田市促销费十大行动方案》里要求的线下100场促销费任务。完成率=118/100*100%=118%。得分=min[118%,1]*4=1*4=4。</w:t>
      </w:r>
    </w:p>
    <w:p w14:paraId="263D3332">
      <w:pPr>
        <w:ind w:firstLine="420" w:firstLineChars="200"/>
      </w:pPr>
      <w:r>
        <w:rPr>
          <w:rFonts w:hint="eastAsia"/>
        </w:rPr>
        <w:t>（2）直播场次完成率（满分4分，得4分）</w:t>
      </w:r>
    </w:p>
    <w:p w14:paraId="61F4BA5D">
      <w:pPr>
        <w:ind w:firstLine="420" w:firstLineChars="200"/>
      </w:pPr>
      <w:r>
        <w:rPr>
          <w:rFonts w:hint="eastAsia"/>
        </w:rPr>
        <w:t>依据7县区及莆田市商务局提供的资料看，此次开展线上直播促销费1165场，超过《“全闽乐购”莆田市促销费十大行动方案》里要求的在规定的时间内开展的1000场线上直播促销费任务。完成率=1165/1000*100%=117%。得分=min[117%,1]*4=1*4=4。</w:t>
      </w:r>
    </w:p>
    <w:p w14:paraId="72EAD152">
      <w:pPr>
        <w:ind w:firstLine="420" w:firstLineChars="200"/>
      </w:pPr>
      <w:r>
        <w:rPr>
          <w:rFonts w:hint="eastAsia"/>
        </w:rPr>
        <w:t>（3）参与活动的商户数（满分4分，得4分）</w:t>
      </w:r>
    </w:p>
    <w:p w14:paraId="6D084167">
      <w:pPr>
        <w:ind w:firstLine="420" w:firstLineChars="200"/>
      </w:pPr>
      <w:r>
        <w:rPr>
          <w:rFonts w:hint="eastAsia"/>
        </w:rPr>
        <w:t>依据7县区及莆田市商务局提供的资料看，此次参与活动的商户有10443家，超过《“全闽乐购”莆田市促销费十大行动方案》里要求的10000家，所以此项得4分。</w:t>
      </w:r>
    </w:p>
    <w:p w14:paraId="438D9321">
      <w:pPr>
        <w:ind w:firstLine="420" w:firstLineChars="200"/>
      </w:pPr>
      <w:r>
        <w:rPr>
          <w:rFonts w:hint="eastAsia"/>
        </w:rPr>
        <w:t>（4）享受资金补助的商户占比（满分4分，得4分）</w:t>
      </w:r>
    </w:p>
    <w:p w14:paraId="59C535D3">
      <w:pPr>
        <w:ind w:firstLine="420" w:firstLineChars="200"/>
      </w:pPr>
      <w:r>
        <w:rPr>
          <w:rFonts w:hint="eastAsia"/>
        </w:rPr>
        <w:t>此次活动中享受到资金补助的商户为10443家，参与此次活动的总商户数为10443家。享受资金补助的商户占比=10443/10443=1。得分=享受资金补助的商户占比*权重分值=1*4=4。</w:t>
      </w:r>
    </w:p>
    <w:p w14:paraId="504CDA18">
      <w:pPr>
        <w:ind w:firstLine="420" w:firstLineChars="200"/>
      </w:pPr>
      <w:r>
        <w:rPr>
          <w:rFonts w:hint="eastAsia"/>
        </w:rPr>
        <w:t>（5）消费券发放率（满分4分，得2.3分）</w:t>
      </w:r>
    </w:p>
    <w:p w14:paraId="1808F1D2">
      <w:pPr>
        <w:ind w:firstLine="420" w:firstLineChars="200"/>
      </w:pPr>
      <w:r>
        <w:rPr>
          <w:rFonts w:hint="eastAsia"/>
        </w:rPr>
        <w:t>此项用来评价主管部门的促销力度。依据《“全闽乐购”莆田市促销费十大行动方案》里的方案，消费券的发放定为1.35亿。而第一阶段活动配置的金额为77,764,308，消费券发放率=已发放的消费券总额/原计划要发放的消费券总额=77,764,308/135000000*100%=57.6%。得分=发放率*权重分值=57.6%*4=2.3分。</w:t>
      </w:r>
    </w:p>
    <w:p w14:paraId="2ECD3FDA">
      <w:pPr>
        <w:ind w:firstLine="420" w:firstLineChars="200"/>
      </w:pPr>
      <w:r>
        <w:rPr>
          <w:rFonts w:hint="eastAsia"/>
        </w:rPr>
        <w:t>3.产出质量（满分16分，得11.76分）</w:t>
      </w:r>
    </w:p>
    <w:p w14:paraId="1781BBEF">
      <w:pPr>
        <w:ind w:firstLine="420" w:firstLineChars="200"/>
      </w:pPr>
      <w:r>
        <w:rPr>
          <w:rFonts w:hint="eastAsia"/>
        </w:rPr>
        <w:t>（1）县区目标完成率（满分4分，得0.57分）</w:t>
      </w:r>
    </w:p>
    <w:p w14:paraId="7CB2918F">
      <w:pPr>
        <w:ind w:firstLine="420" w:firstLineChars="200"/>
      </w:pPr>
      <w:r>
        <w:rPr>
          <w:rFonts w:hint="eastAsia"/>
        </w:rPr>
        <w:t>此项用来评价县区是否按原计划完成主管部门下达的任务。依据7县区及莆田市商务局提供的资料看，仅荔城区完成上级主管部门下达的全部任务，其他6个县区都个别任务未完成。区县目标完成率=1/7*100%=14.29%。得分=完成率*权重分值=14.29%*4=0.57分。</w:t>
      </w:r>
    </w:p>
    <w:p w14:paraId="2B4F36A5">
      <w:pPr>
        <w:ind w:firstLine="420" w:firstLineChars="200"/>
      </w:pPr>
      <w:r>
        <w:rPr>
          <w:rFonts w:hint="eastAsia"/>
        </w:rPr>
        <w:t>（2）消费券的有效使用率（满分4分，得4分）</w:t>
      </w:r>
    </w:p>
    <w:p w14:paraId="34C569ED">
      <w:pPr>
        <w:ind w:firstLine="420" w:firstLineChars="200"/>
      </w:pPr>
      <w:r>
        <w:rPr>
          <w:rFonts w:hint="eastAsia"/>
        </w:rPr>
        <w:t>此项用来评价消费者领完消费券后的消费情况。依据厦门好企聚会计师事务所有限公司提供的审计报告及银联后台数据统计，核销金额为52338398.8元，消费券的累计领取金额为52338712元，有效使用率=52338398.8/52338712*100%</w:t>
      </w:r>
    </w:p>
    <w:p w14:paraId="7C3BBB7E">
      <w:pPr>
        <w:ind w:firstLine="420" w:firstLineChars="200"/>
      </w:pPr>
      <w:r>
        <w:rPr>
          <w:rFonts w:hint="eastAsia"/>
        </w:rPr>
        <w:t>=99.99%&gt;99%,此项得4分。</w:t>
      </w:r>
    </w:p>
    <w:p w14:paraId="479BD643">
      <w:pPr>
        <w:ind w:firstLine="420" w:firstLineChars="200"/>
      </w:pPr>
      <w:r>
        <w:rPr>
          <w:rFonts w:hint="eastAsia"/>
        </w:rPr>
        <w:t>（3）核销率（满分4分，得3.19分）</w:t>
      </w:r>
    </w:p>
    <w:p w14:paraId="3CDD4A41">
      <w:pPr>
        <w:ind w:firstLine="420" w:firstLineChars="200"/>
      </w:pPr>
      <w:r>
        <w:rPr>
          <w:rFonts w:hint="eastAsia"/>
        </w:rPr>
        <w:t>此项用来评价促销费资金的使用情况。依据厦门好企聚会计师事务所有限公司提供的审计报告及银联后台数据统计核销金额为52338398.8元，财政配置的资金为65,550,000元。核销率=52338398.8/65,550,000*100%=79.85%,得分=79.85%*4=3.19分。</w:t>
      </w:r>
    </w:p>
    <w:p w14:paraId="6CF046F1">
      <w:pPr>
        <w:ind w:firstLine="420" w:firstLineChars="200"/>
      </w:pPr>
      <w:r>
        <w:rPr>
          <w:rFonts w:hint="eastAsia"/>
        </w:rPr>
        <w:t>（4）活动效用（满分4分，得4分）</w:t>
      </w:r>
    </w:p>
    <w:p w14:paraId="5866FD31">
      <w:pPr>
        <w:ind w:firstLine="420" w:firstLineChars="200"/>
      </w:pPr>
      <w:r>
        <w:rPr>
          <w:rFonts w:hint="eastAsia"/>
        </w:rPr>
        <w:t>此项用来评价促销费活动直接拉动消费的情况。活动效用=直接拉动的消费总额/累计核销金额*100%。活动效用≥5得满分，每小1个单位扣1分，扣完为止。</w:t>
      </w:r>
    </w:p>
    <w:p w14:paraId="084D9C21">
      <w:pPr>
        <w:ind w:firstLine="420" w:firstLineChars="200"/>
      </w:pPr>
      <w:r>
        <w:rPr>
          <w:rFonts w:hint="eastAsia"/>
        </w:rPr>
        <w:t>依据厦门好企聚会计师事务所有限公司提供的审计报告及银联后台数据统计，直接带动消费总金额为811069072.88元，而核销金额为52338398.80元，活动效用=811069072.88/52338398.8=15.49&gt;5,所以此项得4分。</w:t>
      </w:r>
    </w:p>
    <w:p w14:paraId="4789C260">
      <w:pPr>
        <w:ind w:firstLine="420" w:firstLineChars="200"/>
      </w:pPr>
      <w:r>
        <w:rPr>
          <w:rFonts w:hint="eastAsia"/>
        </w:rPr>
        <w:t>4.产出效益（满分16分，得13.44分）</w:t>
      </w:r>
    </w:p>
    <w:p w14:paraId="0251679A">
      <w:pPr>
        <w:ind w:firstLine="420" w:firstLineChars="200"/>
      </w:pPr>
      <w:r>
        <w:rPr>
          <w:rFonts w:hint="eastAsia"/>
        </w:rPr>
        <w:t>（1）限上社会消费品零售额增加值（满分4分，得4分）</w:t>
      </w:r>
    </w:p>
    <w:p w14:paraId="2EFD4287">
      <w:pPr>
        <w:ind w:firstLine="420" w:firstLineChars="200"/>
      </w:pPr>
      <w:r>
        <w:rPr>
          <w:rFonts w:hint="eastAsia"/>
        </w:rPr>
        <w:t>此项用来评价开展“全闽乐购”促销费活动以后，2020.9.1至2021年3月31日期间，限上消费品零售总额的增加值。</w:t>
      </w:r>
    </w:p>
    <w:p w14:paraId="621D3381">
      <w:pPr>
        <w:ind w:firstLine="420" w:firstLineChars="200"/>
      </w:pPr>
      <w:r>
        <w:rPr>
          <w:rFonts w:hint="eastAsia"/>
        </w:rPr>
        <w:t>因为这个项目的统计阶段从2020.9-2021.3，所以这里选择2019.9-2020.3，2018.9-2019.3，2017.9-2018.3，2016.9-2017.3这四年的限上社会消费品零售额计算限上社会消费品零售额增加值的平均值为基数来判断。数据均来自莆田市人民政府官网的统计数据，从相关统计数据统计出2016.9-2020.3同期的限上社会消费品零售额年均增加值为37.31亿元，而2020.9-2021.3相比于2019.9-2020.3的限上社会消费品零售额增加值为38.21亿元，所以此项为4分。</w:t>
      </w:r>
    </w:p>
    <w:p w14:paraId="5511E4F7">
      <w:pPr>
        <w:ind w:firstLine="420" w:firstLineChars="200"/>
      </w:pPr>
      <w:r>
        <w:rPr>
          <w:rFonts w:hint="eastAsia"/>
        </w:rPr>
        <w:t>（2）限下社会消费品零售额增加值（满分4分，得4分）</w:t>
      </w:r>
    </w:p>
    <w:p w14:paraId="4B90AF6B">
      <w:pPr>
        <w:ind w:firstLine="420" w:firstLineChars="200"/>
      </w:pPr>
      <w:r>
        <w:rPr>
          <w:rFonts w:hint="eastAsia"/>
        </w:rPr>
        <w:t>此项用来评价开展“全闽乐购”促销费活动以后，2020.9.1至2021年3月31日期间，限下消费品零售总额的增加值。</w:t>
      </w:r>
    </w:p>
    <w:p w14:paraId="3816ACDB">
      <w:pPr>
        <w:ind w:firstLine="420" w:firstLineChars="200"/>
      </w:pPr>
      <w:r>
        <w:rPr>
          <w:rFonts w:hint="eastAsia"/>
        </w:rPr>
        <w:t>因为这个项目的统计阶段从2020.9-2021.3，所以这里选择与2019.9-2020.3的数据进行对比，从莆田市政府的网站上的数据统计出2019.9-2020.3的限下社会消费品零售额为393.32亿元，而2020.9-2021.3的限下社会消费品零售额为715.64亿元，增加额为322.32亿元，大于250亿。所以此项为4分。</w:t>
      </w:r>
    </w:p>
    <w:p w14:paraId="257B5752">
      <w:pPr>
        <w:ind w:firstLine="420" w:firstLineChars="200"/>
      </w:pPr>
      <w:r>
        <w:rPr>
          <w:rFonts w:hint="eastAsia"/>
        </w:rPr>
        <w:t>（3）认为促销费活动有助于提振其应对疫情信心的企业比率（满分4分，得4分）</w:t>
      </w:r>
    </w:p>
    <w:p w14:paraId="6FB99354">
      <w:pPr>
        <w:ind w:firstLine="420" w:firstLineChars="200"/>
      </w:pPr>
      <w:r>
        <w:rPr>
          <w:rFonts w:hint="eastAsia"/>
        </w:rPr>
        <w:t>此项用来评价促销费活动能否提振企业应对疫情信心，比率大于95%得满分，每低5%扣1分，扣完为止。</w:t>
      </w:r>
    </w:p>
    <w:p w14:paraId="73CB050E">
      <w:pPr>
        <w:ind w:firstLine="420" w:firstLineChars="200"/>
      </w:pPr>
      <w:r>
        <w:rPr>
          <w:rFonts w:hint="eastAsia"/>
        </w:rPr>
        <w:t>本次收取188份的有效问卷，问卷中认为促消费政策有助于提振其应对疫情信心的企业数量为186个，比率=186/188*100%=98.93%&gt;95%,所以此项得4分。</w:t>
      </w:r>
    </w:p>
    <w:p w14:paraId="2C60D888">
      <w:pPr>
        <w:ind w:firstLine="420" w:firstLineChars="200"/>
      </w:pPr>
      <w:r>
        <w:rPr>
          <w:rFonts w:hint="eastAsia"/>
        </w:rPr>
        <w:t>（4）使用消费券的人数覆盖率（满分4分，得1.44分）</w:t>
      </w:r>
    </w:p>
    <w:p w14:paraId="0DDB05B7">
      <w:pPr>
        <w:ind w:firstLine="420" w:firstLineChars="200"/>
      </w:pPr>
      <w:r>
        <w:rPr>
          <w:rFonts w:hint="eastAsia"/>
        </w:rPr>
        <w:t>此项用来评价消费券使用的广度，覆盖率=在这次活动中享受到优惠的人数/莆田市常住人口总数*100%。覆盖率≥10%为满分，每少1个百分点扣1分，扣完为止。</w:t>
      </w:r>
    </w:p>
    <w:p w14:paraId="30037FC3">
      <w:pPr>
        <w:ind w:firstLine="420" w:firstLineChars="200"/>
      </w:pPr>
      <w:r>
        <w:rPr>
          <w:rFonts w:hint="eastAsia"/>
        </w:rPr>
        <w:t>从银联后台数据显示消费券的使用人数为216600人，从莆田市统计局得到2020年莆田市常住人口为291万，覆盖率=216600/2910000=7.44%,比10%少了2.56%,根据扣分依据低于10%每少1个百分点扣1分，少了2.56个百分点，故扣了2.56分，得1.44分。</w:t>
      </w:r>
    </w:p>
    <w:p w14:paraId="64DDA390">
      <w:pPr>
        <w:ind w:firstLine="420" w:firstLineChars="200"/>
      </w:pPr>
      <w:r>
        <w:rPr>
          <w:rFonts w:hint="eastAsia"/>
        </w:rPr>
        <w:t>5.可持续影响指标（满分8分，得7.19分）</w:t>
      </w:r>
    </w:p>
    <w:p w14:paraId="50AF2F22">
      <w:pPr>
        <w:ind w:firstLine="420" w:firstLineChars="200"/>
      </w:pPr>
      <w:r>
        <w:rPr>
          <w:rFonts w:hint="eastAsia"/>
        </w:rPr>
        <w:t>（1）被调查企业中未减薪或裁员企业占比（满分4分，得3.19分）</w:t>
      </w:r>
    </w:p>
    <w:p w14:paraId="12BD3A66">
      <w:pPr>
        <w:ind w:firstLine="420" w:firstLineChars="200"/>
      </w:pPr>
      <w:r>
        <w:rPr>
          <w:rFonts w:hint="eastAsia"/>
        </w:rPr>
        <w:t>该指标用来作为衡量社会稳定与可持续发展一参考指标。本次收取188份问卷，未减薪或裁员的企业数量有150家，所以得分=150/188*100%*4=3.19分。</w:t>
      </w:r>
    </w:p>
    <w:p w14:paraId="47A6531E">
      <w:pPr>
        <w:ind w:firstLine="420" w:firstLineChars="200"/>
      </w:pPr>
      <w:r>
        <w:rPr>
          <w:rFonts w:hint="eastAsia"/>
        </w:rPr>
        <w:t>（2）社会消费品零售总额增幅（满分4分，得4分）</w:t>
      </w:r>
    </w:p>
    <w:p w14:paraId="76E4B35A">
      <w:pPr>
        <w:ind w:firstLine="420" w:firstLineChars="200"/>
      </w:pPr>
      <w:r>
        <w:rPr>
          <w:rFonts w:hint="eastAsia"/>
        </w:rPr>
        <w:t>此项用来评价社会消费品零售总额的增长幅度。社会消费品零售总额同比增长6%得满分，少一个百分点扣1分，扣完为止。</w:t>
      </w:r>
    </w:p>
    <w:p w14:paraId="21CA730C">
      <w:pPr>
        <w:ind w:firstLine="420" w:firstLineChars="200"/>
      </w:pPr>
      <w:r>
        <w:rPr>
          <w:rFonts w:hint="eastAsia"/>
        </w:rPr>
        <w:t>这个项目的统计阶段从2020.9-2021.3，所以这里选择以莆田市人民政府网站上的统计数据2020.9-2021.3，2019.9-2020.3，2018.9-2019.3的社会消费品零售总额作为计算依据及对比的基础，2020.9-2021.3的社会消费品零售总额为1040.27亿，2019.9-2020.3的社会消费品零售总额为679.74亿，2018.9-2019.3的社会消费品零售总额为483.41亿，2021年同比增53%，大于6%，此项得4分。</w:t>
      </w:r>
    </w:p>
    <w:p w14:paraId="0F03E483">
      <w:pPr>
        <w:ind w:firstLine="420" w:firstLineChars="200"/>
      </w:pPr>
      <w:r>
        <w:rPr>
          <w:rFonts w:hint="eastAsia"/>
        </w:rPr>
        <w:t>6.服务对象满意度（满分4分，得4分）</w:t>
      </w:r>
    </w:p>
    <w:p w14:paraId="3A8C2BE4">
      <w:pPr>
        <w:ind w:firstLine="420" w:firstLineChars="200"/>
      </w:pPr>
      <w:r>
        <w:rPr>
          <w:rFonts w:hint="eastAsia"/>
        </w:rPr>
        <w:t>（1）企业满意度（满分4分，得4分）</w:t>
      </w:r>
    </w:p>
    <w:p w14:paraId="6D503D5B">
      <w:pPr>
        <w:ind w:firstLine="420" w:firstLineChars="200"/>
      </w:pPr>
      <w:r>
        <w:rPr>
          <w:rFonts w:hint="eastAsia"/>
        </w:rPr>
        <w:t>此项用来评价促销费期间企业的满意度情况。本次收取188份的问卷，非常满意和满意的问卷数量为180份，满意度=180/188*100%=95.74%&gt;90%,故此项得4分。</w:t>
      </w:r>
    </w:p>
    <w:p w14:paraId="151EA2C5">
      <w:pPr>
        <w:ind w:firstLine="420" w:firstLineChars="200"/>
        <w:outlineLvl w:val="0"/>
      </w:pPr>
      <w:bookmarkStart w:id="268" w:name="_Toc17259"/>
      <w:bookmarkStart w:id="269" w:name="_Toc30717"/>
      <w:bookmarkStart w:id="270" w:name="_Toc19756"/>
      <w:bookmarkStart w:id="271" w:name="_Toc16543"/>
      <w:bookmarkStart w:id="272" w:name="_Toc15786"/>
      <w:r>
        <w:rPr>
          <w:rFonts w:hint="eastAsia"/>
        </w:rPr>
        <w:t>四、综合评价结论</w:t>
      </w:r>
      <w:bookmarkEnd w:id="268"/>
      <w:bookmarkEnd w:id="269"/>
      <w:bookmarkEnd w:id="270"/>
      <w:bookmarkEnd w:id="271"/>
    </w:p>
    <w:p w14:paraId="06FC316B">
      <w:pPr>
        <w:ind w:firstLine="420" w:firstLineChars="200"/>
      </w:pPr>
      <w:r>
        <w:rPr>
          <w:rFonts w:hint="eastAsia"/>
        </w:rPr>
        <w:t>本项目评价总得分为88.19分，项目评价结果为良好。其中：项目决策得9分，项目管理得20.5分、项目绩效得58.69分，明细如下表11：</w:t>
      </w:r>
    </w:p>
    <w:p w14:paraId="07C411FE">
      <w:pPr>
        <w:ind w:firstLine="420" w:firstLineChars="200"/>
      </w:pPr>
      <w:r>
        <w:rPr>
          <w:rFonts w:hint="eastAsia"/>
        </w:rPr>
        <w:t>表11  绩效评价指标得分情况表</w:t>
      </w:r>
    </w:p>
    <w:tbl>
      <w:tblPr>
        <w:tblStyle w:val="17"/>
        <w:tblW w:w="8194"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1318"/>
        <w:gridCol w:w="1380"/>
        <w:gridCol w:w="2022"/>
        <w:gridCol w:w="1737"/>
        <w:gridCol w:w="1737"/>
      </w:tblGrid>
      <w:tr w14:paraId="43C2C43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8" w:hRule="atLeast"/>
          <w:jc w:val="center"/>
        </w:trPr>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5669185">
            <w:r>
              <w:rPr>
                <w:rFonts w:hint="eastAsia"/>
              </w:rPr>
              <w:t>一级指标</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D5211A">
            <w:r>
              <w:rPr>
                <w:rFonts w:hint="eastAsia"/>
              </w:rPr>
              <w:t>分值</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EE77C4">
            <w:r>
              <w:rPr>
                <w:rFonts w:hint="eastAsia"/>
              </w:rPr>
              <w:t>二级指标</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B51A0B">
            <w:r>
              <w:rPr>
                <w:rFonts w:hint="eastAsia"/>
              </w:rPr>
              <w:t>分值</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20C5B8">
            <w:r>
              <w:rPr>
                <w:rFonts w:hint="eastAsia"/>
              </w:rPr>
              <w:t>得分</w:t>
            </w:r>
          </w:p>
        </w:tc>
      </w:tr>
      <w:tr w14:paraId="0294A51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50" w:hRule="atLeast"/>
          <w:jc w:val="center"/>
        </w:trPr>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C4C6D2">
            <w:r>
              <w:rPr>
                <w:rFonts w:hint="eastAsia"/>
              </w:rPr>
              <w:t>项目决策</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B0507D6">
            <w:r>
              <w:rPr>
                <w:rFonts w:hint="eastAsia"/>
              </w:rPr>
              <w:t>10分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FC96D5">
            <w:r>
              <w:rPr>
                <w:rFonts w:hint="eastAsia"/>
              </w:rPr>
              <w:t>立项合理性</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21A866">
            <w:r>
              <w:rPr>
                <w:rFonts w:hint="eastAsia"/>
              </w:rPr>
              <w:t>10分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53C147">
            <w:r>
              <w:rPr>
                <w:rFonts w:hint="eastAsia"/>
              </w:rPr>
              <w:t>9分</w:t>
            </w:r>
          </w:p>
        </w:tc>
      </w:tr>
      <w:tr w14:paraId="4C56951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00" w:hRule="atLeast"/>
          <w:jc w:val="center"/>
        </w:trPr>
        <w:tc>
          <w:tcPr>
            <w:tcW w:w="1318" w:type="dxa"/>
            <w:vMerge w:val="restart"/>
            <w:tcBorders>
              <w:top w:val="outset" w:color="000000" w:sz="6" w:space="0"/>
              <w:left w:val="outset" w:color="000000" w:sz="6" w:space="0"/>
              <w:right w:val="outset" w:color="000000" w:sz="6" w:space="0"/>
            </w:tcBorders>
            <w:shd w:val="clear" w:color="auto" w:fill="auto"/>
            <w:vAlign w:val="center"/>
          </w:tcPr>
          <w:p w14:paraId="1CFB6122">
            <w:r>
              <w:rPr>
                <w:rFonts w:hint="eastAsia"/>
              </w:rPr>
              <w:t>项目管理</w:t>
            </w:r>
          </w:p>
        </w:tc>
        <w:tc>
          <w:tcPr>
            <w:tcW w:w="1380" w:type="dxa"/>
            <w:vMerge w:val="restart"/>
            <w:tcBorders>
              <w:top w:val="outset" w:color="000000" w:sz="6" w:space="0"/>
              <w:left w:val="outset" w:color="000000" w:sz="6" w:space="0"/>
              <w:right w:val="outset" w:color="000000" w:sz="6" w:space="0"/>
            </w:tcBorders>
            <w:shd w:val="clear" w:color="auto" w:fill="auto"/>
            <w:vAlign w:val="center"/>
          </w:tcPr>
          <w:p w14:paraId="64370273">
            <w:r>
              <w:rPr>
                <w:rFonts w:hint="eastAsia"/>
              </w:rPr>
              <w:t>22分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90BD256">
            <w:r>
              <w:rPr>
                <w:rFonts w:hint="eastAsia"/>
              </w:rPr>
              <w:t>投入管理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D255D8">
            <w:r>
              <w:rPr>
                <w:rFonts w:hint="eastAsia"/>
              </w:rPr>
              <w:t>3分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9CE9999">
            <w:r>
              <w:rPr>
                <w:rFonts w:hint="eastAsia"/>
              </w:rPr>
              <w:t>3分</w:t>
            </w:r>
          </w:p>
        </w:tc>
      </w:tr>
      <w:tr w14:paraId="1F448DD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06" w:hRule="atLeast"/>
          <w:jc w:val="center"/>
        </w:trPr>
        <w:tc>
          <w:tcPr>
            <w:tcW w:w="1318" w:type="dxa"/>
            <w:vMerge w:val="continue"/>
            <w:tcBorders>
              <w:left w:val="outset" w:color="000000" w:sz="6" w:space="0"/>
              <w:right w:val="outset" w:color="000000" w:sz="6" w:space="0"/>
            </w:tcBorders>
            <w:shd w:val="clear" w:color="auto" w:fill="auto"/>
            <w:vAlign w:val="center"/>
          </w:tcPr>
          <w:p w14:paraId="0BA36692"/>
        </w:tc>
        <w:tc>
          <w:tcPr>
            <w:tcW w:w="1380" w:type="dxa"/>
            <w:vMerge w:val="continue"/>
            <w:tcBorders>
              <w:left w:val="outset" w:color="000000" w:sz="6" w:space="0"/>
              <w:right w:val="outset" w:color="000000" w:sz="6" w:space="0"/>
            </w:tcBorders>
            <w:shd w:val="clear" w:color="auto" w:fill="auto"/>
            <w:vAlign w:val="center"/>
          </w:tcPr>
          <w:p w14:paraId="287FD5F8"/>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1C6509B">
            <w:r>
              <w:rPr>
                <w:rFonts w:hint="eastAsia"/>
              </w:rPr>
              <w:t>财务管理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4FF669">
            <w:r>
              <w:rPr>
                <w:rFonts w:hint="eastAsia"/>
              </w:rPr>
              <w:t>7分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EBDCDA">
            <w:r>
              <w:rPr>
                <w:rFonts w:hint="eastAsia"/>
              </w:rPr>
              <w:t>5.5分</w:t>
            </w:r>
          </w:p>
        </w:tc>
      </w:tr>
      <w:tr w14:paraId="1E420A5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3" w:hRule="atLeast"/>
          <w:jc w:val="center"/>
        </w:trPr>
        <w:tc>
          <w:tcPr>
            <w:tcW w:w="1318" w:type="dxa"/>
            <w:vMerge w:val="continue"/>
            <w:tcBorders>
              <w:left w:val="outset" w:color="000000" w:sz="6" w:space="0"/>
              <w:bottom w:val="outset" w:color="000000" w:sz="6" w:space="0"/>
              <w:right w:val="outset" w:color="000000" w:sz="6" w:space="0"/>
            </w:tcBorders>
            <w:shd w:val="clear" w:color="auto" w:fill="auto"/>
            <w:vAlign w:val="center"/>
          </w:tcPr>
          <w:p w14:paraId="7ED4F7C3"/>
        </w:tc>
        <w:tc>
          <w:tcPr>
            <w:tcW w:w="1380" w:type="dxa"/>
            <w:vMerge w:val="continue"/>
            <w:tcBorders>
              <w:left w:val="outset" w:color="000000" w:sz="6" w:space="0"/>
              <w:bottom w:val="outset" w:color="000000" w:sz="6" w:space="0"/>
              <w:right w:val="outset" w:color="000000" w:sz="6" w:space="0"/>
            </w:tcBorders>
            <w:shd w:val="clear" w:color="auto" w:fill="auto"/>
            <w:vAlign w:val="center"/>
          </w:tcPr>
          <w:p w14:paraId="30E80A0E"/>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A2F192A">
            <w:r>
              <w:rPr>
                <w:rFonts w:hint="eastAsia"/>
              </w:rPr>
              <w:t>项目实施</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0F953C">
            <w:r>
              <w:rPr>
                <w:rFonts w:hint="eastAsia"/>
              </w:rPr>
              <w:t>12分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8512A4">
            <w:r>
              <w:rPr>
                <w:rFonts w:hint="eastAsia"/>
              </w:rPr>
              <w:t>12分</w:t>
            </w:r>
          </w:p>
        </w:tc>
      </w:tr>
      <w:tr w14:paraId="55C61C1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86" w:hRule="atLeast"/>
          <w:jc w:val="center"/>
        </w:trPr>
        <w:tc>
          <w:tcPr>
            <w:tcW w:w="1318" w:type="dxa"/>
            <w:vMerge w:val="restart"/>
            <w:tcBorders>
              <w:top w:val="outset" w:color="000000" w:sz="6" w:space="0"/>
              <w:left w:val="outset" w:color="000000" w:sz="6" w:space="0"/>
              <w:right w:val="outset" w:color="000000" w:sz="6" w:space="0"/>
            </w:tcBorders>
            <w:shd w:val="clear" w:color="auto" w:fill="auto"/>
            <w:vAlign w:val="center"/>
          </w:tcPr>
          <w:p w14:paraId="77D9541A">
            <w:r>
              <w:rPr>
                <w:rFonts w:hint="eastAsia"/>
              </w:rPr>
              <w:t>项目绩效</w:t>
            </w:r>
          </w:p>
        </w:tc>
        <w:tc>
          <w:tcPr>
            <w:tcW w:w="1380" w:type="dxa"/>
            <w:vMerge w:val="restart"/>
            <w:tcBorders>
              <w:top w:val="outset" w:color="000000" w:sz="6" w:space="0"/>
              <w:left w:val="outset" w:color="000000" w:sz="6" w:space="0"/>
              <w:right w:val="outset" w:color="000000" w:sz="6" w:space="0"/>
            </w:tcBorders>
            <w:shd w:val="clear" w:color="auto" w:fill="auto"/>
            <w:vAlign w:val="center"/>
          </w:tcPr>
          <w:p w14:paraId="048B07A6">
            <w:r>
              <w:rPr>
                <w:rFonts w:hint="eastAsia"/>
              </w:rPr>
              <w:t>68分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48CD3F">
            <w:r>
              <w:rPr>
                <w:rFonts w:hint="eastAsia"/>
              </w:rPr>
              <w:t>产出时效</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B40379A">
            <w:r>
              <w:rPr>
                <w:rFonts w:hint="eastAsia"/>
              </w:rPr>
              <w:t>4分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114054A">
            <w:r>
              <w:rPr>
                <w:rFonts w:hint="eastAsia"/>
              </w:rPr>
              <w:t>4分</w:t>
            </w:r>
          </w:p>
        </w:tc>
      </w:tr>
      <w:tr w14:paraId="5780E7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86" w:hRule="atLeast"/>
          <w:jc w:val="center"/>
        </w:trPr>
        <w:tc>
          <w:tcPr>
            <w:tcW w:w="1318" w:type="dxa"/>
            <w:vMerge w:val="continue"/>
            <w:tcBorders>
              <w:left w:val="outset" w:color="000000" w:sz="6" w:space="0"/>
              <w:right w:val="outset" w:color="000000" w:sz="6" w:space="0"/>
            </w:tcBorders>
            <w:shd w:val="clear" w:color="auto" w:fill="auto"/>
            <w:vAlign w:val="center"/>
          </w:tcPr>
          <w:p w14:paraId="19BE7DD1"/>
        </w:tc>
        <w:tc>
          <w:tcPr>
            <w:tcW w:w="1380" w:type="dxa"/>
            <w:vMerge w:val="continue"/>
            <w:tcBorders>
              <w:left w:val="outset" w:color="000000" w:sz="6" w:space="0"/>
              <w:right w:val="outset" w:color="000000" w:sz="6" w:space="0"/>
            </w:tcBorders>
            <w:shd w:val="clear" w:color="auto" w:fill="auto"/>
            <w:vAlign w:val="center"/>
          </w:tcPr>
          <w:p w14:paraId="29C303BB"/>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BC02ECC">
            <w:r>
              <w:rPr>
                <w:rFonts w:hint="eastAsia"/>
              </w:rPr>
              <w:t>产出数量</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5E39101">
            <w:r>
              <w:rPr>
                <w:rFonts w:hint="eastAsia"/>
              </w:rPr>
              <w:t>20分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9F26912">
            <w:r>
              <w:rPr>
                <w:rFonts w:hint="eastAsia"/>
              </w:rPr>
              <w:t>18.3分</w:t>
            </w:r>
          </w:p>
        </w:tc>
      </w:tr>
      <w:tr w14:paraId="7ABCF43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4" w:hRule="atLeast"/>
          <w:jc w:val="center"/>
        </w:trPr>
        <w:tc>
          <w:tcPr>
            <w:tcW w:w="1318" w:type="dxa"/>
            <w:vMerge w:val="continue"/>
            <w:tcBorders>
              <w:left w:val="outset" w:color="000000" w:sz="6" w:space="0"/>
              <w:right w:val="outset" w:color="000000" w:sz="6" w:space="0"/>
            </w:tcBorders>
            <w:shd w:val="clear" w:color="auto" w:fill="auto"/>
            <w:vAlign w:val="center"/>
          </w:tcPr>
          <w:p w14:paraId="735BF365"/>
        </w:tc>
        <w:tc>
          <w:tcPr>
            <w:tcW w:w="1380" w:type="dxa"/>
            <w:vMerge w:val="continue"/>
            <w:tcBorders>
              <w:left w:val="outset" w:color="000000" w:sz="6" w:space="0"/>
              <w:right w:val="outset" w:color="000000" w:sz="6" w:space="0"/>
            </w:tcBorders>
            <w:shd w:val="clear" w:color="auto" w:fill="auto"/>
            <w:vAlign w:val="center"/>
          </w:tcPr>
          <w:p w14:paraId="77F5B291"/>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45CB466">
            <w:r>
              <w:rPr>
                <w:rFonts w:hint="eastAsia"/>
              </w:rPr>
              <w:t>产出质量</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9E8B11">
            <w:r>
              <w:rPr>
                <w:rFonts w:hint="eastAsia"/>
              </w:rPr>
              <w:t>16分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3E7B56">
            <w:r>
              <w:rPr>
                <w:rFonts w:hint="eastAsia"/>
              </w:rPr>
              <w:t>11.76分</w:t>
            </w:r>
          </w:p>
        </w:tc>
      </w:tr>
      <w:tr w14:paraId="7DF9D82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8" w:hRule="atLeast"/>
          <w:jc w:val="center"/>
        </w:trPr>
        <w:tc>
          <w:tcPr>
            <w:tcW w:w="1318" w:type="dxa"/>
            <w:vMerge w:val="continue"/>
            <w:tcBorders>
              <w:left w:val="outset" w:color="000000" w:sz="6" w:space="0"/>
              <w:right w:val="outset" w:color="000000" w:sz="6" w:space="0"/>
            </w:tcBorders>
            <w:shd w:val="clear" w:color="auto" w:fill="auto"/>
            <w:vAlign w:val="center"/>
          </w:tcPr>
          <w:p w14:paraId="18475662"/>
        </w:tc>
        <w:tc>
          <w:tcPr>
            <w:tcW w:w="1380" w:type="dxa"/>
            <w:vMerge w:val="continue"/>
            <w:tcBorders>
              <w:left w:val="outset" w:color="000000" w:sz="6" w:space="0"/>
              <w:right w:val="outset" w:color="000000" w:sz="6" w:space="0"/>
            </w:tcBorders>
            <w:shd w:val="clear" w:color="auto" w:fill="auto"/>
            <w:vAlign w:val="center"/>
          </w:tcPr>
          <w:p w14:paraId="6F903D06"/>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F422CF">
            <w:r>
              <w:rPr>
                <w:rFonts w:hint="eastAsia"/>
              </w:rPr>
              <w:t>产出效益</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494A34F">
            <w:r>
              <w:rPr>
                <w:rFonts w:hint="eastAsia"/>
              </w:rPr>
              <w:t>16分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1F8F932">
            <w:r>
              <w:rPr>
                <w:rFonts w:hint="eastAsia"/>
              </w:rPr>
              <w:t>13.44分</w:t>
            </w:r>
          </w:p>
        </w:tc>
      </w:tr>
      <w:tr w14:paraId="4080B52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81" w:hRule="atLeast"/>
          <w:jc w:val="center"/>
        </w:trPr>
        <w:tc>
          <w:tcPr>
            <w:tcW w:w="1318" w:type="dxa"/>
            <w:vMerge w:val="continue"/>
            <w:tcBorders>
              <w:left w:val="outset" w:color="000000" w:sz="6" w:space="0"/>
              <w:right w:val="outset" w:color="000000" w:sz="6" w:space="0"/>
            </w:tcBorders>
            <w:shd w:val="clear" w:color="auto" w:fill="auto"/>
            <w:vAlign w:val="center"/>
          </w:tcPr>
          <w:p w14:paraId="35FF57CA"/>
        </w:tc>
        <w:tc>
          <w:tcPr>
            <w:tcW w:w="1380" w:type="dxa"/>
            <w:vMerge w:val="continue"/>
            <w:tcBorders>
              <w:left w:val="outset" w:color="000000" w:sz="6" w:space="0"/>
              <w:right w:val="outset" w:color="000000" w:sz="6" w:space="0"/>
            </w:tcBorders>
            <w:shd w:val="clear" w:color="auto" w:fill="auto"/>
            <w:vAlign w:val="center"/>
          </w:tcPr>
          <w:p w14:paraId="4E3D2CD8"/>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CA935D">
            <w:r>
              <w:rPr>
                <w:rFonts w:hint="eastAsia"/>
              </w:rPr>
              <w:t>可持续影响指标</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6F6905E">
            <w:r>
              <w:rPr>
                <w:rFonts w:hint="eastAsia"/>
              </w:rPr>
              <w:t>8分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ADAC108">
            <w:r>
              <w:rPr>
                <w:rFonts w:hint="eastAsia"/>
              </w:rPr>
              <w:t>7.19分</w:t>
            </w:r>
          </w:p>
        </w:tc>
      </w:tr>
      <w:tr w14:paraId="41EB3D0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jc w:val="center"/>
        </w:trPr>
        <w:tc>
          <w:tcPr>
            <w:tcW w:w="1318" w:type="dxa"/>
            <w:vMerge w:val="continue"/>
            <w:tcBorders>
              <w:left w:val="outset" w:color="000000" w:sz="6" w:space="0"/>
              <w:bottom w:val="outset" w:color="000000" w:sz="6" w:space="0"/>
              <w:right w:val="outset" w:color="000000" w:sz="6" w:space="0"/>
            </w:tcBorders>
            <w:shd w:val="clear" w:color="auto" w:fill="auto"/>
            <w:vAlign w:val="center"/>
          </w:tcPr>
          <w:p w14:paraId="293FEF5C"/>
        </w:tc>
        <w:tc>
          <w:tcPr>
            <w:tcW w:w="1380" w:type="dxa"/>
            <w:vMerge w:val="continue"/>
            <w:tcBorders>
              <w:left w:val="outset" w:color="000000" w:sz="6" w:space="0"/>
              <w:bottom w:val="outset" w:color="000000" w:sz="6" w:space="0"/>
              <w:right w:val="outset" w:color="000000" w:sz="6" w:space="0"/>
            </w:tcBorders>
            <w:shd w:val="clear" w:color="auto" w:fill="auto"/>
            <w:vAlign w:val="center"/>
          </w:tcPr>
          <w:p w14:paraId="3508B090"/>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7960F9">
            <w:r>
              <w:rPr>
                <w:rFonts w:hint="eastAsia"/>
              </w:rPr>
              <w:t>服务对象满意度</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3BBC9C">
            <w:r>
              <w:rPr>
                <w:rFonts w:hint="eastAsia"/>
              </w:rPr>
              <w:t>4分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3F60842">
            <w:r>
              <w:rPr>
                <w:rFonts w:hint="eastAsia"/>
              </w:rPr>
              <w:t>4分</w:t>
            </w:r>
          </w:p>
        </w:tc>
      </w:tr>
      <w:tr w14:paraId="378005E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7" w:hRule="atLeast"/>
          <w:jc w:val="center"/>
        </w:trPr>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EA4B81">
            <w:r>
              <w:rPr>
                <w:rFonts w:hint="eastAsia"/>
              </w:rPr>
              <w:t>总分</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DC8043E">
            <w:r>
              <w:rPr>
                <w:rFonts w:hint="eastAsia"/>
              </w:rPr>
              <w:t>100分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3BD1DF">
            <w:r>
              <w:rPr>
                <w:rFonts w:hint="eastAsia"/>
              </w:rPr>
              <w:t>——</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243929B">
            <w:r>
              <w:rPr>
                <w:rFonts w:hint="eastAsia"/>
              </w:rPr>
              <w:t>100分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49BF01">
            <w:r>
              <w:rPr>
                <w:rFonts w:hint="eastAsia"/>
              </w:rPr>
              <w:t>88.19分</w:t>
            </w:r>
          </w:p>
        </w:tc>
      </w:tr>
    </w:tbl>
    <w:p w14:paraId="4F6D0EE6">
      <w:pPr>
        <w:ind w:firstLine="420" w:firstLineChars="200"/>
        <w:outlineLvl w:val="0"/>
      </w:pPr>
      <w:bookmarkStart w:id="273" w:name="_Toc21677"/>
      <w:bookmarkStart w:id="274" w:name="_Toc28690"/>
      <w:bookmarkStart w:id="275" w:name="_Toc1042"/>
      <w:r>
        <w:rPr>
          <w:rFonts w:hint="eastAsia"/>
        </w:rPr>
        <w:t>五、项目存在的问题</w:t>
      </w:r>
      <w:bookmarkEnd w:id="272"/>
      <w:bookmarkEnd w:id="273"/>
      <w:bookmarkEnd w:id="274"/>
      <w:bookmarkEnd w:id="275"/>
    </w:p>
    <w:p w14:paraId="66A5710B">
      <w:pPr>
        <w:ind w:firstLine="420" w:firstLineChars="200"/>
      </w:pPr>
      <w:bookmarkStart w:id="276" w:name="_Toc6111"/>
      <w:r>
        <w:rPr>
          <w:rFonts w:hint="eastAsia"/>
        </w:rPr>
        <w:t>（一）宣传造势力度不够大，群众知晓率不够高</w:t>
      </w:r>
      <w:bookmarkEnd w:id="276"/>
    </w:p>
    <w:p w14:paraId="389B842F">
      <w:pPr>
        <w:ind w:firstLine="420" w:firstLineChars="200"/>
      </w:pPr>
      <w:r>
        <w:rPr>
          <w:rFonts w:hint="eastAsia"/>
        </w:rPr>
        <w:t>从享受到这次消费券的人数来看，知晓这次全闽乐购活动的群众不是很高，很多人都不知道有这个活动的存在，更别提参与。一方面是宣传不够到位，使用的宣传途径太少，另一方面是使用银联云闪付这个app的群众相对较少，导致活动已经开展半年多却还是有一大部分莆田群众不知道莆田市开展“全闽乐购”促销费活动，一定程度上流失了潜在的消费人群，降低了这次“全闽乐购”促消费活动</w:t>
      </w:r>
      <w:r>
        <w:rPr>
          <w:rFonts w:hint="eastAsia"/>
          <w:lang w:eastAsia="zh-CN"/>
        </w:rPr>
        <w:t>的促销</w:t>
      </w:r>
      <w:r>
        <w:rPr>
          <w:rFonts w:hint="eastAsia"/>
        </w:rPr>
        <w:t>效果。</w:t>
      </w:r>
    </w:p>
    <w:p w14:paraId="058442B0">
      <w:pPr>
        <w:ind w:firstLine="420" w:firstLineChars="200"/>
      </w:pPr>
      <w:bookmarkStart w:id="277" w:name="_Toc23022"/>
      <w:r>
        <w:rPr>
          <w:rFonts w:hint="eastAsia"/>
        </w:rPr>
        <w:t>（二）促销方式较为单一，促销效果有待提高</w:t>
      </w:r>
      <w:bookmarkEnd w:id="277"/>
    </w:p>
    <w:p w14:paraId="3D19870D">
      <w:pPr>
        <w:ind w:firstLine="420" w:firstLineChars="200"/>
      </w:pPr>
      <w:r>
        <w:rPr>
          <w:rFonts w:hint="eastAsia"/>
        </w:rPr>
        <w:t>从县区及市商务局、银联提供的数据及第三方审计的审计报告看，这次财政投入的资金主要用于发放消费券。而消费券发放主要是通过银联的云闪付。在每次开展活动前，县区都会对该次活动制定相应的促销费方案提前将相应的促销费资金划拨给银联。而从县区提交</w:t>
      </w:r>
      <w:r>
        <w:rPr>
          <w:rFonts w:hint="eastAsia"/>
          <w:lang w:eastAsia="zh-CN"/>
        </w:rPr>
        <w:t>的促销</w:t>
      </w:r>
      <w:r>
        <w:rPr>
          <w:rFonts w:hint="eastAsia"/>
        </w:rPr>
        <w:t>费方案看，大部分活动都只针对单品进行促销，如专门对鞋服开展促销费活动、专门针对餐饮开展促消费活动、专门针对旅游娱乐开展促消费活动等，从上面给出的统计表表3-表9的统计数据看，有6个促销活动的核销率不到10%，18场线下促销活动的核销率不到50%，促消效果不够理想。</w:t>
      </w:r>
    </w:p>
    <w:p w14:paraId="51320D19">
      <w:pPr>
        <w:ind w:firstLine="420" w:firstLineChars="200"/>
      </w:pPr>
      <w:bookmarkStart w:id="278" w:name="_Toc26254"/>
      <w:r>
        <w:rPr>
          <w:rFonts w:hint="eastAsia"/>
        </w:rPr>
        <w:t>（三）市级补助资金管理有待提高</w:t>
      </w:r>
      <w:bookmarkEnd w:id="278"/>
    </w:p>
    <w:p w14:paraId="0F130CD7">
      <w:pPr>
        <w:ind w:firstLine="420" w:firstLineChars="200"/>
      </w:pPr>
      <w:r>
        <w:rPr>
          <w:rFonts w:hint="eastAsia"/>
        </w:rPr>
        <w:t>首先，从部门提供的《莆田市市级“全闽乐购”促消费专项资金管理办法》看，办法中对市级资金拨付环节未做规定，对资金拨付过程中各县区每次开展任务的完成效果未做具体的要求，导致有些项目的宣传不到位领券率较低促销费效果不理想。其次，专项资金拨付后未对其进行长效管理，跟踪落实经济效益和社会效益。</w:t>
      </w:r>
    </w:p>
    <w:p w14:paraId="011E0597">
      <w:pPr>
        <w:ind w:firstLine="420" w:firstLineChars="200"/>
        <w:outlineLvl w:val="0"/>
      </w:pPr>
      <w:bookmarkStart w:id="279" w:name="_Toc2740"/>
      <w:bookmarkStart w:id="280" w:name="_Toc32373"/>
      <w:bookmarkStart w:id="281" w:name="_Toc14914"/>
      <w:bookmarkStart w:id="282" w:name="_Toc9700"/>
      <w:r>
        <w:rPr>
          <w:rFonts w:hint="eastAsia"/>
        </w:rPr>
        <w:t>六、项目相关建议</w:t>
      </w:r>
      <w:bookmarkEnd w:id="279"/>
      <w:bookmarkEnd w:id="280"/>
      <w:bookmarkEnd w:id="281"/>
      <w:bookmarkEnd w:id="282"/>
      <w:bookmarkStart w:id="950" w:name="_GoBack"/>
      <w:bookmarkEnd w:id="950"/>
    </w:p>
    <w:p w14:paraId="575467F4">
      <w:pPr>
        <w:ind w:firstLine="420" w:firstLineChars="200"/>
      </w:pPr>
      <w:bookmarkStart w:id="283" w:name="_Toc27041"/>
      <w:bookmarkStart w:id="284" w:name="_Toc14559"/>
      <w:r>
        <w:rPr>
          <w:rFonts w:hint="eastAsia"/>
        </w:rPr>
        <w:t>（一）开辟更多的宣传途径</w:t>
      </w:r>
      <w:bookmarkEnd w:id="283"/>
      <w:bookmarkEnd w:id="284"/>
    </w:p>
    <w:p w14:paraId="4B0342FA">
      <w:pPr>
        <w:ind w:firstLine="420" w:firstLineChars="200"/>
      </w:pPr>
      <w:bookmarkStart w:id="285" w:name="_Toc11009"/>
      <w:bookmarkStart w:id="286" w:name="_Toc13434"/>
      <w:r>
        <w:rPr>
          <w:rFonts w:hint="eastAsia"/>
        </w:rPr>
        <w:t>接下来的活动中，建议有关主管部门一方面可以委托中国移动、中国电信、中国联通将这次活动的相关信息通过短信的方式发给莆田本地的手机用户，另一方面可以通过电视台或者微信等媒体及社交平台传播相关信息，让更多的民众知道“全闽乐购”促销费活动，挖掘更多的潜在消费者享受到这次“全闽乐购”带来的优惠，进而增加消费频次。让接下来的促销费活动辐射的范围更广，增加单位促销费用带来的效用。</w:t>
      </w:r>
      <w:bookmarkEnd w:id="285"/>
      <w:bookmarkEnd w:id="286"/>
    </w:p>
    <w:p w14:paraId="593F28F8">
      <w:pPr>
        <w:ind w:firstLine="420" w:firstLineChars="200"/>
      </w:pPr>
      <w:bookmarkStart w:id="287" w:name="_Toc26856"/>
      <w:bookmarkStart w:id="288" w:name="_Toc28043"/>
      <w:r>
        <w:rPr>
          <w:rFonts w:hint="eastAsia"/>
        </w:rPr>
        <w:t>（二）组合多种促销方式，吸引消费者的注意</w:t>
      </w:r>
      <w:bookmarkEnd w:id="287"/>
      <w:bookmarkEnd w:id="288"/>
    </w:p>
    <w:p w14:paraId="5685CB2C">
      <w:pPr>
        <w:ind w:firstLine="420" w:firstLineChars="200"/>
      </w:pPr>
      <w:bookmarkStart w:id="289" w:name="_Toc18701"/>
      <w:bookmarkStart w:id="290" w:name="_Toc17438"/>
      <w:r>
        <w:rPr>
          <w:rFonts w:hint="eastAsia"/>
        </w:rPr>
        <w:t>第一，加大线上促销费资金的投入。单身经济及宅经济是趋势，当下有一大部分年轻人喜欢足不出户网购消费，在接下来的促销费活动中可以加大线上促销费资金的投入，不仅可以利好更多的商家也可以挖掘更多的潜在消费者。第二、可以采用整合应对策略，将方案中欲给予促销费资金支持的互补项目捆绑联合促销，特别是以上项目中核销率较低的项目，可以通过跟核销率高的项目进行捆绑整合，以一带一或者以一带多通过捆绑提高关注度，提升促销效果。第三、积极开发促销套餐。首先，可以根据日常需求开发生活类套餐，将餐饮、鞋服及其他生活用品类捆绑作为一消费券套餐。其次，可以以家庭为单位开发家庭套餐消费券，将老年人、中年人、儿童品类等捆绑作为一消费券套餐。再次，可以开发来莆旅游套餐。为了鼓励外地消费者到莆田旅游消费可以推出相应的旅游套餐消费券，将各旅游景点门票、酒店、餐饮住宿及商超等捆绑作为一促销套餐。</w:t>
      </w:r>
      <w:bookmarkEnd w:id="289"/>
      <w:bookmarkEnd w:id="290"/>
    </w:p>
    <w:p w14:paraId="45FDAB11">
      <w:pPr>
        <w:ind w:firstLine="420" w:firstLineChars="200"/>
      </w:pPr>
      <w:bookmarkStart w:id="291" w:name="_Toc15168"/>
      <w:bookmarkStart w:id="292" w:name="_Toc27324"/>
      <w:r>
        <w:rPr>
          <w:rFonts w:hint="eastAsia"/>
        </w:rPr>
        <w:t>（三）健全资金管理制度，加强专项资金实施后的长效管理</w:t>
      </w:r>
      <w:bookmarkEnd w:id="291"/>
      <w:bookmarkEnd w:id="292"/>
    </w:p>
    <w:p w14:paraId="188808DF">
      <w:pPr>
        <w:ind w:firstLine="420" w:firstLineChars="200"/>
      </w:pPr>
      <w:r>
        <w:rPr>
          <w:rFonts w:hint="eastAsia"/>
        </w:rPr>
        <w:t>实施单位应建立专门的管理制度，专属的财务报表，建立单独的明细账，并设专人负责管理。切实落实专款专用，建立完整的与项目实施相适应的资金与财务管理及其管理制度建设。专项资金实施后，应注重该项目运行后的长效管理，促进该项目的持续运行与经济效益、社会效益及环境效益的顺利实现，即要重视与维持发展所需要的制度包括资金财务制度及运行管理等的建设工作，并落实好运行所需的维护费用等情况。</w:t>
      </w:r>
    </w:p>
    <w:p w14:paraId="3381D67C">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4158952E">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0F4FAF4B">
      <w:pPr>
        <w:pStyle w:val="11"/>
        <w:jc w:val="center"/>
        <w:rPr>
          <w:rFonts w:ascii="方正小标宋简体" w:hAnsi="方正小标宋简体" w:eastAsia="方正小标宋简体" w:cs="方正小标宋简体"/>
          <w:kern w:val="0"/>
          <w:sz w:val="36"/>
          <w:szCs w:val="36"/>
        </w:rPr>
      </w:pPr>
    </w:p>
    <w:p w14:paraId="05D7C973">
      <w:pPr>
        <w:pStyle w:val="11"/>
        <w:jc w:val="center"/>
        <w:rPr>
          <w:rFonts w:ascii="方正小标宋简体" w:hAnsi="方正小标宋简体" w:eastAsia="方正小标宋简体" w:cs="方正小标宋简体"/>
          <w:kern w:val="0"/>
          <w:sz w:val="36"/>
          <w:szCs w:val="36"/>
        </w:rPr>
      </w:pPr>
    </w:p>
    <w:p w14:paraId="49ECEF51">
      <w:pPr>
        <w:pStyle w:val="11"/>
        <w:jc w:val="center"/>
        <w:rPr>
          <w:rFonts w:ascii="方正小标宋简体" w:hAnsi="方正小标宋简体" w:eastAsia="方正小标宋简体" w:cs="方正小标宋简体"/>
          <w:kern w:val="0"/>
          <w:sz w:val="36"/>
          <w:szCs w:val="36"/>
        </w:rPr>
      </w:pPr>
    </w:p>
    <w:p w14:paraId="5FFF17C1">
      <w:pPr>
        <w:pStyle w:val="11"/>
        <w:jc w:val="center"/>
        <w:rPr>
          <w:rFonts w:ascii="方正小标宋简体" w:hAnsi="方正小标宋简体" w:eastAsia="方正小标宋简体" w:cs="方正小标宋简体"/>
          <w:kern w:val="0"/>
          <w:sz w:val="36"/>
          <w:szCs w:val="36"/>
        </w:rPr>
      </w:pPr>
    </w:p>
    <w:p w14:paraId="2C5AC0F5">
      <w:pPr>
        <w:pStyle w:val="11"/>
        <w:jc w:val="center"/>
        <w:rPr>
          <w:rFonts w:ascii="方正小标宋简体" w:hAnsi="方正小标宋简体" w:eastAsia="方正小标宋简体" w:cs="方正小标宋简体"/>
          <w:kern w:val="0"/>
          <w:sz w:val="36"/>
          <w:szCs w:val="36"/>
        </w:rPr>
      </w:pPr>
    </w:p>
    <w:p w14:paraId="003DF7F1">
      <w:pPr>
        <w:pStyle w:val="11"/>
        <w:jc w:val="center"/>
        <w:rPr>
          <w:rFonts w:ascii="方正小标宋简体" w:hAnsi="方正小标宋简体" w:eastAsia="方正小标宋简体" w:cs="方正小标宋简体"/>
          <w:kern w:val="0"/>
          <w:sz w:val="36"/>
          <w:szCs w:val="36"/>
        </w:rPr>
      </w:pPr>
    </w:p>
    <w:p w14:paraId="1C48582D">
      <w:pPr>
        <w:pStyle w:val="11"/>
        <w:jc w:val="center"/>
        <w:rPr>
          <w:rFonts w:ascii="方正小标宋简体" w:hAnsi="方正小标宋简体" w:eastAsia="方正小标宋简体" w:cs="方正小标宋简体"/>
          <w:kern w:val="0"/>
          <w:sz w:val="36"/>
          <w:szCs w:val="36"/>
        </w:rPr>
      </w:pPr>
    </w:p>
    <w:p w14:paraId="17A73270">
      <w:pPr>
        <w:pStyle w:val="11"/>
        <w:jc w:val="center"/>
        <w:rPr>
          <w:rFonts w:ascii="方正小标宋简体" w:hAnsi="方正小标宋简体" w:eastAsia="方正小标宋简体" w:cs="方正小标宋简体"/>
          <w:kern w:val="0"/>
          <w:sz w:val="36"/>
          <w:szCs w:val="36"/>
        </w:rPr>
      </w:pPr>
    </w:p>
    <w:p w14:paraId="0D1A9D24">
      <w:pPr>
        <w:pStyle w:val="11"/>
        <w:jc w:val="center"/>
        <w:rPr>
          <w:rFonts w:ascii="方正小标宋简体" w:hAnsi="方正小标宋简体" w:eastAsia="方正小标宋简体" w:cs="方正小标宋简体"/>
          <w:kern w:val="0"/>
          <w:sz w:val="36"/>
          <w:szCs w:val="36"/>
        </w:rPr>
      </w:pPr>
    </w:p>
    <w:p w14:paraId="0C45F40C">
      <w:pPr>
        <w:pStyle w:val="11"/>
        <w:jc w:val="center"/>
        <w:rPr>
          <w:rFonts w:ascii="方正小标宋简体" w:hAnsi="方正小标宋简体" w:eastAsia="方正小标宋简体" w:cs="方正小标宋简体"/>
          <w:kern w:val="0"/>
          <w:sz w:val="36"/>
          <w:szCs w:val="36"/>
        </w:rPr>
      </w:pPr>
    </w:p>
    <w:p w14:paraId="7C3568B9">
      <w:pPr>
        <w:pStyle w:val="11"/>
        <w:jc w:val="center"/>
        <w:rPr>
          <w:rFonts w:ascii="方正小标宋简体" w:hAnsi="方正小标宋简体" w:eastAsia="方正小标宋简体" w:cs="方正小标宋简体"/>
          <w:kern w:val="0"/>
          <w:sz w:val="36"/>
          <w:szCs w:val="36"/>
        </w:rPr>
      </w:pPr>
    </w:p>
    <w:p w14:paraId="1DEC927E">
      <w:pPr>
        <w:pStyle w:val="11"/>
        <w:jc w:val="center"/>
        <w:rPr>
          <w:rFonts w:ascii="方正小标宋简体" w:hAnsi="方正小标宋简体" w:eastAsia="方正小标宋简体" w:cs="方正小标宋简体"/>
          <w:kern w:val="0"/>
          <w:sz w:val="36"/>
          <w:szCs w:val="36"/>
        </w:rPr>
      </w:pPr>
    </w:p>
    <w:p w14:paraId="4CF42DFB">
      <w:pPr>
        <w:pStyle w:val="11"/>
        <w:jc w:val="center"/>
        <w:rPr>
          <w:rFonts w:ascii="方正小标宋简体" w:hAnsi="方正小标宋简体" w:eastAsia="方正小标宋简体" w:cs="方正小标宋简体"/>
          <w:kern w:val="0"/>
          <w:sz w:val="36"/>
          <w:szCs w:val="36"/>
        </w:rPr>
      </w:pPr>
    </w:p>
    <w:p w14:paraId="671E8FED">
      <w:pPr>
        <w:pStyle w:val="11"/>
        <w:jc w:val="center"/>
        <w:rPr>
          <w:rFonts w:ascii="方正小标宋简体" w:hAnsi="方正小标宋简体" w:eastAsia="方正小标宋简体" w:cs="方正小标宋简体"/>
          <w:kern w:val="0"/>
          <w:sz w:val="36"/>
          <w:szCs w:val="36"/>
        </w:rPr>
      </w:pPr>
    </w:p>
    <w:p w14:paraId="1436BE85">
      <w:pPr>
        <w:pStyle w:val="2"/>
        <w:jc w:val="center"/>
      </w:pPr>
      <w:bookmarkStart w:id="293" w:name="_Toc1113"/>
      <w:r>
        <w:rPr>
          <w:rFonts w:hint="eastAsia"/>
        </w:rPr>
        <w:t>2020年基层网格化运营保障经费（为民办实事）绩效评价报告</w:t>
      </w:r>
      <w:bookmarkEnd w:id="293"/>
    </w:p>
    <w:p w14:paraId="5C6A1297"/>
    <w:p w14:paraId="02878DA3">
      <w:pPr>
        <w:ind w:firstLine="420" w:firstLineChars="200"/>
      </w:pPr>
      <w:r>
        <w:t>为提高财政资金使用效益，合理配置公共财政资源，根据《中华人民共和国预算法》及中共莆田市委、市政府印发的《关于全面实施预算绩效管理的实施意见》（莆委发〔2019〕2号）和《莆田市市级财政预算绩效评价管理暂行办法》（莆财绩〔2019〕11号）等文件精神，莆田市财政局</w:t>
      </w:r>
      <w:r>
        <w:rPr>
          <w:rFonts w:hint="eastAsia"/>
        </w:rPr>
        <w:t>委托莆田学院财政绩效管理研究中心</w:t>
      </w:r>
      <w:r>
        <w:t>成立绩效评价</w:t>
      </w:r>
      <w:r>
        <w:rPr>
          <w:rFonts w:hint="eastAsia"/>
        </w:rPr>
        <w:t>小</w:t>
      </w:r>
      <w:r>
        <w:t>组，对</w:t>
      </w:r>
      <w:r>
        <w:rPr>
          <w:rFonts w:hint="eastAsia"/>
        </w:rPr>
        <w:t>2020年莆田市基层网格化运营保障经费（为民办实事）项目</w:t>
      </w:r>
      <w:r>
        <w:t>开展绩效评价工作。评价情况如下：</w:t>
      </w:r>
    </w:p>
    <w:p w14:paraId="4DEB3888">
      <w:pPr>
        <w:ind w:firstLine="420" w:firstLineChars="200"/>
        <w:outlineLvl w:val="0"/>
      </w:pPr>
      <w:bookmarkStart w:id="294" w:name="_Toc11348"/>
      <w:bookmarkStart w:id="295" w:name="_Toc47453276"/>
      <w:r>
        <w:t>一、项目基本情况</w:t>
      </w:r>
      <w:bookmarkEnd w:id="294"/>
      <w:bookmarkEnd w:id="295"/>
    </w:p>
    <w:p w14:paraId="09FAAC04">
      <w:pPr>
        <w:ind w:firstLine="420" w:firstLineChars="200"/>
      </w:pPr>
      <w:bookmarkStart w:id="296" w:name="_Toc47453277"/>
      <w:r>
        <w:t>（一）项目背景</w:t>
      </w:r>
      <w:bookmarkEnd w:id="296"/>
    </w:p>
    <w:p w14:paraId="423464F1">
      <w:pPr>
        <w:ind w:firstLine="420" w:firstLineChars="200"/>
      </w:pPr>
      <w:r>
        <w:rPr>
          <w:rFonts w:hint="eastAsia"/>
        </w:rPr>
        <w:t>党的十八大以来，福建始终把市域社会治理纳入新福建建设整体布局。</w:t>
      </w:r>
      <w:r>
        <w:t>党的十九届五中全会</w:t>
      </w:r>
      <w:r>
        <w:rPr>
          <w:rFonts w:hint="eastAsia"/>
        </w:rPr>
        <w:t>提出</w:t>
      </w:r>
      <w:r>
        <w:t>：“十四五”期间要努力实现社会治理特别是基层治理水平明显提高</w:t>
      </w:r>
      <w:r>
        <w:rPr>
          <w:rFonts w:hint="eastAsia"/>
        </w:rPr>
        <w:t>。近年来，莆田市城乡综合执法和服务治理网格化工作坚持以习近平新时代中国特色社会主义思想为指引，按照市委、市政府《关于全面提升城乡综合执法和服务治理网格化工作的实施意见》及其《补充意见》等文件精神，“围绕打造大平台、建立大机制、整合大队伍、优化大服务、构筑大群防”的建设思想，积极探索创新基层治理新路径，着力提升社会治理社会化、法治化、智能化、专业化水平，为“打造宜居钢城，建设美丽莆田，创建美丽中共示范区”作出了积极贡献。按照中共莆田市委、莆田市人民政府《关于开展2020年为民办实事活动的通知》（莆委[2020]4号），作为2020年莆田市为民办实事项目之一，继续对全市736个村（社区）基础网格站建设和运营提供必要经费补助，确保全市网格化系统更好地为社会治理服务。</w:t>
      </w:r>
    </w:p>
    <w:p w14:paraId="7A57B082">
      <w:pPr>
        <w:ind w:firstLine="420" w:firstLineChars="200"/>
      </w:pPr>
      <w:bookmarkStart w:id="297" w:name="_Toc47453278"/>
      <w:r>
        <w:t>（二）项目实施情况</w:t>
      </w:r>
      <w:bookmarkEnd w:id="297"/>
    </w:p>
    <w:p w14:paraId="0CBD0996">
      <w:pPr>
        <w:ind w:firstLine="420" w:firstLineChars="200"/>
      </w:pPr>
      <w:r>
        <w:rPr>
          <w:rFonts w:hint="eastAsia"/>
        </w:rPr>
        <w:t>从2017年，基层网格化运营保障工程被列为为民办实事活动之一，每年由财政拨款为基础网格站建设和运营提供必要经费保障。根据中共莆田市委莆田市人民政府《关于开展2020年为民办实施活动的通知》（莆委[2020]4号），2020年，对全市736个村（社区）基础网格站建设和运营提供必要经费保障，确保全市网格化系统更好地为社会治理服务。总投资3040万元，市级财政每个网格站补助0.6万元，共补助441.6万元。（其中：仙游县324个194.4万元、荔城区130个78万元、城厢区120个72万元、涵江区77个46.2万元、秀屿区36个21.6万元、湄洲岛11个6.6万元、北岸38个22.8万元），具体见表1，其余配套资金2598.4万元，由各县区（管委会）筹措解决。</w:t>
      </w:r>
    </w:p>
    <w:p w14:paraId="647892C6">
      <w:pPr>
        <w:ind w:firstLine="420" w:firstLineChars="200"/>
      </w:pPr>
      <w:r>
        <w:rPr>
          <w:rFonts w:hint="eastAsia"/>
        </w:rPr>
        <w:t>2019年11月18日，中共莆田市委政法委、莆田市财政局下达《关于提前下达2020年基层网格化建设经费补助的通知》，莆田市委政法委根据《莆田市市级财政专项资金管理办法》（莆财预〔2017〕159号）等相关规定，制定《莆田市市级综治工作经费管理办法》，</w:t>
      </w:r>
      <w:r>
        <w:t>明确</w:t>
      </w:r>
      <w:r>
        <w:rPr>
          <w:rFonts w:hint="eastAsia"/>
        </w:rPr>
        <w:t>综治工作经费的使用管理、支出范围及监督的具体办法。</w:t>
      </w:r>
    </w:p>
    <w:p w14:paraId="272EF896">
      <w:pPr>
        <w:ind w:firstLine="420" w:firstLineChars="200"/>
      </w:pPr>
      <w:r>
        <w:rPr>
          <w:rFonts w:hint="eastAsia"/>
        </w:rPr>
        <w:t>表1  2020年基层网格化建设补助情况表</w:t>
      </w:r>
    </w:p>
    <w:p w14:paraId="39FF6078">
      <w:pPr>
        <w:ind w:firstLine="420" w:firstLineChars="200"/>
      </w:pPr>
      <w:r>
        <w:rPr>
          <w:rFonts w:hint="eastAsia"/>
        </w:rPr>
        <w:t>单位：万元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4255"/>
        <w:gridCol w:w="2301"/>
      </w:tblGrid>
      <w:tr w14:paraId="4028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14:paraId="3202B2EF">
            <w:r>
              <w:rPr>
                <w:rFonts w:hint="eastAsia"/>
              </w:rPr>
              <w:t>县区</w:t>
            </w:r>
          </w:p>
        </w:tc>
        <w:tc>
          <w:tcPr>
            <w:tcW w:w="4255" w:type="dxa"/>
            <w:vAlign w:val="center"/>
          </w:tcPr>
          <w:p w14:paraId="1F96D9FA">
            <w:r>
              <w:rPr>
                <w:rFonts w:hint="eastAsia"/>
              </w:rPr>
              <w:t>村（社区）基础网格站个数</w:t>
            </w:r>
          </w:p>
        </w:tc>
        <w:tc>
          <w:tcPr>
            <w:tcW w:w="2301" w:type="dxa"/>
            <w:vAlign w:val="center"/>
          </w:tcPr>
          <w:p w14:paraId="3D66E943">
            <w:r>
              <w:rPr>
                <w:rFonts w:hint="eastAsia"/>
              </w:rPr>
              <w:t>金额（万元）</w:t>
            </w:r>
          </w:p>
        </w:tc>
      </w:tr>
      <w:tr w14:paraId="7FF0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14:paraId="17C1C8D9">
            <w:r>
              <w:rPr>
                <w:rFonts w:hint="eastAsia"/>
              </w:rPr>
              <w:t>仙游县</w:t>
            </w:r>
          </w:p>
        </w:tc>
        <w:tc>
          <w:tcPr>
            <w:tcW w:w="4255" w:type="dxa"/>
            <w:vAlign w:val="center"/>
          </w:tcPr>
          <w:p w14:paraId="5C1C3230">
            <w:r>
              <w:rPr>
                <w:rFonts w:hint="eastAsia"/>
              </w:rPr>
              <w:t>324</w:t>
            </w:r>
          </w:p>
        </w:tc>
        <w:tc>
          <w:tcPr>
            <w:tcW w:w="2301" w:type="dxa"/>
            <w:vAlign w:val="center"/>
          </w:tcPr>
          <w:p w14:paraId="57D2BE6D">
            <w:r>
              <w:rPr>
                <w:rFonts w:hint="eastAsia"/>
              </w:rPr>
              <w:t>194.4</w:t>
            </w:r>
          </w:p>
        </w:tc>
      </w:tr>
      <w:tr w14:paraId="65CE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14:paraId="7B6210CD">
            <w:r>
              <w:rPr>
                <w:rFonts w:hint="eastAsia"/>
              </w:rPr>
              <w:t>荔城区</w:t>
            </w:r>
          </w:p>
        </w:tc>
        <w:tc>
          <w:tcPr>
            <w:tcW w:w="4255" w:type="dxa"/>
            <w:vAlign w:val="center"/>
          </w:tcPr>
          <w:p w14:paraId="6CA514E5">
            <w:r>
              <w:rPr>
                <w:rFonts w:hint="eastAsia"/>
              </w:rPr>
              <w:t>130</w:t>
            </w:r>
          </w:p>
        </w:tc>
        <w:tc>
          <w:tcPr>
            <w:tcW w:w="2301" w:type="dxa"/>
            <w:vAlign w:val="center"/>
          </w:tcPr>
          <w:p w14:paraId="18425056">
            <w:r>
              <w:rPr>
                <w:rFonts w:hint="eastAsia"/>
              </w:rPr>
              <w:t>78</w:t>
            </w:r>
          </w:p>
        </w:tc>
      </w:tr>
      <w:tr w14:paraId="23AB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14:paraId="3FFB8849">
            <w:r>
              <w:rPr>
                <w:rFonts w:hint="eastAsia"/>
              </w:rPr>
              <w:t>城厢区</w:t>
            </w:r>
          </w:p>
        </w:tc>
        <w:tc>
          <w:tcPr>
            <w:tcW w:w="4255" w:type="dxa"/>
            <w:vAlign w:val="center"/>
          </w:tcPr>
          <w:p w14:paraId="6627B52F">
            <w:r>
              <w:rPr>
                <w:rFonts w:hint="eastAsia"/>
              </w:rPr>
              <w:t>120</w:t>
            </w:r>
          </w:p>
        </w:tc>
        <w:tc>
          <w:tcPr>
            <w:tcW w:w="2301" w:type="dxa"/>
            <w:vAlign w:val="center"/>
          </w:tcPr>
          <w:p w14:paraId="61F39864">
            <w:r>
              <w:rPr>
                <w:rFonts w:hint="eastAsia"/>
              </w:rPr>
              <w:t>72</w:t>
            </w:r>
          </w:p>
        </w:tc>
      </w:tr>
      <w:tr w14:paraId="7A88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14:paraId="2AA0A8DE">
            <w:r>
              <w:rPr>
                <w:rFonts w:hint="eastAsia"/>
              </w:rPr>
              <w:t>涵江区</w:t>
            </w:r>
          </w:p>
        </w:tc>
        <w:tc>
          <w:tcPr>
            <w:tcW w:w="4255" w:type="dxa"/>
            <w:vAlign w:val="center"/>
          </w:tcPr>
          <w:p w14:paraId="7A92D283">
            <w:r>
              <w:rPr>
                <w:rFonts w:hint="eastAsia"/>
              </w:rPr>
              <w:t>77</w:t>
            </w:r>
          </w:p>
        </w:tc>
        <w:tc>
          <w:tcPr>
            <w:tcW w:w="2301" w:type="dxa"/>
            <w:vAlign w:val="center"/>
          </w:tcPr>
          <w:p w14:paraId="1F6318C9">
            <w:r>
              <w:rPr>
                <w:rFonts w:hint="eastAsia"/>
              </w:rPr>
              <w:t>46.2</w:t>
            </w:r>
          </w:p>
        </w:tc>
      </w:tr>
      <w:tr w14:paraId="4456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14:paraId="7AB01F4A">
            <w:r>
              <w:rPr>
                <w:rFonts w:hint="eastAsia"/>
              </w:rPr>
              <w:t>秀屿区</w:t>
            </w:r>
          </w:p>
        </w:tc>
        <w:tc>
          <w:tcPr>
            <w:tcW w:w="4255" w:type="dxa"/>
            <w:vAlign w:val="center"/>
          </w:tcPr>
          <w:p w14:paraId="0A52B9B5">
            <w:r>
              <w:rPr>
                <w:rFonts w:hint="eastAsia"/>
              </w:rPr>
              <w:t>36</w:t>
            </w:r>
          </w:p>
        </w:tc>
        <w:tc>
          <w:tcPr>
            <w:tcW w:w="2301" w:type="dxa"/>
            <w:vAlign w:val="center"/>
          </w:tcPr>
          <w:p w14:paraId="2A3163E4">
            <w:r>
              <w:rPr>
                <w:rFonts w:hint="eastAsia"/>
              </w:rPr>
              <w:t>21.6</w:t>
            </w:r>
          </w:p>
        </w:tc>
      </w:tr>
      <w:tr w14:paraId="33E9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14:paraId="426AE194">
            <w:r>
              <w:rPr>
                <w:rFonts w:hint="eastAsia"/>
              </w:rPr>
              <w:t>湄洲岛</w:t>
            </w:r>
          </w:p>
        </w:tc>
        <w:tc>
          <w:tcPr>
            <w:tcW w:w="4255" w:type="dxa"/>
            <w:vAlign w:val="center"/>
          </w:tcPr>
          <w:p w14:paraId="4E72A8E6">
            <w:r>
              <w:rPr>
                <w:rFonts w:hint="eastAsia"/>
              </w:rPr>
              <w:t>11</w:t>
            </w:r>
          </w:p>
        </w:tc>
        <w:tc>
          <w:tcPr>
            <w:tcW w:w="2301" w:type="dxa"/>
            <w:vAlign w:val="center"/>
          </w:tcPr>
          <w:p w14:paraId="5B7B42F3">
            <w:r>
              <w:rPr>
                <w:rFonts w:hint="eastAsia"/>
              </w:rPr>
              <w:t>6.6</w:t>
            </w:r>
          </w:p>
        </w:tc>
      </w:tr>
      <w:tr w14:paraId="724F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81" w:type="dxa"/>
            <w:vAlign w:val="center"/>
          </w:tcPr>
          <w:p w14:paraId="0A173974">
            <w:r>
              <w:rPr>
                <w:rFonts w:hint="eastAsia"/>
              </w:rPr>
              <w:t>北岸</w:t>
            </w:r>
          </w:p>
        </w:tc>
        <w:tc>
          <w:tcPr>
            <w:tcW w:w="4255" w:type="dxa"/>
            <w:vAlign w:val="center"/>
          </w:tcPr>
          <w:p w14:paraId="33E3AB8D">
            <w:r>
              <w:rPr>
                <w:rFonts w:hint="eastAsia"/>
              </w:rPr>
              <w:t>38</w:t>
            </w:r>
          </w:p>
        </w:tc>
        <w:tc>
          <w:tcPr>
            <w:tcW w:w="2301" w:type="dxa"/>
            <w:vAlign w:val="center"/>
          </w:tcPr>
          <w:p w14:paraId="6DE7160A">
            <w:r>
              <w:rPr>
                <w:rFonts w:hint="eastAsia"/>
              </w:rPr>
              <w:t>22.8</w:t>
            </w:r>
          </w:p>
        </w:tc>
      </w:tr>
      <w:tr w14:paraId="23AF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14:paraId="2AF4D003">
            <w:r>
              <w:rPr>
                <w:rFonts w:hint="eastAsia"/>
              </w:rPr>
              <w:t>合计</w:t>
            </w:r>
          </w:p>
        </w:tc>
        <w:tc>
          <w:tcPr>
            <w:tcW w:w="4255" w:type="dxa"/>
            <w:vAlign w:val="center"/>
          </w:tcPr>
          <w:p w14:paraId="3878F9B3">
            <w:r>
              <w:rPr>
                <w:rFonts w:hint="eastAsia"/>
              </w:rPr>
              <w:t>736</w:t>
            </w:r>
          </w:p>
        </w:tc>
        <w:tc>
          <w:tcPr>
            <w:tcW w:w="2301" w:type="dxa"/>
            <w:vAlign w:val="center"/>
          </w:tcPr>
          <w:p w14:paraId="7E9895ED">
            <w:r>
              <w:rPr>
                <w:rFonts w:hint="eastAsia"/>
              </w:rPr>
              <w:t>441.6</w:t>
            </w:r>
          </w:p>
        </w:tc>
      </w:tr>
    </w:tbl>
    <w:p w14:paraId="30F5E986">
      <w:pPr>
        <w:ind w:firstLine="420" w:firstLineChars="200"/>
      </w:pPr>
      <w:bookmarkStart w:id="298" w:name="_Toc47453279"/>
      <w:r>
        <w:t>（三）资金来源和使用情况</w:t>
      </w:r>
      <w:bookmarkEnd w:id="298"/>
    </w:p>
    <w:p w14:paraId="3D2CE8D0">
      <w:pPr>
        <w:ind w:firstLine="420" w:firstLineChars="200"/>
      </w:pPr>
      <w:r>
        <w:t>1.资金来源</w:t>
      </w:r>
    </w:p>
    <w:p w14:paraId="4A31C3EA">
      <w:pPr>
        <w:ind w:firstLine="420" w:firstLineChars="200"/>
      </w:pPr>
      <w:r>
        <w:rPr>
          <w:rFonts w:hint="eastAsia"/>
        </w:rPr>
        <w:t>根据中共莆田市委莆田市人民政府《关于开展2020年为民办实施活动的通知》（莆委[2020]4号），2020年，对全市736个村（社区）基础玩个站建设和运营提供必要经费补助，确保全市网格化系统更好地为社会治理服务。总投资3040万元，其中市级财政补助441.6万元，县级财政配套2598.4万元。2020年度基层网格化运营保障经费年初预算安排441.6万元，对全市736个村（社区）基层网格站建设和运营提供必要运营经费保障，市级财政每个补助0.6万元（其中：仙游县324个194.4万元、荔城区130个78万元、城厢区120个72万元、涵江区77个46.2万元、秀屿区36个21.6万元、湄洲岛11个6.6万元、北岸38个22.8万元）。</w:t>
      </w:r>
    </w:p>
    <w:p w14:paraId="0AEE4978">
      <w:pPr>
        <w:ind w:firstLine="420" w:firstLineChars="200"/>
      </w:pPr>
      <w:r>
        <w:t>2.资金实际拨付</w:t>
      </w:r>
    </w:p>
    <w:p w14:paraId="10860F32">
      <w:pPr>
        <w:ind w:firstLine="420" w:firstLineChars="200"/>
      </w:pPr>
      <w:r>
        <w:t>按照资金预算安排，</w:t>
      </w:r>
      <w:r>
        <w:rPr>
          <w:rFonts w:hint="eastAsia"/>
        </w:rPr>
        <w:t>2020</w:t>
      </w:r>
      <w:r>
        <w:t>年</w:t>
      </w:r>
      <w:r>
        <w:rPr>
          <w:rFonts w:hint="eastAsia"/>
        </w:rPr>
        <w:t>层网格化运营保障经费为441.6万元</w:t>
      </w:r>
      <w:r>
        <w:t>，均为本级预算资金。根据</w:t>
      </w:r>
      <w:r>
        <w:rPr>
          <w:rFonts w:hint="eastAsia"/>
        </w:rPr>
        <w:t>《关于提前下达2020年基层网格化建设经费补助的通知》</w:t>
      </w:r>
      <w:r>
        <w:t>，市委政法委与财政局联合下达资金</w:t>
      </w:r>
      <w:r>
        <w:rPr>
          <w:rFonts w:hint="eastAsia"/>
        </w:rPr>
        <w:t>441.6</w:t>
      </w:r>
      <w:r>
        <w:t>万元</w:t>
      </w:r>
      <w:r>
        <w:rPr>
          <w:rFonts w:hint="eastAsia"/>
        </w:rPr>
        <w:t>（其中：仙游县324个194.4万元、荔城区130个78万元、城厢区120个72万元、涵江区77个46.2万元、秀屿区36个21.6万元、湄洲岛11个6.6万元、北岸38个22.8万元），下达率为100%。截至2020年12月31日，县（区、管委会）实际拨付金额为433.6万元，具体见表2。</w:t>
      </w:r>
    </w:p>
    <w:p w14:paraId="65816AD8">
      <w:pPr>
        <w:ind w:firstLine="420" w:firstLineChars="200"/>
      </w:pPr>
      <w:r>
        <w:rPr>
          <w:rFonts w:hint="eastAsia"/>
        </w:rPr>
        <w:t>表2  2020年基层网格化建设保障费各县（区、管委会）拨付情况表</w:t>
      </w:r>
    </w:p>
    <w:p w14:paraId="0870CCA4">
      <w:pPr>
        <w:ind w:firstLine="420" w:firstLineChars="200"/>
      </w:pPr>
      <w:r>
        <w:rPr>
          <w:rFonts w:hint="eastAsia"/>
        </w:rPr>
        <w:t>单位：万元</w:t>
      </w:r>
    </w:p>
    <w:tbl>
      <w:tblPr>
        <w:tblStyle w:val="18"/>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559"/>
        <w:gridCol w:w="1276"/>
        <w:gridCol w:w="1559"/>
        <w:gridCol w:w="1417"/>
        <w:gridCol w:w="1457"/>
      </w:tblGrid>
      <w:tr w14:paraId="4368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14:paraId="7C81BEF6">
            <w:r>
              <w:rPr>
                <w:rFonts w:hint="eastAsia"/>
              </w:rPr>
              <w:t>县区</w:t>
            </w:r>
          </w:p>
        </w:tc>
        <w:tc>
          <w:tcPr>
            <w:tcW w:w="1559" w:type="dxa"/>
            <w:vAlign w:val="center"/>
          </w:tcPr>
          <w:p w14:paraId="23A8D625">
            <w:r>
              <w:rPr>
                <w:rFonts w:hint="eastAsia"/>
              </w:rPr>
              <w:t>村（社区）基础网格站个数</w:t>
            </w:r>
          </w:p>
        </w:tc>
        <w:tc>
          <w:tcPr>
            <w:tcW w:w="1276" w:type="dxa"/>
            <w:vAlign w:val="center"/>
          </w:tcPr>
          <w:p w14:paraId="4C8DD1AB">
            <w:r>
              <w:rPr>
                <w:rFonts w:hint="eastAsia"/>
              </w:rPr>
              <w:t>市级下达金额（万元）</w:t>
            </w:r>
          </w:p>
        </w:tc>
        <w:tc>
          <w:tcPr>
            <w:tcW w:w="1559" w:type="dxa"/>
            <w:vAlign w:val="center"/>
          </w:tcPr>
          <w:p w14:paraId="1ED854F1">
            <w:r>
              <w:rPr>
                <w:rFonts w:hint="eastAsia"/>
              </w:rPr>
              <w:t>县（区、管委会）实际拨付金额</w:t>
            </w:r>
          </w:p>
        </w:tc>
        <w:tc>
          <w:tcPr>
            <w:tcW w:w="1417" w:type="dxa"/>
            <w:vAlign w:val="center"/>
          </w:tcPr>
          <w:p w14:paraId="4061BB87">
            <w:r>
              <w:rPr>
                <w:rFonts w:hint="eastAsia"/>
              </w:rPr>
              <w:t>县（区、管委会）实际经费支出</w:t>
            </w:r>
          </w:p>
        </w:tc>
        <w:tc>
          <w:tcPr>
            <w:tcW w:w="1457" w:type="dxa"/>
            <w:vAlign w:val="center"/>
          </w:tcPr>
          <w:p w14:paraId="4FDA05DA">
            <w:r>
              <w:rPr>
                <w:rFonts w:hint="eastAsia"/>
              </w:rPr>
              <w:t>县（区、管委会）配套经费</w:t>
            </w:r>
          </w:p>
        </w:tc>
      </w:tr>
      <w:tr w14:paraId="5979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14:paraId="586C7D27">
            <w:r>
              <w:rPr>
                <w:rFonts w:hint="eastAsia"/>
              </w:rPr>
              <w:t>仙游县</w:t>
            </w:r>
          </w:p>
        </w:tc>
        <w:tc>
          <w:tcPr>
            <w:tcW w:w="1559" w:type="dxa"/>
            <w:vAlign w:val="center"/>
          </w:tcPr>
          <w:p w14:paraId="60C47E15">
            <w:r>
              <w:rPr>
                <w:rFonts w:hint="eastAsia"/>
              </w:rPr>
              <w:t>324</w:t>
            </w:r>
          </w:p>
        </w:tc>
        <w:tc>
          <w:tcPr>
            <w:tcW w:w="1276" w:type="dxa"/>
            <w:vAlign w:val="center"/>
          </w:tcPr>
          <w:p w14:paraId="13F547F2">
            <w:r>
              <w:rPr>
                <w:rFonts w:hint="eastAsia"/>
              </w:rPr>
              <w:t>194.4</w:t>
            </w:r>
          </w:p>
        </w:tc>
        <w:tc>
          <w:tcPr>
            <w:tcW w:w="1559" w:type="dxa"/>
            <w:vAlign w:val="center"/>
          </w:tcPr>
          <w:p w14:paraId="5282266B">
            <w:r>
              <w:rPr>
                <w:rFonts w:hint="eastAsia"/>
              </w:rPr>
              <w:t>194.4</w:t>
            </w:r>
          </w:p>
        </w:tc>
        <w:tc>
          <w:tcPr>
            <w:tcW w:w="1417" w:type="dxa"/>
            <w:vAlign w:val="center"/>
          </w:tcPr>
          <w:p w14:paraId="36AE8C20">
            <w:r>
              <w:rPr>
                <w:rFonts w:hint="eastAsia"/>
              </w:rPr>
              <w:t>1884</w:t>
            </w:r>
          </w:p>
        </w:tc>
        <w:tc>
          <w:tcPr>
            <w:tcW w:w="1457" w:type="dxa"/>
            <w:vAlign w:val="center"/>
          </w:tcPr>
          <w:p w14:paraId="03B8EA75">
            <w:r>
              <w:rPr>
                <w:rFonts w:hint="eastAsia"/>
              </w:rPr>
              <w:t>-</w:t>
            </w:r>
          </w:p>
        </w:tc>
      </w:tr>
      <w:tr w14:paraId="28C1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14:paraId="793C4345">
            <w:r>
              <w:rPr>
                <w:rFonts w:hint="eastAsia"/>
              </w:rPr>
              <w:t>荔城区</w:t>
            </w:r>
          </w:p>
        </w:tc>
        <w:tc>
          <w:tcPr>
            <w:tcW w:w="1559" w:type="dxa"/>
            <w:vAlign w:val="center"/>
          </w:tcPr>
          <w:p w14:paraId="01E22CEC">
            <w:r>
              <w:rPr>
                <w:rFonts w:hint="eastAsia"/>
              </w:rPr>
              <w:t>130</w:t>
            </w:r>
          </w:p>
        </w:tc>
        <w:tc>
          <w:tcPr>
            <w:tcW w:w="1276" w:type="dxa"/>
            <w:vAlign w:val="center"/>
          </w:tcPr>
          <w:p w14:paraId="54AAC6FB">
            <w:r>
              <w:rPr>
                <w:rFonts w:hint="eastAsia"/>
              </w:rPr>
              <w:t>78</w:t>
            </w:r>
          </w:p>
        </w:tc>
        <w:tc>
          <w:tcPr>
            <w:tcW w:w="1559" w:type="dxa"/>
            <w:vAlign w:val="center"/>
          </w:tcPr>
          <w:p w14:paraId="769D4967">
            <w:r>
              <w:rPr>
                <w:rFonts w:hint="eastAsia"/>
              </w:rPr>
              <w:t>0</w:t>
            </w:r>
          </w:p>
        </w:tc>
        <w:tc>
          <w:tcPr>
            <w:tcW w:w="1417" w:type="dxa"/>
            <w:vAlign w:val="center"/>
          </w:tcPr>
          <w:p w14:paraId="017D0A5D">
            <w:r>
              <w:rPr>
                <w:rFonts w:hint="eastAsia"/>
              </w:rPr>
              <w:t>1269</w:t>
            </w:r>
          </w:p>
        </w:tc>
        <w:tc>
          <w:tcPr>
            <w:tcW w:w="1457" w:type="dxa"/>
            <w:vAlign w:val="center"/>
          </w:tcPr>
          <w:p w14:paraId="027CB52B">
            <w:r>
              <w:rPr>
                <w:rFonts w:hint="eastAsia"/>
              </w:rPr>
              <w:t>-</w:t>
            </w:r>
          </w:p>
        </w:tc>
      </w:tr>
      <w:tr w14:paraId="014A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14:paraId="6E8A25CF">
            <w:r>
              <w:rPr>
                <w:rFonts w:hint="eastAsia"/>
              </w:rPr>
              <w:t>城厢区</w:t>
            </w:r>
          </w:p>
        </w:tc>
        <w:tc>
          <w:tcPr>
            <w:tcW w:w="1559" w:type="dxa"/>
            <w:vAlign w:val="center"/>
          </w:tcPr>
          <w:p w14:paraId="178FC8E3">
            <w:r>
              <w:rPr>
                <w:rFonts w:hint="eastAsia"/>
              </w:rPr>
              <w:t>120</w:t>
            </w:r>
          </w:p>
        </w:tc>
        <w:tc>
          <w:tcPr>
            <w:tcW w:w="1276" w:type="dxa"/>
            <w:vAlign w:val="center"/>
          </w:tcPr>
          <w:p w14:paraId="7B3F2FB4">
            <w:r>
              <w:rPr>
                <w:rFonts w:hint="eastAsia"/>
              </w:rPr>
              <w:t>72</w:t>
            </w:r>
          </w:p>
        </w:tc>
        <w:tc>
          <w:tcPr>
            <w:tcW w:w="1559" w:type="dxa"/>
            <w:vAlign w:val="center"/>
          </w:tcPr>
          <w:p w14:paraId="0962303A">
            <w:r>
              <w:rPr>
                <w:rFonts w:hint="eastAsia"/>
              </w:rPr>
              <w:t>72</w:t>
            </w:r>
          </w:p>
        </w:tc>
        <w:tc>
          <w:tcPr>
            <w:tcW w:w="1417" w:type="dxa"/>
            <w:vAlign w:val="center"/>
          </w:tcPr>
          <w:p w14:paraId="173A94DC">
            <w:r>
              <w:rPr>
                <w:rFonts w:hint="eastAsia"/>
              </w:rPr>
              <w:t>121</w:t>
            </w:r>
          </w:p>
        </w:tc>
        <w:tc>
          <w:tcPr>
            <w:tcW w:w="1457" w:type="dxa"/>
            <w:vAlign w:val="center"/>
          </w:tcPr>
          <w:p w14:paraId="2346CA8D">
            <w:r>
              <w:rPr>
                <w:rFonts w:hint="eastAsia"/>
              </w:rPr>
              <w:t>-</w:t>
            </w:r>
          </w:p>
        </w:tc>
      </w:tr>
      <w:tr w14:paraId="1142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14:paraId="6AA41DF1">
            <w:r>
              <w:rPr>
                <w:rFonts w:hint="eastAsia"/>
              </w:rPr>
              <w:t>涵江区</w:t>
            </w:r>
          </w:p>
        </w:tc>
        <w:tc>
          <w:tcPr>
            <w:tcW w:w="1559" w:type="dxa"/>
            <w:vAlign w:val="center"/>
          </w:tcPr>
          <w:p w14:paraId="52C56EB1">
            <w:r>
              <w:rPr>
                <w:rFonts w:hint="eastAsia"/>
              </w:rPr>
              <w:t>77</w:t>
            </w:r>
          </w:p>
        </w:tc>
        <w:tc>
          <w:tcPr>
            <w:tcW w:w="1276" w:type="dxa"/>
            <w:vAlign w:val="center"/>
          </w:tcPr>
          <w:p w14:paraId="73C230C7">
            <w:r>
              <w:rPr>
                <w:rFonts w:hint="eastAsia"/>
              </w:rPr>
              <w:t>46.2</w:t>
            </w:r>
          </w:p>
        </w:tc>
        <w:tc>
          <w:tcPr>
            <w:tcW w:w="1559" w:type="dxa"/>
            <w:vAlign w:val="center"/>
          </w:tcPr>
          <w:p w14:paraId="73551F2B">
            <w:r>
              <w:rPr>
                <w:rFonts w:hint="eastAsia"/>
              </w:rPr>
              <w:t>46．2</w:t>
            </w:r>
          </w:p>
        </w:tc>
        <w:tc>
          <w:tcPr>
            <w:tcW w:w="1417" w:type="dxa"/>
            <w:vAlign w:val="center"/>
          </w:tcPr>
          <w:p w14:paraId="6E5A7046">
            <w:r>
              <w:rPr>
                <w:rFonts w:hint="eastAsia"/>
              </w:rPr>
              <w:t>2629</w:t>
            </w:r>
          </w:p>
        </w:tc>
        <w:tc>
          <w:tcPr>
            <w:tcW w:w="1457" w:type="dxa"/>
            <w:vAlign w:val="center"/>
          </w:tcPr>
          <w:p w14:paraId="1C2095A7">
            <w:r>
              <w:rPr>
                <w:rFonts w:hint="eastAsia"/>
              </w:rPr>
              <w:t>-</w:t>
            </w:r>
          </w:p>
        </w:tc>
      </w:tr>
      <w:tr w14:paraId="14FF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14:paraId="326EBF2C">
            <w:r>
              <w:rPr>
                <w:rFonts w:hint="eastAsia"/>
              </w:rPr>
              <w:t>秀屿区</w:t>
            </w:r>
          </w:p>
        </w:tc>
        <w:tc>
          <w:tcPr>
            <w:tcW w:w="1559" w:type="dxa"/>
            <w:vAlign w:val="center"/>
          </w:tcPr>
          <w:p w14:paraId="52095864">
            <w:r>
              <w:rPr>
                <w:rFonts w:hint="eastAsia"/>
              </w:rPr>
              <w:t>36</w:t>
            </w:r>
          </w:p>
        </w:tc>
        <w:tc>
          <w:tcPr>
            <w:tcW w:w="1276" w:type="dxa"/>
            <w:vAlign w:val="center"/>
          </w:tcPr>
          <w:p w14:paraId="47B38775">
            <w:r>
              <w:rPr>
                <w:rFonts w:hint="eastAsia"/>
              </w:rPr>
              <w:t>21.6</w:t>
            </w:r>
          </w:p>
        </w:tc>
        <w:tc>
          <w:tcPr>
            <w:tcW w:w="1559" w:type="dxa"/>
            <w:vAlign w:val="center"/>
          </w:tcPr>
          <w:p w14:paraId="59733E89">
            <w:r>
              <w:rPr>
                <w:rFonts w:hint="eastAsia"/>
              </w:rPr>
              <w:t>21.6</w:t>
            </w:r>
          </w:p>
        </w:tc>
        <w:tc>
          <w:tcPr>
            <w:tcW w:w="1417" w:type="dxa"/>
            <w:vAlign w:val="center"/>
          </w:tcPr>
          <w:p w14:paraId="3940233A">
            <w:r>
              <w:rPr>
                <w:rFonts w:hint="eastAsia"/>
              </w:rPr>
              <w:t>1208.42</w:t>
            </w:r>
          </w:p>
        </w:tc>
        <w:tc>
          <w:tcPr>
            <w:tcW w:w="1457" w:type="dxa"/>
            <w:vAlign w:val="center"/>
          </w:tcPr>
          <w:p w14:paraId="3BA1CFAF">
            <w:r>
              <w:rPr>
                <w:rFonts w:hint="eastAsia"/>
              </w:rPr>
              <w:t>-</w:t>
            </w:r>
          </w:p>
        </w:tc>
      </w:tr>
      <w:tr w14:paraId="43A2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14:paraId="447ADB5F">
            <w:r>
              <w:rPr>
                <w:rFonts w:hint="eastAsia"/>
              </w:rPr>
              <w:t>湄洲岛</w:t>
            </w:r>
          </w:p>
        </w:tc>
        <w:tc>
          <w:tcPr>
            <w:tcW w:w="1559" w:type="dxa"/>
            <w:vAlign w:val="center"/>
          </w:tcPr>
          <w:p w14:paraId="127C4F42">
            <w:r>
              <w:rPr>
                <w:rFonts w:hint="eastAsia"/>
              </w:rPr>
              <w:t>11</w:t>
            </w:r>
          </w:p>
        </w:tc>
        <w:tc>
          <w:tcPr>
            <w:tcW w:w="1276" w:type="dxa"/>
            <w:vAlign w:val="center"/>
          </w:tcPr>
          <w:p w14:paraId="01BD37A5">
            <w:r>
              <w:rPr>
                <w:rFonts w:hint="eastAsia"/>
              </w:rPr>
              <w:t>6.6</w:t>
            </w:r>
          </w:p>
        </w:tc>
        <w:tc>
          <w:tcPr>
            <w:tcW w:w="1559" w:type="dxa"/>
            <w:vAlign w:val="center"/>
          </w:tcPr>
          <w:p w14:paraId="1BF93BA0">
            <w:r>
              <w:rPr>
                <w:rFonts w:hint="eastAsia"/>
              </w:rPr>
              <w:t>6.6</w:t>
            </w:r>
          </w:p>
        </w:tc>
        <w:tc>
          <w:tcPr>
            <w:tcW w:w="1417" w:type="dxa"/>
            <w:vAlign w:val="center"/>
          </w:tcPr>
          <w:p w14:paraId="4C014BA2">
            <w:r>
              <w:rPr>
                <w:rFonts w:hint="eastAsia"/>
              </w:rPr>
              <w:t>107.76</w:t>
            </w:r>
          </w:p>
        </w:tc>
        <w:tc>
          <w:tcPr>
            <w:tcW w:w="1457" w:type="dxa"/>
            <w:vAlign w:val="center"/>
          </w:tcPr>
          <w:p w14:paraId="721FB107">
            <w:r>
              <w:rPr>
                <w:rFonts w:hint="eastAsia"/>
              </w:rPr>
              <w:t>-</w:t>
            </w:r>
          </w:p>
        </w:tc>
      </w:tr>
      <w:tr w14:paraId="3DD8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35" w:type="dxa"/>
            <w:vAlign w:val="center"/>
          </w:tcPr>
          <w:p w14:paraId="4EAF4816">
            <w:r>
              <w:rPr>
                <w:rFonts w:hint="eastAsia"/>
              </w:rPr>
              <w:t>北岸</w:t>
            </w:r>
          </w:p>
        </w:tc>
        <w:tc>
          <w:tcPr>
            <w:tcW w:w="1559" w:type="dxa"/>
            <w:vAlign w:val="center"/>
          </w:tcPr>
          <w:p w14:paraId="3F97010F">
            <w:r>
              <w:rPr>
                <w:rFonts w:hint="eastAsia"/>
              </w:rPr>
              <w:t>38</w:t>
            </w:r>
          </w:p>
        </w:tc>
        <w:tc>
          <w:tcPr>
            <w:tcW w:w="1276" w:type="dxa"/>
            <w:vAlign w:val="center"/>
          </w:tcPr>
          <w:p w14:paraId="402660DE">
            <w:r>
              <w:rPr>
                <w:rFonts w:hint="eastAsia"/>
              </w:rPr>
              <w:t>22.8</w:t>
            </w:r>
          </w:p>
        </w:tc>
        <w:tc>
          <w:tcPr>
            <w:tcW w:w="1559" w:type="dxa"/>
            <w:vAlign w:val="center"/>
          </w:tcPr>
          <w:p w14:paraId="099822E4">
            <w:r>
              <w:rPr>
                <w:rFonts w:hint="eastAsia"/>
              </w:rPr>
              <w:t>22.8</w:t>
            </w:r>
          </w:p>
        </w:tc>
        <w:tc>
          <w:tcPr>
            <w:tcW w:w="1417" w:type="dxa"/>
            <w:vAlign w:val="center"/>
          </w:tcPr>
          <w:p w14:paraId="35432703">
            <w:r>
              <w:rPr>
                <w:rFonts w:hint="eastAsia"/>
              </w:rPr>
              <w:t>359.43</w:t>
            </w:r>
          </w:p>
        </w:tc>
        <w:tc>
          <w:tcPr>
            <w:tcW w:w="1457" w:type="dxa"/>
            <w:vAlign w:val="center"/>
          </w:tcPr>
          <w:p w14:paraId="08CD4A86">
            <w:r>
              <w:rPr>
                <w:rFonts w:hint="eastAsia"/>
              </w:rPr>
              <w:t>-</w:t>
            </w:r>
          </w:p>
        </w:tc>
      </w:tr>
      <w:tr w14:paraId="782F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14:paraId="10094549">
            <w:r>
              <w:rPr>
                <w:rFonts w:hint="eastAsia"/>
              </w:rPr>
              <w:t>合计</w:t>
            </w:r>
          </w:p>
        </w:tc>
        <w:tc>
          <w:tcPr>
            <w:tcW w:w="1559" w:type="dxa"/>
            <w:vAlign w:val="center"/>
          </w:tcPr>
          <w:p w14:paraId="535684AA">
            <w:r>
              <w:rPr>
                <w:rFonts w:hint="eastAsia"/>
              </w:rPr>
              <w:t>736</w:t>
            </w:r>
          </w:p>
        </w:tc>
        <w:tc>
          <w:tcPr>
            <w:tcW w:w="1276" w:type="dxa"/>
            <w:vAlign w:val="center"/>
          </w:tcPr>
          <w:p w14:paraId="45619C27">
            <w:r>
              <w:rPr>
                <w:rFonts w:hint="eastAsia"/>
              </w:rPr>
              <w:t>441.6</w:t>
            </w:r>
          </w:p>
        </w:tc>
        <w:tc>
          <w:tcPr>
            <w:tcW w:w="1559" w:type="dxa"/>
            <w:vAlign w:val="center"/>
          </w:tcPr>
          <w:p w14:paraId="42D77399">
            <w:r>
              <w:rPr>
                <w:rFonts w:hint="eastAsia"/>
              </w:rPr>
              <w:t>433.6</w:t>
            </w:r>
          </w:p>
        </w:tc>
        <w:tc>
          <w:tcPr>
            <w:tcW w:w="1417" w:type="dxa"/>
            <w:vAlign w:val="center"/>
          </w:tcPr>
          <w:p w14:paraId="728EA1CE">
            <w:r>
              <w:rPr>
                <w:rFonts w:hint="eastAsia"/>
              </w:rPr>
              <w:t>7578.61</w:t>
            </w:r>
          </w:p>
        </w:tc>
        <w:tc>
          <w:tcPr>
            <w:tcW w:w="1457" w:type="dxa"/>
            <w:vAlign w:val="center"/>
          </w:tcPr>
          <w:p w14:paraId="6D1B485F">
            <w:r>
              <w:rPr>
                <w:rFonts w:hint="eastAsia"/>
              </w:rPr>
              <w:t>2598.4</w:t>
            </w:r>
          </w:p>
        </w:tc>
      </w:tr>
    </w:tbl>
    <w:p w14:paraId="654FC5DF">
      <w:pPr>
        <w:ind w:firstLine="420" w:firstLineChars="200"/>
      </w:pPr>
      <w:bookmarkStart w:id="299" w:name="_Toc47453280"/>
      <w:r>
        <w:t>（四）项目绩效目标</w:t>
      </w:r>
      <w:bookmarkEnd w:id="299"/>
      <w:r>
        <w:t>和实现程度</w:t>
      </w:r>
    </w:p>
    <w:p w14:paraId="4E020C24">
      <w:pPr>
        <w:ind w:firstLine="420" w:firstLineChars="200"/>
      </w:pPr>
      <w:r>
        <w:rPr>
          <w:rFonts w:hint="eastAsia"/>
        </w:rPr>
        <w:t>为提高保障资金使用效率，科学评估资金使用效果，莆田市社会治理网格化中心根据政策要求，制定了2020年基层网格化运营保障经费（为民办实事）实施预期目标：对全市736个村（社区）基层网格站建设和运营提供必要运营经费保障，市级财政每个补助0.6万元（其中：仙游县324个194.4万元、荔城区130个78万元、城厢区120个72万元、涵江区77个46.2万元、秀屿区36个21.6万元、湄洲岛11个6.6万元、北岸38个22.8万元），具体如表3所示。乡镇基础数据采集覆盖面持续达成100%目标，截至目前，综治（网格）平台已汇聚基础数据、综合执法、矛盾纠纷、民生服务、社情民意等各类数据信息7785万余条；全市网格员共采集综合执法事件2719227件，入格部门采集事件办结率达91.36%；补助县区资金按规定提前在前一年的年底下达县区。</w:t>
      </w:r>
    </w:p>
    <w:p w14:paraId="129D4F11">
      <w:pPr>
        <w:ind w:firstLine="420" w:firstLineChars="200"/>
      </w:pPr>
      <w:r>
        <w:rPr>
          <w:rFonts w:hint="eastAsia"/>
        </w:rPr>
        <w:t>表3  2020年绩效目标</w:t>
      </w:r>
    </w:p>
    <w:tbl>
      <w:tblPr>
        <w:tblStyle w:val="17"/>
        <w:tblW w:w="9087" w:type="dxa"/>
        <w:tblInd w:w="93" w:type="dxa"/>
        <w:tblLayout w:type="fixed"/>
        <w:tblCellMar>
          <w:top w:w="0" w:type="dxa"/>
          <w:left w:w="108" w:type="dxa"/>
          <w:bottom w:w="0" w:type="dxa"/>
          <w:right w:w="108" w:type="dxa"/>
        </w:tblCellMar>
      </w:tblPr>
      <w:tblGrid>
        <w:gridCol w:w="763"/>
        <w:gridCol w:w="1320"/>
        <w:gridCol w:w="1575"/>
        <w:gridCol w:w="3330"/>
        <w:gridCol w:w="1050"/>
        <w:gridCol w:w="1049"/>
      </w:tblGrid>
      <w:tr w14:paraId="0716DBBA">
        <w:tblPrEx>
          <w:tblCellMar>
            <w:top w:w="0" w:type="dxa"/>
            <w:left w:w="108" w:type="dxa"/>
            <w:bottom w:w="0" w:type="dxa"/>
            <w:right w:w="108" w:type="dxa"/>
          </w:tblCellMar>
        </w:tblPrEx>
        <w:trPr>
          <w:trHeight w:val="597" w:hRule="atLeast"/>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8657631">
            <w:r>
              <w:rPr>
                <w:rFonts w:hint="eastAsia"/>
              </w:rPr>
              <w:t>一级指标</w:t>
            </w:r>
          </w:p>
        </w:tc>
        <w:tc>
          <w:tcPr>
            <w:tcW w:w="1320" w:type="dxa"/>
            <w:tcBorders>
              <w:top w:val="single" w:color="auto" w:sz="4" w:space="0"/>
              <w:left w:val="nil"/>
              <w:bottom w:val="single" w:color="auto" w:sz="4" w:space="0"/>
              <w:right w:val="single" w:color="auto" w:sz="4" w:space="0"/>
            </w:tcBorders>
            <w:shd w:val="clear" w:color="auto" w:fill="auto"/>
            <w:vAlign w:val="center"/>
          </w:tcPr>
          <w:p w14:paraId="66CEF11A">
            <w:r>
              <w:rPr>
                <w:rFonts w:hint="eastAsia"/>
              </w:rPr>
              <w:t>二级指标</w:t>
            </w:r>
          </w:p>
        </w:tc>
        <w:tc>
          <w:tcPr>
            <w:tcW w:w="1575" w:type="dxa"/>
            <w:tcBorders>
              <w:top w:val="single" w:color="auto" w:sz="4" w:space="0"/>
              <w:left w:val="nil"/>
              <w:bottom w:val="single" w:color="auto" w:sz="4" w:space="0"/>
              <w:right w:val="single" w:color="auto" w:sz="4" w:space="0"/>
            </w:tcBorders>
            <w:shd w:val="clear" w:color="auto" w:fill="auto"/>
            <w:vAlign w:val="center"/>
          </w:tcPr>
          <w:p w14:paraId="738A4327">
            <w:r>
              <w:rPr>
                <w:rFonts w:hint="eastAsia"/>
              </w:rPr>
              <w:t>三级指标</w:t>
            </w:r>
          </w:p>
        </w:tc>
        <w:tc>
          <w:tcPr>
            <w:tcW w:w="3330" w:type="dxa"/>
            <w:tcBorders>
              <w:top w:val="single" w:color="auto" w:sz="4" w:space="0"/>
              <w:left w:val="nil"/>
              <w:bottom w:val="single" w:color="auto" w:sz="4" w:space="0"/>
              <w:right w:val="single" w:color="000000" w:sz="4" w:space="0"/>
            </w:tcBorders>
            <w:shd w:val="clear" w:color="auto" w:fill="auto"/>
            <w:vAlign w:val="center"/>
          </w:tcPr>
          <w:p w14:paraId="7C3B207C">
            <w:r>
              <w:rPr>
                <w:rFonts w:hint="eastAsia"/>
              </w:rPr>
              <w:t>绩效标准</w:t>
            </w:r>
          </w:p>
        </w:tc>
        <w:tc>
          <w:tcPr>
            <w:tcW w:w="1050" w:type="dxa"/>
            <w:tcBorders>
              <w:top w:val="single" w:color="auto" w:sz="4" w:space="0"/>
              <w:left w:val="nil"/>
              <w:bottom w:val="single" w:color="auto" w:sz="4" w:space="0"/>
              <w:right w:val="single" w:color="000000" w:sz="4" w:space="0"/>
            </w:tcBorders>
            <w:shd w:val="clear" w:color="auto" w:fill="auto"/>
            <w:vAlign w:val="center"/>
          </w:tcPr>
          <w:p w14:paraId="12B7E70A">
            <w:pPr>
              <w:ind w:firstLine="420" w:firstLineChars="200"/>
            </w:pPr>
            <w:r>
              <w:rPr>
                <w:rFonts w:hint="eastAsia"/>
              </w:rPr>
              <w:t>半年</w:t>
            </w:r>
          </w:p>
          <w:p w14:paraId="3373F9C7">
            <w:pPr>
              <w:ind w:firstLine="420" w:firstLineChars="200"/>
            </w:pPr>
            <w:r>
              <w:rPr>
                <w:rFonts w:hint="eastAsia"/>
              </w:rPr>
              <w:t>目标值</w:t>
            </w:r>
          </w:p>
        </w:tc>
        <w:tc>
          <w:tcPr>
            <w:tcW w:w="1049" w:type="dxa"/>
            <w:tcBorders>
              <w:top w:val="single" w:color="auto" w:sz="4" w:space="0"/>
              <w:left w:val="nil"/>
              <w:bottom w:val="single" w:color="auto" w:sz="4" w:space="0"/>
              <w:right w:val="single" w:color="000000" w:sz="4" w:space="0"/>
            </w:tcBorders>
            <w:shd w:val="clear" w:color="auto" w:fill="auto"/>
            <w:vAlign w:val="center"/>
          </w:tcPr>
          <w:p w14:paraId="5E518698">
            <w:pPr>
              <w:ind w:firstLine="420" w:firstLineChars="200"/>
            </w:pPr>
            <w:r>
              <w:rPr>
                <w:rFonts w:hint="eastAsia"/>
              </w:rPr>
              <w:t>全年</w:t>
            </w:r>
          </w:p>
          <w:p w14:paraId="758646FD">
            <w:pPr>
              <w:ind w:firstLine="420" w:firstLineChars="200"/>
            </w:pPr>
            <w:r>
              <w:rPr>
                <w:rFonts w:hint="eastAsia"/>
              </w:rPr>
              <w:t>目标值</w:t>
            </w:r>
          </w:p>
        </w:tc>
      </w:tr>
      <w:tr w14:paraId="211F4126">
        <w:tblPrEx>
          <w:tblCellMar>
            <w:top w:w="0" w:type="dxa"/>
            <w:left w:w="108" w:type="dxa"/>
            <w:bottom w:w="0" w:type="dxa"/>
            <w:right w:w="108" w:type="dxa"/>
          </w:tblCellMar>
        </w:tblPrEx>
        <w:trPr>
          <w:trHeight w:val="819" w:hRule="atLeast"/>
        </w:trPr>
        <w:tc>
          <w:tcPr>
            <w:tcW w:w="763" w:type="dxa"/>
            <w:vMerge w:val="restart"/>
            <w:tcBorders>
              <w:top w:val="nil"/>
              <w:left w:val="single" w:color="auto" w:sz="4" w:space="0"/>
              <w:bottom w:val="nil"/>
              <w:right w:val="single" w:color="auto" w:sz="4" w:space="0"/>
            </w:tcBorders>
            <w:shd w:val="clear" w:color="auto" w:fill="auto"/>
            <w:vAlign w:val="center"/>
          </w:tcPr>
          <w:p w14:paraId="55B58701">
            <w:r>
              <w:rPr>
                <w:rFonts w:hint="eastAsia"/>
              </w:rPr>
              <w:t>投入</w:t>
            </w:r>
          </w:p>
        </w:tc>
        <w:tc>
          <w:tcPr>
            <w:tcW w:w="1320" w:type="dxa"/>
            <w:tcBorders>
              <w:top w:val="nil"/>
              <w:left w:val="nil"/>
              <w:bottom w:val="single" w:color="auto" w:sz="4" w:space="0"/>
              <w:right w:val="single" w:color="auto" w:sz="4" w:space="0"/>
            </w:tcBorders>
            <w:shd w:val="clear" w:color="auto" w:fill="auto"/>
            <w:vAlign w:val="center"/>
          </w:tcPr>
          <w:p w14:paraId="4D41D0A2">
            <w:r>
              <w:rPr>
                <w:rFonts w:hint="eastAsia"/>
              </w:rPr>
              <w:t>时效目标</w:t>
            </w:r>
          </w:p>
        </w:tc>
        <w:tc>
          <w:tcPr>
            <w:tcW w:w="1575" w:type="dxa"/>
            <w:tcBorders>
              <w:top w:val="nil"/>
              <w:left w:val="nil"/>
              <w:bottom w:val="single" w:color="auto" w:sz="4" w:space="0"/>
              <w:right w:val="single" w:color="auto" w:sz="4" w:space="0"/>
            </w:tcBorders>
            <w:shd w:val="clear" w:color="auto" w:fill="auto"/>
            <w:vAlign w:val="center"/>
          </w:tcPr>
          <w:p w14:paraId="1E65B880">
            <w:r>
              <w:rPr>
                <w:rFonts w:hint="eastAsia"/>
              </w:rPr>
              <w:t>经费到位率</w:t>
            </w:r>
          </w:p>
        </w:tc>
        <w:tc>
          <w:tcPr>
            <w:tcW w:w="3330" w:type="dxa"/>
            <w:tcBorders>
              <w:top w:val="single" w:color="auto" w:sz="4" w:space="0"/>
              <w:left w:val="nil"/>
              <w:bottom w:val="single" w:color="auto" w:sz="4" w:space="0"/>
              <w:right w:val="nil"/>
            </w:tcBorders>
            <w:shd w:val="clear" w:color="auto" w:fill="auto"/>
            <w:vAlign w:val="center"/>
          </w:tcPr>
          <w:p w14:paraId="4944D662">
            <w:r>
              <w:rPr>
                <w:rFonts w:hint="eastAsia"/>
              </w:rPr>
              <w:t>第一季度前与市财政联合发文，完成经费100%下达到县区的目标</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14:paraId="3BDCD0D4">
            <w:r>
              <w:rPr>
                <w:rFonts w:hint="eastAsia"/>
              </w:rPr>
              <w:t>100.00</w:t>
            </w:r>
          </w:p>
        </w:tc>
        <w:tc>
          <w:tcPr>
            <w:tcW w:w="1049" w:type="dxa"/>
            <w:tcBorders>
              <w:top w:val="single" w:color="auto" w:sz="4" w:space="0"/>
              <w:left w:val="nil"/>
              <w:bottom w:val="single" w:color="auto" w:sz="4" w:space="0"/>
              <w:right w:val="single" w:color="000000" w:sz="4" w:space="0"/>
            </w:tcBorders>
            <w:shd w:val="clear" w:color="auto" w:fill="auto"/>
            <w:noWrap/>
            <w:vAlign w:val="center"/>
          </w:tcPr>
          <w:p w14:paraId="6CDDBCC8">
            <w:r>
              <w:rPr>
                <w:rFonts w:hint="eastAsia"/>
              </w:rPr>
              <w:t>100.00</w:t>
            </w:r>
          </w:p>
        </w:tc>
      </w:tr>
      <w:tr w14:paraId="54CF1106">
        <w:tblPrEx>
          <w:tblCellMar>
            <w:top w:w="0" w:type="dxa"/>
            <w:left w:w="108" w:type="dxa"/>
            <w:bottom w:w="0" w:type="dxa"/>
            <w:right w:w="108" w:type="dxa"/>
          </w:tblCellMar>
        </w:tblPrEx>
        <w:trPr>
          <w:trHeight w:val="819" w:hRule="atLeast"/>
        </w:trPr>
        <w:tc>
          <w:tcPr>
            <w:tcW w:w="763" w:type="dxa"/>
            <w:vMerge w:val="continue"/>
            <w:tcBorders>
              <w:top w:val="nil"/>
              <w:left w:val="single" w:color="auto" w:sz="4" w:space="0"/>
              <w:bottom w:val="nil"/>
              <w:right w:val="single" w:color="auto" w:sz="4" w:space="0"/>
            </w:tcBorders>
            <w:vAlign w:val="center"/>
          </w:tcPr>
          <w:p w14:paraId="7F35FBB9"/>
        </w:tc>
        <w:tc>
          <w:tcPr>
            <w:tcW w:w="1320" w:type="dxa"/>
            <w:tcBorders>
              <w:top w:val="nil"/>
              <w:left w:val="nil"/>
              <w:bottom w:val="single" w:color="auto" w:sz="4" w:space="0"/>
              <w:right w:val="single" w:color="auto" w:sz="4" w:space="0"/>
            </w:tcBorders>
            <w:shd w:val="clear" w:color="auto" w:fill="auto"/>
            <w:vAlign w:val="center"/>
          </w:tcPr>
          <w:p w14:paraId="1A59A292">
            <w:r>
              <w:rPr>
                <w:rFonts w:hint="eastAsia"/>
              </w:rPr>
              <w:t>成本目标</w:t>
            </w:r>
          </w:p>
        </w:tc>
        <w:tc>
          <w:tcPr>
            <w:tcW w:w="1575" w:type="dxa"/>
            <w:tcBorders>
              <w:top w:val="nil"/>
              <w:left w:val="nil"/>
              <w:bottom w:val="single" w:color="auto" w:sz="4" w:space="0"/>
              <w:right w:val="single" w:color="auto" w:sz="4" w:space="0"/>
            </w:tcBorders>
            <w:shd w:val="clear" w:color="auto" w:fill="auto"/>
            <w:vAlign w:val="center"/>
          </w:tcPr>
          <w:p w14:paraId="7C58E54F">
            <w:r>
              <w:rPr>
                <w:rFonts w:hint="eastAsia"/>
              </w:rPr>
              <w:t>资金到位率</w:t>
            </w:r>
          </w:p>
        </w:tc>
        <w:tc>
          <w:tcPr>
            <w:tcW w:w="3330" w:type="dxa"/>
            <w:tcBorders>
              <w:top w:val="single" w:color="auto" w:sz="4" w:space="0"/>
              <w:left w:val="nil"/>
              <w:bottom w:val="single" w:color="auto" w:sz="4" w:space="0"/>
              <w:right w:val="nil"/>
            </w:tcBorders>
            <w:shd w:val="clear" w:color="auto" w:fill="auto"/>
            <w:vAlign w:val="center"/>
          </w:tcPr>
          <w:p w14:paraId="751B087A">
            <w:r>
              <w:rPr>
                <w:rFonts w:hint="eastAsia"/>
              </w:rPr>
              <w:t>第一季度前与市财政联合发文，完成经费100%下达到县区的目标</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14:paraId="32554257">
            <w:r>
              <w:rPr>
                <w:rFonts w:hint="eastAsia"/>
              </w:rPr>
              <w:t>100.00</w:t>
            </w:r>
          </w:p>
        </w:tc>
        <w:tc>
          <w:tcPr>
            <w:tcW w:w="1049" w:type="dxa"/>
            <w:tcBorders>
              <w:top w:val="single" w:color="auto" w:sz="4" w:space="0"/>
              <w:left w:val="nil"/>
              <w:bottom w:val="single" w:color="auto" w:sz="4" w:space="0"/>
              <w:right w:val="single" w:color="000000" w:sz="4" w:space="0"/>
            </w:tcBorders>
            <w:shd w:val="clear" w:color="auto" w:fill="auto"/>
            <w:noWrap/>
            <w:vAlign w:val="center"/>
          </w:tcPr>
          <w:p w14:paraId="7322F5B4">
            <w:r>
              <w:rPr>
                <w:rFonts w:hint="eastAsia"/>
              </w:rPr>
              <w:t>100.00</w:t>
            </w:r>
          </w:p>
        </w:tc>
      </w:tr>
      <w:tr w14:paraId="334726D4">
        <w:tblPrEx>
          <w:tblCellMar>
            <w:top w:w="0" w:type="dxa"/>
            <w:left w:w="108" w:type="dxa"/>
            <w:bottom w:w="0" w:type="dxa"/>
            <w:right w:w="108" w:type="dxa"/>
          </w:tblCellMar>
        </w:tblPrEx>
        <w:trPr>
          <w:trHeight w:val="642" w:hRule="atLeast"/>
        </w:trPr>
        <w:tc>
          <w:tcPr>
            <w:tcW w:w="763" w:type="dxa"/>
            <w:vMerge w:val="restart"/>
            <w:tcBorders>
              <w:top w:val="single" w:color="auto" w:sz="4" w:space="0"/>
              <w:left w:val="single" w:color="auto" w:sz="4" w:space="0"/>
              <w:bottom w:val="nil"/>
              <w:right w:val="single" w:color="auto" w:sz="4" w:space="0"/>
            </w:tcBorders>
            <w:shd w:val="clear" w:color="auto" w:fill="auto"/>
            <w:vAlign w:val="center"/>
          </w:tcPr>
          <w:p w14:paraId="34DD0393">
            <w:r>
              <w:rPr>
                <w:rFonts w:hint="eastAsia"/>
              </w:rPr>
              <w:t>产出</w:t>
            </w:r>
          </w:p>
        </w:tc>
        <w:tc>
          <w:tcPr>
            <w:tcW w:w="1320" w:type="dxa"/>
            <w:tcBorders>
              <w:top w:val="nil"/>
              <w:left w:val="nil"/>
              <w:bottom w:val="single" w:color="auto" w:sz="4" w:space="0"/>
              <w:right w:val="single" w:color="auto" w:sz="4" w:space="0"/>
            </w:tcBorders>
            <w:shd w:val="clear" w:color="auto" w:fill="auto"/>
            <w:vAlign w:val="center"/>
          </w:tcPr>
          <w:p w14:paraId="3C9D4EE4">
            <w:r>
              <w:rPr>
                <w:rFonts w:hint="eastAsia"/>
              </w:rPr>
              <w:t>数量目标</w:t>
            </w:r>
          </w:p>
        </w:tc>
        <w:tc>
          <w:tcPr>
            <w:tcW w:w="1575" w:type="dxa"/>
            <w:tcBorders>
              <w:top w:val="nil"/>
              <w:left w:val="nil"/>
              <w:bottom w:val="single" w:color="auto" w:sz="4" w:space="0"/>
              <w:right w:val="single" w:color="auto" w:sz="4" w:space="0"/>
            </w:tcBorders>
            <w:shd w:val="clear" w:color="auto" w:fill="auto"/>
            <w:vAlign w:val="center"/>
          </w:tcPr>
          <w:p w14:paraId="58B6A803">
            <w:r>
              <w:rPr>
                <w:rFonts w:hint="eastAsia"/>
              </w:rPr>
              <w:t>乡镇基础数据采集覆盖面</w:t>
            </w:r>
          </w:p>
        </w:tc>
        <w:tc>
          <w:tcPr>
            <w:tcW w:w="3330" w:type="dxa"/>
            <w:tcBorders>
              <w:top w:val="single" w:color="auto" w:sz="4" w:space="0"/>
              <w:left w:val="nil"/>
              <w:bottom w:val="single" w:color="auto" w:sz="4" w:space="0"/>
              <w:right w:val="nil"/>
            </w:tcBorders>
            <w:shd w:val="clear" w:color="auto" w:fill="auto"/>
            <w:vAlign w:val="center"/>
          </w:tcPr>
          <w:p w14:paraId="76D6036D">
            <w:r>
              <w:rPr>
                <w:rFonts w:hint="eastAsia"/>
              </w:rPr>
              <w:t>95</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14:paraId="1A1BAFCC">
            <w:r>
              <w:rPr>
                <w:rFonts w:hint="eastAsia"/>
              </w:rPr>
              <w:t>95.00</w:t>
            </w:r>
          </w:p>
        </w:tc>
        <w:tc>
          <w:tcPr>
            <w:tcW w:w="1049" w:type="dxa"/>
            <w:tcBorders>
              <w:top w:val="single" w:color="auto" w:sz="4" w:space="0"/>
              <w:left w:val="nil"/>
              <w:bottom w:val="single" w:color="auto" w:sz="4" w:space="0"/>
              <w:right w:val="single" w:color="000000" w:sz="4" w:space="0"/>
            </w:tcBorders>
            <w:shd w:val="clear" w:color="auto" w:fill="auto"/>
            <w:noWrap/>
            <w:vAlign w:val="center"/>
          </w:tcPr>
          <w:p w14:paraId="3407E742">
            <w:r>
              <w:rPr>
                <w:rFonts w:hint="eastAsia"/>
              </w:rPr>
              <w:t>95.00</w:t>
            </w:r>
          </w:p>
        </w:tc>
      </w:tr>
      <w:tr w14:paraId="610E8EF2">
        <w:tblPrEx>
          <w:tblCellMar>
            <w:top w:w="0" w:type="dxa"/>
            <w:left w:w="108" w:type="dxa"/>
            <w:bottom w:w="0" w:type="dxa"/>
            <w:right w:w="108" w:type="dxa"/>
          </w:tblCellMar>
        </w:tblPrEx>
        <w:trPr>
          <w:trHeight w:val="591" w:hRule="atLeast"/>
        </w:trPr>
        <w:tc>
          <w:tcPr>
            <w:tcW w:w="763" w:type="dxa"/>
            <w:vMerge w:val="continue"/>
            <w:tcBorders>
              <w:top w:val="single" w:color="auto" w:sz="4" w:space="0"/>
              <w:left w:val="single" w:color="auto" w:sz="4" w:space="0"/>
              <w:bottom w:val="nil"/>
              <w:right w:val="single" w:color="auto" w:sz="4" w:space="0"/>
            </w:tcBorders>
            <w:vAlign w:val="center"/>
          </w:tcPr>
          <w:p w14:paraId="7D3E77F8"/>
        </w:tc>
        <w:tc>
          <w:tcPr>
            <w:tcW w:w="1320" w:type="dxa"/>
            <w:tcBorders>
              <w:top w:val="nil"/>
              <w:left w:val="nil"/>
              <w:bottom w:val="single" w:color="auto" w:sz="4" w:space="0"/>
              <w:right w:val="single" w:color="auto" w:sz="4" w:space="0"/>
            </w:tcBorders>
            <w:shd w:val="clear" w:color="auto" w:fill="auto"/>
            <w:vAlign w:val="center"/>
          </w:tcPr>
          <w:p w14:paraId="17F5AA94">
            <w:r>
              <w:rPr>
                <w:rFonts w:hint="eastAsia"/>
              </w:rPr>
              <w:t>质量目标</w:t>
            </w:r>
          </w:p>
        </w:tc>
        <w:tc>
          <w:tcPr>
            <w:tcW w:w="1575" w:type="dxa"/>
            <w:tcBorders>
              <w:top w:val="nil"/>
              <w:left w:val="nil"/>
              <w:bottom w:val="single" w:color="auto" w:sz="4" w:space="0"/>
              <w:right w:val="single" w:color="auto" w:sz="4" w:space="0"/>
            </w:tcBorders>
            <w:shd w:val="clear" w:color="auto" w:fill="auto"/>
            <w:vAlign w:val="center"/>
          </w:tcPr>
          <w:p w14:paraId="5D9316EA">
            <w:r>
              <w:rPr>
                <w:rFonts w:hint="eastAsia"/>
              </w:rPr>
              <w:t>入格部门采集事件办结率</w:t>
            </w:r>
          </w:p>
        </w:tc>
        <w:tc>
          <w:tcPr>
            <w:tcW w:w="3330" w:type="dxa"/>
            <w:tcBorders>
              <w:top w:val="single" w:color="auto" w:sz="4" w:space="0"/>
              <w:left w:val="nil"/>
              <w:bottom w:val="single" w:color="auto" w:sz="4" w:space="0"/>
              <w:right w:val="nil"/>
            </w:tcBorders>
            <w:shd w:val="clear" w:color="auto" w:fill="auto"/>
            <w:vAlign w:val="center"/>
          </w:tcPr>
          <w:p w14:paraId="7FE4B481">
            <w:r>
              <w:rPr>
                <w:rFonts w:hint="eastAsia"/>
              </w:rPr>
              <w:t>85</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14:paraId="0A95C4D4">
            <w:r>
              <w:rPr>
                <w:rFonts w:hint="eastAsia"/>
              </w:rPr>
              <w:t>85.00</w:t>
            </w:r>
          </w:p>
        </w:tc>
        <w:tc>
          <w:tcPr>
            <w:tcW w:w="1049" w:type="dxa"/>
            <w:tcBorders>
              <w:top w:val="single" w:color="auto" w:sz="4" w:space="0"/>
              <w:left w:val="nil"/>
              <w:bottom w:val="single" w:color="auto" w:sz="4" w:space="0"/>
              <w:right w:val="single" w:color="000000" w:sz="4" w:space="0"/>
            </w:tcBorders>
            <w:shd w:val="clear" w:color="auto" w:fill="auto"/>
            <w:noWrap/>
            <w:vAlign w:val="center"/>
          </w:tcPr>
          <w:p w14:paraId="09A8A24E">
            <w:r>
              <w:rPr>
                <w:rFonts w:hint="eastAsia"/>
              </w:rPr>
              <w:t>85.00</w:t>
            </w:r>
          </w:p>
        </w:tc>
      </w:tr>
      <w:tr w14:paraId="3478F30F">
        <w:tblPrEx>
          <w:tblCellMar>
            <w:top w:w="0" w:type="dxa"/>
            <w:left w:w="108" w:type="dxa"/>
            <w:bottom w:w="0" w:type="dxa"/>
            <w:right w:w="108" w:type="dxa"/>
          </w:tblCellMar>
        </w:tblPrEx>
        <w:trPr>
          <w:trHeight w:val="561" w:hRule="atLeast"/>
        </w:trPr>
        <w:tc>
          <w:tcPr>
            <w:tcW w:w="76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27E22B7">
            <w:r>
              <w:rPr>
                <w:rFonts w:hint="eastAsia"/>
              </w:rPr>
              <w:t>效益</w:t>
            </w:r>
          </w:p>
        </w:tc>
        <w:tc>
          <w:tcPr>
            <w:tcW w:w="1320" w:type="dxa"/>
            <w:tcBorders>
              <w:top w:val="nil"/>
              <w:left w:val="nil"/>
              <w:bottom w:val="single" w:color="auto" w:sz="4" w:space="0"/>
              <w:right w:val="single" w:color="auto" w:sz="4" w:space="0"/>
            </w:tcBorders>
            <w:shd w:val="clear" w:color="auto" w:fill="auto"/>
            <w:vAlign w:val="center"/>
          </w:tcPr>
          <w:p w14:paraId="297DDD4E">
            <w:pPr>
              <w:ind w:firstLine="420" w:firstLineChars="200"/>
            </w:pPr>
            <w:r>
              <w:rPr>
                <w:rFonts w:hint="eastAsia"/>
              </w:rPr>
              <w:t>社会效益</w:t>
            </w:r>
          </w:p>
          <w:p w14:paraId="30462A71">
            <w:pPr>
              <w:ind w:firstLine="420" w:firstLineChars="200"/>
            </w:pPr>
            <w:r>
              <w:rPr>
                <w:rFonts w:hint="eastAsia"/>
              </w:rPr>
              <w:t>目标</w:t>
            </w:r>
          </w:p>
        </w:tc>
        <w:tc>
          <w:tcPr>
            <w:tcW w:w="1575" w:type="dxa"/>
            <w:tcBorders>
              <w:top w:val="nil"/>
              <w:left w:val="nil"/>
              <w:bottom w:val="single" w:color="auto" w:sz="4" w:space="0"/>
              <w:right w:val="single" w:color="auto" w:sz="4" w:space="0"/>
            </w:tcBorders>
            <w:shd w:val="clear" w:color="auto" w:fill="auto"/>
            <w:vAlign w:val="center"/>
          </w:tcPr>
          <w:p w14:paraId="74414B4B">
            <w:r>
              <w:rPr>
                <w:rFonts w:hint="eastAsia"/>
              </w:rPr>
              <w:t>群众安全感率</w:t>
            </w:r>
          </w:p>
        </w:tc>
        <w:tc>
          <w:tcPr>
            <w:tcW w:w="3330" w:type="dxa"/>
            <w:tcBorders>
              <w:top w:val="single" w:color="auto" w:sz="4" w:space="0"/>
              <w:left w:val="nil"/>
              <w:bottom w:val="single" w:color="auto" w:sz="4" w:space="0"/>
              <w:right w:val="nil"/>
            </w:tcBorders>
            <w:shd w:val="clear" w:color="auto" w:fill="auto"/>
            <w:vAlign w:val="center"/>
          </w:tcPr>
          <w:p w14:paraId="08142A67">
            <w:r>
              <w:rPr>
                <w:rFonts w:hint="eastAsia"/>
              </w:rPr>
              <w:t>大于等于90</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14:paraId="627F4EC0">
            <w:r>
              <w:rPr>
                <w:rFonts w:hint="eastAsia"/>
              </w:rPr>
              <w:t>90.00</w:t>
            </w:r>
          </w:p>
        </w:tc>
        <w:tc>
          <w:tcPr>
            <w:tcW w:w="1049" w:type="dxa"/>
            <w:tcBorders>
              <w:top w:val="single" w:color="auto" w:sz="4" w:space="0"/>
              <w:left w:val="nil"/>
              <w:bottom w:val="single" w:color="auto" w:sz="4" w:space="0"/>
              <w:right w:val="single" w:color="000000" w:sz="4" w:space="0"/>
            </w:tcBorders>
            <w:shd w:val="clear" w:color="auto" w:fill="auto"/>
            <w:noWrap/>
            <w:vAlign w:val="center"/>
          </w:tcPr>
          <w:p w14:paraId="25617A56">
            <w:r>
              <w:rPr>
                <w:rFonts w:hint="eastAsia"/>
              </w:rPr>
              <w:t>90.00</w:t>
            </w:r>
          </w:p>
        </w:tc>
      </w:tr>
      <w:tr w14:paraId="317B5378">
        <w:tblPrEx>
          <w:tblCellMar>
            <w:top w:w="0" w:type="dxa"/>
            <w:left w:w="108" w:type="dxa"/>
            <w:bottom w:w="0" w:type="dxa"/>
            <w:right w:w="108" w:type="dxa"/>
          </w:tblCellMar>
        </w:tblPrEx>
        <w:trPr>
          <w:trHeight w:val="781" w:hRule="atLeast"/>
        </w:trPr>
        <w:tc>
          <w:tcPr>
            <w:tcW w:w="763" w:type="dxa"/>
            <w:vMerge w:val="continue"/>
            <w:tcBorders>
              <w:top w:val="single" w:color="auto" w:sz="4" w:space="0"/>
              <w:left w:val="single" w:color="auto" w:sz="4" w:space="0"/>
              <w:bottom w:val="single" w:color="000000" w:sz="4" w:space="0"/>
              <w:right w:val="single" w:color="auto" w:sz="4" w:space="0"/>
            </w:tcBorders>
            <w:vAlign w:val="center"/>
          </w:tcPr>
          <w:p w14:paraId="36E4A1E3"/>
        </w:tc>
        <w:tc>
          <w:tcPr>
            <w:tcW w:w="1320" w:type="dxa"/>
            <w:tcBorders>
              <w:top w:val="nil"/>
              <w:left w:val="nil"/>
              <w:bottom w:val="single" w:color="auto" w:sz="4" w:space="0"/>
              <w:right w:val="single" w:color="auto" w:sz="4" w:space="0"/>
            </w:tcBorders>
            <w:shd w:val="clear" w:color="auto" w:fill="auto"/>
            <w:vAlign w:val="center"/>
          </w:tcPr>
          <w:p w14:paraId="57ACE90A">
            <w:r>
              <w:rPr>
                <w:rFonts w:hint="eastAsia"/>
              </w:rPr>
              <w:t>服务对象满意度目标</w:t>
            </w:r>
          </w:p>
        </w:tc>
        <w:tc>
          <w:tcPr>
            <w:tcW w:w="1575" w:type="dxa"/>
            <w:tcBorders>
              <w:top w:val="nil"/>
              <w:left w:val="nil"/>
              <w:bottom w:val="single" w:color="auto" w:sz="4" w:space="0"/>
              <w:right w:val="single" w:color="auto" w:sz="4" w:space="0"/>
            </w:tcBorders>
            <w:shd w:val="clear" w:color="auto" w:fill="auto"/>
            <w:vAlign w:val="center"/>
          </w:tcPr>
          <w:p w14:paraId="56505690">
            <w:r>
              <w:rPr>
                <w:rFonts w:hint="eastAsia"/>
              </w:rPr>
              <w:t>网格员满意率</w:t>
            </w:r>
          </w:p>
        </w:tc>
        <w:tc>
          <w:tcPr>
            <w:tcW w:w="3330" w:type="dxa"/>
            <w:tcBorders>
              <w:top w:val="single" w:color="auto" w:sz="4" w:space="0"/>
              <w:left w:val="nil"/>
              <w:bottom w:val="single" w:color="auto" w:sz="4" w:space="0"/>
              <w:right w:val="nil"/>
            </w:tcBorders>
            <w:shd w:val="clear" w:color="auto" w:fill="auto"/>
            <w:vAlign w:val="center"/>
          </w:tcPr>
          <w:p w14:paraId="0C223703">
            <w:r>
              <w:rPr>
                <w:rFonts w:hint="eastAsia"/>
              </w:rPr>
              <w:t>92</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14:paraId="301F3CBD">
            <w:r>
              <w:rPr>
                <w:rFonts w:hint="eastAsia"/>
              </w:rPr>
              <w:t>92.00</w:t>
            </w:r>
          </w:p>
        </w:tc>
        <w:tc>
          <w:tcPr>
            <w:tcW w:w="1049" w:type="dxa"/>
            <w:tcBorders>
              <w:top w:val="single" w:color="auto" w:sz="4" w:space="0"/>
              <w:left w:val="nil"/>
              <w:bottom w:val="single" w:color="auto" w:sz="4" w:space="0"/>
              <w:right w:val="single" w:color="000000" w:sz="4" w:space="0"/>
            </w:tcBorders>
            <w:shd w:val="clear" w:color="auto" w:fill="auto"/>
            <w:noWrap/>
            <w:vAlign w:val="center"/>
          </w:tcPr>
          <w:p w14:paraId="108102B8">
            <w:r>
              <w:rPr>
                <w:rFonts w:hint="eastAsia"/>
              </w:rPr>
              <w:t>92.00</w:t>
            </w:r>
          </w:p>
        </w:tc>
      </w:tr>
    </w:tbl>
    <w:p w14:paraId="2D74BE20">
      <w:pPr>
        <w:ind w:firstLine="420" w:firstLineChars="200"/>
        <w:outlineLvl w:val="0"/>
      </w:pPr>
      <w:bookmarkStart w:id="300" w:name="_Toc32018"/>
      <w:bookmarkStart w:id="301" w:name="_Toc47453281"/>
      <w:r>
        <w:t>二、绩效评价工作开展情况</w:t>
      </w:r>
      <w:bookmarkEnd w:id="300"/>
      <w:bookmarkEnd w:id="301"/>
    </w:p>
    <w:p w14:paraId="34BC0C43">
      <w:pPr>
        <w:ind w:firstLine="420" w:firstLineChars="200"/>
      </w:pPr>
      <w:bookmarkStart w:id="302" w:name="_Toc47453282"/>
      <w:r>
        <w:t>（一）绩效评价目的</w:t>
      </w:r>
      <w:bookmarkEnd w:id="302"/>
    </w:p>
    <w:p w14:paraId="23FD44D1">
      <w:pPr>
        <w:ind w:firstLine="420" w:firstLineChars="200"/>
      </w:pPr>
      <w:r>
        <w:t>通过实施财政绩效评价，全面了解2020年基层网格化运营保障经费（为民办实事）的使用和管理情况、绩效目标完成情况及投入产出的绩效，总结经验，找出管理上存在的不足并提出相应的对策建议，提高财政资金使用效益及效果，提升莆田</w:t>
      </w:r>
      <w:r>
        <w:rPr>
          <w:rFonts w:hint="eastAsia"/>
        </w:rPr>
        <w:t>网格化系统服务社会治理、为民办实事成效，</w:t>
      </w:r>
      <w:r>
        <w:t>为后续项目管理提供有益借鉴。</w:t>
      </w:r>
    </w:p>
    <w:p w14:paraId="6FCA8227">
      <w:pPr>
        <w:ind w:firstLine="420" w:firstLineChars="200"/>
      </w:pPr>
      <w:bookmarkStart w:id="303" w:name="_Toc47453283"/>
      <w:r>
        <w:t>（二）绩效评价依据</w:t>
      </w:r>
      <w:bookmarkEnd w:id="303"/>
    </w:p>
    <w:p w14:paraId="15A0CBDE">
      <w:pPr>
        <w:ind w:firstLine="420" w:firstLineChars="200"/>
      </w:pPr>
      <w:r>
        <w:t>按照科学、规范、客观、公正的原则，依据及《中华人民共和国预算法》</w:t>
      </w:r>
      <w:r>
        <w:rPr>
          <w:rFonts w:hint="eastAsia"/>
        </w:rPr>
        <w:t>财政部《财政支出绩效评价管理暂行办法》（财预[</w:t>
      </w:r>
      <w:r>
        <w:t>2011</w:t>
      </w:r>
      <w:r>
        <w:rPr>
          <w:rFonts w:hint="eastAsia"/>
        </w:rPr>
        <w:t>]</w:t>
      </w:r>
      <w:r>
        <w:t>285</w:t>
      </w:r>
      <w:r>
        <w:rPr>
          <w:rFonts w:hint="eastAsia"/>
        </w:rPr>
        <w:t>号）、《福建省财政厅关于印发财政支出绩效评价管理办法》（闽财绩[</w:t>
      </w:r>
      <w:r>
        <w:t>2015</w:t>
      </w:r>
      <w:r>
        <w:rPr>
          <w:rFonts w:hint="eastAsia"/>
        </w:rPr>
        <w:t>]</w:t>
      </w:r>
      <w:r>
        <w:t>4</w:t>
      </w:r>
      <w:r>
        <w:rPr>
          <w:rFonts w:hint="eastAsia"/>
        </w:rPr>
        <w:t>号）、《福建省财政厅关于加强和改进绩效管理有关工作的通知》（闽财绩[</w:t>
      </w:r>
      <w:r>
        <w:t>2017</w:t>
      </w:r>
      <w:r>
        <w:rPr>
          <w:rFonts w:hint="eastAsia"/>
        </w:rPr>
        <w:t>]</w:t>
      </w:r>
      <w:r>
        <w:t>4</w:t>
      </w:r>
      <w:r>
        <w:rPr>
          <w:rFonts w:hint="eastAsia"/>
        </w:rPr>
        <w:t>号）、《关于财政资金绩效管理覆盖率考核事项的通知》（闽财绩[</w:t>
      </w:r>
      <w:r>
        <w:t>2018</w:t>
      </w:r>
      <w:r>
        <w:rPr>
          <w:rFonts w:hint="eastAsia"/>
        </w:rPr>
        <w:t>]</w:t>
      </w:r>
      <w:r>
        <w:t>1</w:t>
      </w:r>
      <w:r>
        <w:rPr>
          <w:rFonts w:hint="eastAsia"/>
        </w:rPr>
        <w:t>号）、</w:t>
      </w:r>
      <w:r>
        <w:t>《莆田市市级财政专项资金管理办法》（莆财预〔2017〕159号）</w:t>
      </w:r>
      <w:r>
        <w:rPr>
          <w:rFonts w:hint="eastAsia"/>
        </w:rPr>
        <w:t>、《莆田市市级财政预算绩效目标管理暂行办法》(莆财绩[</w:t>
      </w:r>
      <w:r>
        <w:t>2019</w:t>
      </w:r>
      <w:r>
        <w:rPr>
          <w:rFonts w:hint="eastAsia"/>
        </w:rPr>
        <w:t>]</w:t>
      </w:r>
      <w:r>
        <w:t>8</w:t>
      </w:r>
      <w:r>
        <w:rPr>
          <w:rFonts w:hint="eastAsia"/>
        </w:rPr>
        <w:t>号)、</w:t>
      </w:r>
      <w:r>
        <w:t>《莆田市市级综治工作经费管理办法》等文件规定，绩效评价小组对2020年基层网格化运营保障经费（为民办实事）的使用情况开展绩效评价。</w:t>
      </w:r>
    </w:p>
    <w:p w14:paraId="4D5A8367">
      <w:pPr>
        <w:ind w:firstLine="420" w:firstLineChars="200"/>
      </w:pPr>
      <w:bookmarkStart w:id="304" w:name="_Toc6181"/>
      <w:bookmarkStart w:id="305" w:name="_Toc17015"/>
      <w:bookmarkStart w:id="306" w:name="_Toc47453287"/>
      <w:r>
        <w:rPr>
          <w:rFonts w:hint="eastAsia"/>
        </w:rPr>
        <w:t>（三）绩效评价方法</w:t>
      </w:r>
      <w:bookmarkEnd w:id="304"/>
      <w:bookmarkEnd w:id="305"/>
    </w:p>
    <w:p w14:paraId="32542F01">
      <w:pPr>
        <w:ind w:firstLine="420" w:firstLineChars="200"/>
      </w:pPr>
      <w:r>
        <w:rPr>
          <w:rFonts w:hint="eastAsia"/>
        </w:rPr>
        <w:t>根据财政部印发的《财政支出绩效评价管理暂行办法》（财预[2011]</w:t>
      </w:r>
      <w:r>
        <w:t>285</w:t>
      </w:r>
      <w:r>
        <w:rPr>
          <w:rFonts w:hint="eastAsia"/>
        </w:rPr>
        <w:t>号）、福建省财政厅印发的关于《福建省财政支出绩效评价管理办法》（闽财绩[</w:t>
      </w:r>
      <w:r>
        <w:t>2015</w:t>
      </w:r>
      <w:r>
        <w:rPr>
          <w:rFonts w:hint="eastAsia"/>
        </w:rPr>
        <w:t>]</w:t>
      </w:r>
      <w:r>
        <w:t>4</w:t>
      </w:r>
      <w:r>
        <w:rPr>
          <w:rFonts w:hint="eastAsia"/>
        </w:rPr>
        <w:t>号）有关财政支出绩效评价的有关规定，参照文中预算绩效评价共性指标体系及《莆田市市级财政预算绩效目标管理暂行办法》(莆财绩[</w:t>
      </w:r>
      <w:r>
        <w:t>2019</w:t>
      </w:r>
      <w:r>
        <w:rPr>
          <w:rFonts w:hint="eastAsia"/>
        </w:rPr>
        <w:t>]</w:t>
      </w:r>
      <w:r>
        <w:t>8号</w:t>
      </w:r>
      <w:r>
        <w:rPr>
          <w:rFonts w:hint="eastAsia"/>
        </w:rPr>
        <w:t>)，结合2020年基层网格化运营保障经费（为民办实事）实际情况，评价工作本着科学规范、公开公正、绩效相关的原则，采用定性评价与定量评价相结合的方式，综合运用案卷研究法、现场勘查法、公众评判法、座谈会、访谈等方法开展评价工作。工作组通过现场对项目资料进行逐一核实了解项目资金的使用和取得的效益情况，并在此基础上召开座谈会和现场走访，最终根据评价问卷、调研及收集资料情况等材料，完成绩效评价报告的撰写。</w:t>
      </w:r>
    </w:p>
    <w:p w14:paraId="7E5C5A5D">
      <w:pPr>
        <w:ind w:firstLine="420" w:firstLineChars="200"/>
      </w:pPr>
      <w:bookmarkStart w:id="307" w:name="_Toc28764"/>
      <w:bookmarkStart w:id="308" w:name="_Toc19298"/>
      <w:r>
        <w:rPr>
          <w:rFonts w:hint="eastAsia"/>
        </w:rPr>
        <w:t>（四）绩效评价工作过程</w:t>
      </w:r>
      <w:bookmarkEnd w:id="307"/>
      <w:bookmarkEnd w:id="308"/>
    </w:p>
    <w:p w14:paraId="17318C9D">
      <w:pPr>
        <w:ind w:firstLine="420" w:firstLineChars="200"/>
      </w:pPr>
      <w:r>
        <w:rPr>
          <w:rFonts w:hint="eastAsia"/>
        </w:rPr>
        <w:t>本次绩效评价工作包括绩效评价工作前期准备、绩效评价实施和绩效评价工作完成三个阶段。</w:t>
      </w:r>
    </w:p>
    <w:p w14:paraId="2A72202D">
      <w:pPr>
        <w:ind w:firstLine="420" w:firstLineChars="200"/>
      </w:pPr>
      <w:r>
        <w:rPr>
          <w:rFonts w:hint="eastAsia"/>
        </w:rPr>
        <w:t xml:space="preserve">1.绩效评价工作前期准备 </w:t>
      </w:r>
    </w:p>
    <w:p w14:paraId="038FF0AE">
      <w:pPr>
        <w:ind w:firstLine="420" w:firstLineChars="200"/>
      </w:pPr>
      <w:r>
        <w:rPr>
          <w:rFonts w:hint="eastAsia"/>
        </w:rPr>
        <w:t>成立绩效评价工作小组，结合评价人员的业务专长、专业素养和工作需要，确定评价小组成员构成和具体分工。</w:t>
      </w:r>
    </w:p>
    <w:p w14:paraId="12101223">
      <w:pPr>
        <w:ind w:firstLine="420" w:firstLineChars="200"/>
      </w:pPr>
      <w:r>
        <w:rPr>
          <w:rFonts w:hint="eastAsia"/>
        </w:rPr>
        <w:t>2.绩效评价实施阶段</w:t>
      </w:r>
    </w:p>
    <w:p w14:paraId="62A3B9A4">
      <w:pPr>
        <w:ind w:firstLine="420" w:firstLineChars="200"/>
      </w:pPr>
      <w:r>
        <w:rPr>
          <w:rFonts w:hint="eastAsia"/>
        </w:rPr>
        <w:t>一是制定绩效评价工作方案，包括项目基本情况、绩效评价思路、项目调查主要方法、评价工作的组织与实施、绩效评价指标体系等，明确各阶段工作任务，为绩效评价工作的开展提供指引。二是根据评价对象的特点、评价内容等，赴项目各级主管部门，根据工作需要，开展实地调研、座谈会、访谈、问卷调查等，收集绩效评价相关资料，并进一步修订绩效评价指标体系。三是评价工作小组根据所取得的资料和现场调查资料情况，采用恰当的评价方法、评价指标和评价标准，对评价对象绩效目标实现程度等绩效情况进行评分，形成初步评价结论。</w:t>
      </w:r>
    </w:p>
    <w:p w14:paraId="4E82D493">
      <w:pPr>
        <w:ind w:firstLine="420" w:firstLineChars="200"/>
      </w:pPr>
      <w:r>
        <w:rPr>
          <w:rFonts w:hint="eastAsia"/>
        </w:rPr>
        <w:t>3.完成绩效评价报告并建档</w:t>
      </w:r>
    </w:p>
    <w:p w14:paraId="50747E0C">
      <w:pPr>
        <w:ind w:firstLine="420" w:firstLineChars="200"/>
      </w:pPr>
      <w:r>
        <w:rPr>
          <w:rFonts w:hint="eastAsia"/>
        </w:rPr>
        <w:t>根据评价工作小组的评价结论等相关资料，归纳问题、分析原因、补充调研、提出对策，形成并提交评价报告。根据评价工作开展路径，整理、保管工作底稿等资料，建立绩效评价档案。</w:t>
      </w:r>
    </w:p>
    <w:p w14:paraId="63E1EEB9">
      <w:pPr>
        <w:ind w:firstLine="420" w:firstLineChars="200"/>
      </w:pPr>
      <w:r>
        <w:t>（五）绩效评价指标体系设计</w:t>
      </w:r>
      <w:bookmarkEnd w:id="306"/>
    </w:p>
    <w:p w14:paraId="0098C0B5">
      <w:pPr>
        <w:ind w:firstLine="420" w:firstLineChars="200"/>
      </w:pPr>
      <w:r>
        <w:rPr>
          <w:rFonts w:hint="eastAsia"/>
        </w:rPr>
        <w:t>根据财政部、福建省和莆田市财政支出绩效评价管理办法的要求，依据相关性原则、重要性原则、可比性原则、系统性原则及经济性原则，参考2020年基层网格化运营保障经费（为民办实事）绩效评价自评表和预算项目绩效监控情况，围绕项目决策、项目管理、项目产出和项目效益四个方面设计绩效评价指标体系以及相应的分值和评分标准。指标体系共</w:t>
      </w:r>
      <w:r>
        <w:t>设置4个一级指标、13个二级指标、2</w:t>
      </w:r>
      <w:r>
        <w:rPr>
          <w:rFonts w:hint="eastAsia"/>
        </w:rPr>
        <w:t>8</w:t>
      </w:r>
      <w:r>
        <w:t>个三级指标，总分值为100分。其中项目决策包括项目立项、绩效目标和预算编制</w:t>
      </w:r>
      <w:r>
        <w:rPr>
          <w:rFonts w:hint="eastAsia"/>
        </w:rPr>
        <w:t>3</w:t>
      </w:r>
      <w:r>
        <w:t>个二级指标，并细分为</w:t>
      </w:r>
      <w:r>
        <w:rPr>
          <w:rFonts w:hint="eastAsia"/>
        </w:rPr>
        <w:t>6</w:t>
      </w:r>
      <w:r>
        <w:t>个三级指标，分值为15分；项目管理包括投入管理、业务管理和财务管理3个二级指标，并细分为</w:t>
      </w:r>
      <w:r>
        <w:rPr>
          <w:rFonts w:hint="eastAsia"/>
        </w:rPr>
        <w:t>8</w:t>
      </w:r>
      <w:r>
        <w:t>个三级指标，分值为25分；项目产出包括产出数量、产出质量和产出实效</w:t>
      </w:r>
      <w:r>
        <w:rPr>
          <w:rFonts w:hint="eastAsia"/>
        </w:rPr>
        <w:t>3个二级指标，并细分为9个三级指标，分值为35分；项目效益包括社会效益、生态效益、可持续发展效益以及满意度4个二级指标，并细分为5个三级指标，分值为25分。评价</w:t>
      </w:r>
      <w:r>
        <w:t>小组对所有的三级指标都进行了具体的指标解释，说明了指标设置的目的和评价的内容，同时规定了明确的、可量化的评分方法。具体的绩效评价指标体系如附件2所示。</w:t>
      </w:r>
    </w:p>
    <w:p w14:paraId="6E667AED">
      <w:pPr>
        <w:ind w:firstLine="420" w:firstLineChars="200"/>
        <w:outlineLvl w:val="0"/>
      </w:pPr>
      <w:bookmarkStart w:id="309" w:name="_Toc47453290"/>
      <w:bookmarkStart w:id="310" w:name="_Toc30290"/>
      <w:r>
        <w:t>三、综合评价情况及评价结论</w:t>
      </w:r>
      <w:bookmarkEnd w:id="309"/>
      <w:bookmarkEnd w:id="310"/>
    </w:p>
    <w:p w14:paraId="65EDFF5E">
      <w:pPr>
        <w:ind w:firstLine="420" w:firstLineChars="200"/>
      </w:pPr>
      <w:r>
        <w:rPr>
          <w:rFonts w:hint="eastAsia"/>
        </w:rPr>
        <w:t>为了全面、客观、有效地进行绩效评价，绩效评价工作组审阅了莆田市财政局和市社会治理网格化中心提供的</w:t>
      </w:r>
      <w:r>
        <w:t>20</w:t>
      </w:r>
      <w:r>
        <w:rPr>
          <w:rFonts w:hint="eastAsia"/>
        </w:rPr>
        <w:t>20年基层网格化运营保障经费（为民办实事）专项资金绩效</w:t>
      </w:r>
      <w:r>
        <w:t>相关材料，与财政局、</w:t>
      </w:r>
      <w:r>
        <w:rPr>
          <w:rFonts w:hint="eastAsia"/>
        </w:rPr>
        <w:t>市社会治理网格化中心</w:t>
      </w:r>
      <w:r>
        <w:t>进行座谈与征求意见，查阅项目档案，收集相关信息资料，实地调研等，采取定性和定量分析方法，通过对4大类</w:t>
      </w:r>
      <w:r>
        <w:rPr>
          <w:rFonts w:hint="eastAsia"/>
        </w:rPr>
        <w:t>28</w:t>
      </w:r>
      <w:r>
        <w:t>项指标逐项评价，对20</w:t>
      </w:r>
      <w:r>
        <w:rPr>
          <w:rFonts w:hint="eastAsia"/>
        </w:rPr>
        <w:t>20年基层网格化运营保障经费（为民办实事）专项资金</w:t>
      </w:r>
      <w:r>
        <w:t>的立项情况、项目资金落实情况、资金管理、业务管理、项目产出、项目效益等方面进行综合评价。总体上，20</w:t>
      </w:r>
      <w:r>
        <w:rPr>
          <w:rFonts w:hint="eastAsia"/>
        </w:rPr>
        <w:t>20年基层网格化运营保障经费（为民办实事）专项资金</w:t>
      </w:r>
      <w:r>
        <w:t>的使用达到了预期目标。该项补助资金绩效评价得分为</w:t>
      </w:r>
      <w:r>
        <w:rPr>
          <w:rFonts w:hint="eastAsia"/>
        </w:rPr>
        <w:t>90.135，评价等级结果为优，分指标分析详见第四部分。</w:t>
      </w:r>
    </w:p>
    <w:p w14:paraId="30FC9D4E">
      <w:pPr>
        <w:ind w:firstLine="420" w:firstLineChars="200"/>
        <w:outlineLvl w:val="0"/>
      </w:pPr>
      <w:bookmarkStart w:id="311" w:name="_Toc47453291"/>
      <w:bookmarkStart w:id="312" w:name="_Toc5583"/>
      <w:r>
        <w:t>四、绩效评价指标分析</w:t>
      </w:r>
      <w:bookmarkEnd w:id="311"/>
      <w:bookmarkEnd w:id="312"/>
      <w:bookmarkStart w:id="313" w:name="_Hlk44574892"/>
    </w:p>
    <w:p w14:paraId="38C89AE6">
      <w:pPr>
        <w:ind w:firstLine="420" w:firstLineChars="200"/>
      </w:pPr>
      <w:bookmarkStart w:id="314" w:name="_Toc25952"/>
      <w:bookmarkStart w:id="315" w:name="_Toc25253"/>
      <w:r>
        <w:rPr>
          <w:rFonts w:hint="eastAsia"/>
        </w:rPr>
        <w:t>（一）项目决策得14.3分（共15分）</w:t>
      </w:r>
      <w:bookmarkEnd w:id="314"/>
      <w:bookmarkEnd w:id="315"/>
    </w:p>
    <w:p w14:paraId="3C371713">
      <w:pPr>
        <w:ind w:firstLine="420" w:firstLineChars="200"/>
      </w:pPr>
      <w:r>
        <w:rPr>
          <w:rFonts w:hint="eastAsia"/>
        </w:rPr>
        <w:t>一级指标“项目决策”下设“项目立项”、“绩效目标”、“预算编制”三个二级指标。</w:t>
      </w:r>
    </w:p>
    <w:p w14:paraId="225F9B9A">
      <w:pPr>
        <w:ind w:firstLine="420" w:firstLineChars="200"/>
      </w:pPr>
      <w:r>
        <w:rPr>
          <w:rFonts w:hint="eastAsia"/>
        </w:rPr>
        <w:t>1.项目立项得5分（满分5分）</w:t>
      </w:r>
    </w:p>
    <w:p w14:paraId="7DC5B590">
      <w:pPr>
        <w:ind w:firstLine="420" w:firstLineChars="200"/>
      </w:pPr>
      <w:r>
        <w:rPr>
          <w:rFonts w:hint="eastAsia"/>
        </w:rPr>
        <w:t>（1）立项依据充分性得</w:t>
      </w:r>
      <w:r>
        <w:t>2</w:t>
      </w:r>
      <w:r>
        <w:rPr>
          <w:rFonts w:hint="eastAsia"/>
        </w:rPr>
        <w:t>分（满分</w:t>
      </w:r>
      <w:r>
        <w:t>2</w:t>
      </w:r>
      <w:r>
        <w:rPr>
          <w:rFonts w:hint="eastAsia"/>
        </w:rPr>
        <w:t>分）</w:t>
      </w:r>
    </w:p>
    <w:p w14:paraId="48B86BF1">
      <w:pPr>
        <w:ind w:firstLine="420" w:firstLineChars="200"/>
      </w:pPr>
      <w:r>
        <w:rPr>
          <w:rFonts w:hint="eastAsia"/>
        </w:rPr>
        <w:t>依据《关于全面提升城乡综合执法和服务治理网格化的实施意见》（莆委办发[2017]3号）、《关于全面提升城乡综合执法和服务治理网格化建设的补充意见》（莆委办发[2017]19号）、《关于开展2017年为民办实事活动的通知》（莆委[2016]76号）、《关于开展2020年为民办实施活动的通知》（莆委[2020]4号），中共莆田市委政法委员会经过对市级为民办实事项目认真研究，决定将基层网格化列为2020年为民办实事项目，中共莆田市委莆田市人民政府《关于开展2020年为民办实事活动的通知》（莆委[2020]4号），2020年起，对全市736个村（社区）基础网格站建设和运营提供必要经费保障，市级财政每个补助0.6万元，共补助441.6万元，（其中：仙游县324个194.4万元、荔城区130个78万元、城厢区120个72万元、涵江区77个46.2万元、秀屿区36个21.6万元、湄洲岛11个6.6万元、北岸38个22.8万元）。立项符合党和国家制定的各项法律法规和政策，符合行业发展规划，依据充分。本指标的标准分为</w:t>
      </w:r>
      <w:r>
        <w:t>2分，得2分。</w:t>
      </w:r>
    </w:p>
    <w:p w14:paraId="78626237">
      <w:pPr>
        <w:ind w:firstLine="420" w:firstLineChars="200"/>
      </w:pPr>
      <w:r>
        <w:rPr>
          <w:rFonts w:hint="eastAsia"/>
        </w:rPr>
        <w:t>（2）立项程序规范性得3分（满分3分）</w:t>
      </w:r>
    </w:p>
    <w:p w14:paraId="6CCC6535">
      <w:pPr>
        <w:ind w:firstLine="420" w:firstLineChars="200"/>
      </w:pPr>
      <w:r>
        <w:rPr>
          <w:rFonts w:hint="eastAsia"/>
        </w:rPr>
        <w:t>专项资金用以保证全市社会服务管理网格工作正常运转，有助于网格系统更好地为社会治理服务，与莆田市社会治理网格化中心的职责相匹配，是公共财政支持范围。2019年年底市委政法委向市政府反馈的《2020年市委市政府为民办实事建议项目相关内容》（意见征求稿）中，建议基层网格化列入2020年市委市政府为民办实事项目；通过市政府常务会议研究、市委常委审定发文《关于开展2020年为民办实事活动的通知》（莆委〔2019〕2号）；2019年11月28日，市委政法委、市财政局正式发文《关于提前下达2020年基层网格化建设经费补助的通知》（莆财行〔2019〕110号）</w:t>
      </w:r>
      <w:r>
        <w:t>，立项程序规范。本指标的标准分为</w:t>
      </w:r>
      <w:r>
        <w:rPr>
          <w:rFonts w:hint="eastAsia"/>
        </w:rPr>
        <w:t>3</w:t>
      </w:r>
      <w:r>
        <w:t>分，得</w:t>
      </w:r>
      <w:r>
        <w:rPr>
          <w:rFonts w:hint="eastAsia"/>
        </w:rPr>
        <w:t>3</w:t>
      </w:r>
      <w:r>
        <w:t>分。</w:t>
      </w:r>
    </w:p>
    <w:p w14:paraId="4BD3BF5F">
      <w:pPr>
        <w:ind w:firstLine="420" w:firstLineChars="200"/>
      </w:pPr>
      <w:r>
        <w:rPr>
          <w:rFonts w:hint="eastAsia"/>
        </w:rPr>
        <w:t>2.绩效目标得4.3分（满分5分）</w:t>
      </w:r>
    </w:p>
    <w:p w14:paraId="2842F137">
      <w:pPr>
        <w:ind w:firstLine="420" w:firstLineChars="200"/>
      </w:pPr>
      <w:r>
        <w:rPr>
          <w:rFonts w:hint="eastAsia"/>
        </w:rPr>
        <w:t>（1）绩效目标合理性得1.8分（满分2分）</w:t>
      </w:r>
    </w:p>
    <w:p w14:paraId="5ADE06A3">
      <w:pPr>
        <w:ind w:firstLine="420" w:firstLineChars="200"/>
      </w:pPr>
      <w:r>
        <w:t>该项目设定的绩效目标与实际网格中心工作内容相关，且与预算确定的资金量相符，并根据网格中心的实际工作设定了产出效益和效果指标。但</w:t>
      </w:r>
      <w:r>
        <w:rPr>
          <w:rFonts w:hint="eastAsia"/>
        </w:rPr>
        <w:t>存在部分指标考核内容重复，时效和成本指标考核内容一致。</w:t>
      </w:r>
      <w:r>
        <w:t>本指标的标准分为</w:t>
      </w:r>
      <w:r>
        <w:rPr>
          <w:rFonts w:hint="eastAsia"/>
        </w:rPr>
        <w:t>2分，得分1.8分。</w:t>
      </w:r>
    </w:p>
    <w:p w14:paraId="73A97C3A">
      <w:pPr>
        <w:ind w:firstLine="420" w:firstLineChars="200"/>
      </w:pPr>
      <w:r>
        <w:rPr>
          <w:rFonts w:hint="eastAsia"/>
        </w:rPr>
        <w:t>（2）绩效指标明确性得2.5分（满分3分）</w:t>
      </w:r>
    </w:p>
    <w:p w14:paraId="6C6EB20C">
      <w:pPr>
        <w:ind w:firstLine="420" w:firstLineChars="200"/>
      </w:pPr>
      <w:r>
        <w:rPr>
          <w:rFonts w:hint="eastAsia"/>
        </w:rPr>
        <w:t>市社会治理网格化中心设置了具体明确、可量化的项目绩效评价指标和完成目标值，</w:t>
      </w:r>
      <w:r>
        <w:t>不足之处</w:t>
      </w:r>
      <w:r>
        <w:rPr>
          <w:rFonts w:hint="eastAsia"/>
        </w:rPr>
        <w:t>在于有些</w:t>
      </w:r>
      <w:r>
        <w:t>目标值的设置缺乏依据，且缺乏可持续发展指标。本指标的标准分为</w:t>
      </w:r>
      <w:r>
        <w:rPr>
          <w:rFonts w:hint="eastAsia"/>
        </w:rPr>
        <w:t>3分，得分2.5分。</w:t>
      </w:r>
    </w:p>
    <w:p w14:paraId="7522F967">
      <w:pPr>
        <w:ind w:firstLine="420" w:firstLineChars="200"/>
      </w:pPr>
      <w:r>
        <w:rPr>
          <w:rFonts w:hint="eastAsia"/>
        </w:rPr>
        <w:t>3.预算编制得5分（满分5分）</w:t>
      </w:r>
    </w:p>
    <w:p w14:paraId="4D246D83">
      <w:pPr>
        <w:ind w:firstLine="420" w:firstLineChars="200"/>
      </w:pPr>
      <w:r>
        <w:rPr>
          <w:rFonts w:hint="eastAsia"/>
        </w:rPr>
        <w:t>（1）预算编制科学性得2分（满分2分）</w:t>
      </w:r>
    </w:p>
    <w:p w14:paraId="51675D7C">
      <w:pPr>
        <w:ind w:firstLine="420" w:firstLineChars="200"/>
      </w:pPr>
      <w:r>
        <w:rPr>
          <w:rFonts w:hint="eastAsia"/>
        </w:rPr>
        <w:t>市社会治理网格化中心的预算编制经过论证，预算编制的资金量与工作相匹配，是根据2020年已建成的村（社区）基层网格站数量，每个网格站补助0.6万元，以此计算财政资金补助金额。本指标的标准分为2分，得分2分。</w:t>
      </w:r>
    </w:p>
    <w:p w14:paraId="0AE87F3A">
      <w:pPr>
        <w:ind w:firstLine="420" w:firstLineChars="200"/>
      </w:pPr>
      <w:r>
        <w:rPr>
          <w:rFonts w:hint="eastAsia"/>
        </w:rPr>
        <w:t>（2）资金分配合理性得3分（满分3分）</w:t>
      </w:r>
    </w:p>
    <w:p w14:paraId="68B7BC8E">
      <w:pPr>
        <w:ind w:firstLine="420" w:firstLineChars="200"/>
      </w:pPr>
      <w:r>
        <w:rPr>
          <w:rFonts w:hint="eastAsia"/>
        </w:rPr>
        <w:t>对全市736个村（社区）基层网格站建设和运营经费保障，市级财政每个补助0.6万元，共补助441.6万元，其中：仙游县324个194.4万元、荔城区130个78万元、城厢区120个72万元、涵江区77个46.2万元、秀屿区36个21.6万元、湄洲岛11个6.6万元、北岸38个22.8万元。</w:t>
      </w:r>
      <w:r>
        <w:t>本指标标准分为</w:t>
      </w:r>
      <w:r>
        <w:rPr>
          <w:rFonts w:hint="eastAsia"/>
        </w:rPr>
        <w:t>3分，得分3分。</w:t>
      </w:r>
    </w:p>
    <w:p w14:paraId="61195AFC">
      <w:pPr>
        <w:ind w:firstLine="420" w:firstLineChars="200"/>
      </w:pPr>
      <w:r>
        <w:rPr>
          <w:rFonts w:hint="eastAsia"/>
        </w:rPr>
        <w:t>（二）</w:t>
      </w:r>
      <w:r>
        <w:t>项目管理</w:t>
      </w:r>
      <w:r>
        <w:rPr>
          <w:rFonts w:hint="eastAsia"/>
        </w:rPr>
        <w:t>得22分（共25分）</w:t>
      </w:r>
    </w:p>
    <w:p w14:paraId="063ABB86">
      <w:pPr>
        <w:ind w:firstLine="420" w:firstLineChars="200"/>
      </w:pPr>
      <w:r>
        <w:rPr>
          <w:rFonts w:hint="eastAsia"/>
        </w:rPr>
        <w:t>一级指标“项目</w:t>
      </w:r>
      <w:r>
        <w:t>管理</w:t>
      </w:r>
      <w:r>
        <w:rPr>
          <w:rFonts w:hint="eastAsia"/>
        </w:rPr>
        <w:t>”下设“投入管理”、“业务管理”、“财务管理”三个二级指标。</w:t>
      </w:r>
    </w:p>
    <w:p w14:paraId="1C786953">
      <w:pPr>
        <w:ind w:firstLine="420" w:firstLineChars="200"/>
      </w:pPr>
      <w:r>
        <w:rPr>
          <w:rFonts w:hint="eastAsia"/>
        </w:rPr>
        <w:t>1.投入管理得9分（满分9分）</w:t>
      </w:r>
    </w:p>
    <w:p w14:paraId="5701C1B5">
      <w:pPr>
        <w:ind w:firstLine="420" w:firstLineChars="200"/>
      </w:pPr>
      <w:r>
        <w:rPr>
          <w:rFonts w:hint="eastAsia"/>
        </w:rPr>
        <w:t>（1）预算执行率得3分（满分3分）</w:t>
      </w:r>
    </w:p>
    <w:p w14:paraId="707CB96D">
      <w:pPr>
        <w:ind w:firstLine="420" w:firstLineChars="200"/>
      </w:pPr>
      <w:r>
        <w:rPr>
          <w:rFonts w:hint="eastAsia"/>
        </w:rPr>
        <w:t>2019年底市财政局批复且下达基层网格化运营保障经费（为民办实事）专项资金441.6万元，县（区、管委会）财政配套经费2598.4万元。因荔城区于2021年7月才向区政法委申请下拨经费，所以县（区、管委会）实际转移支付市级补助433.6万元。县（区、管委会）自筹经费实际支出7578.61万元。预算执行率为（433.6+7578.61）/（441.6+2598.4）*100%=263.56%。本指标的标准分为3分，得分3分。</w:t>
      </w:r>
    </w:p>
    <w:p w14:paraId="3EFE56E0">
      <w:pPr>
        <w:ind w:firstLine="420" w:firstLineChars="200"/>
      </w:pPr>
      <w:r>
        <w:rPr>
          <w:rFonts w:hint="eastAsia"/>
        </w:rPr>
        <w:t>（2）资金分配率得3分（满分3分）</w:t>
      </w:r>
    </w:p>
    <w:p w14:paraId="4057C10C">
      <w:pPr>
        <w:ind w:firstLine="420" w:firstLineChars="200"/>
      </w:pPr>
      <w:r>
        <w:rPr>
          <w:rFonts w:hint="eastAsia"/>
        </w:rPr>
        <w:t>2020年实际转移支付各县区资金总额441.6万元，（其中：仙游县324个194.4万元、荔城区130个78万元、城厢区120个72万元、涵江区77个46.2万元、秀屿区36个21.6万元、湄洲岛11个6.6万元、北岸38个22.8万元），资金分配率为100%。本指标的标准分为3分，得分3分。</w:t>
      </w:r>
    </w:p>
    <w:p w14:paraId="076049F5">
      <w:pPr>
        <w:ind w:firstLine="420" w:firstLineChars="200"/>
      </w:pPr>
      <w:r>
        <w:rPr>
          <w:rFonts w:hint="eastAsia"/>
        </w:rPr>
        <w:t>（3）资金分配及时率得3分（满分3分）</w:t>
      </w:r>
    </w:p>
    <w:p w14:paraId="1F7203DC">
      <w:pPr>
        <w:ind w:firstLine="420" w:firstLineChars="200"/>
      </w:pPr>
      <w:r>
        <w:rPr>
          <w:rFonts w:hint="eastAsia"/>
        </w:rPr>
        <w:t>2020年9月底前市级实际分配下达资金441.6万元，（其中：仙游县324个194.4万元、荔城区130个78万元、城厢区120个72万元、涵江区77个46.2万元、秀屿区36个21.6万元、湄洲岛11个6.6万元、北岸38个22.8万元），市级资金分配及时率为100%；县区中，除荔城区在2020年底前未分配到位，其他县区均已在2020年底前分配或转移支付到位，县区资金分配及时率为82.34%，资金分配及时率为91.17%。本指标的标准分为3分，得分3分。</w:t>
      </w:r>
    </w:p>
    <w:p w14:paraId="6C44B69E">
      <w:pPr>
        <w:ind w:firstLine="420" w:firstLineChars="200"/>
      </w:pPr>
      <w:r>
        <w:rPr>
          <w:rFonts w:hint="eastAsia"/>
        </w:rPr>
        <w:t>2.业务管理得5分（满分6分）</w:t>
      </w:r>
    </w:p>
    <w:p w14:paraId="2DC88B42">
      <w:pPr>
        <w:ind w:firstLine="420" w:firstLineChars="200"/>
      </w:pPr>
      <w:r>
        <w:rPr>
          <w:rFonts w:hint="eastAsia"/>
        </w:rPr>
        <w:t>（1）管理制度健全性得2分（满分2分）</w:t>
      </w:r>
    </w:p>
    <w:p w14:paraId="139F158B">
      <w:pPr>
        <w:ind w:firstLine="420" w:firstLineChars="200"/>
      </w:pPr>
      <w:r>
        <w:rPr>
          <w:rFonts w:hint="eastAsia"/>
        </w:rPr>
        <w:t>2020年，</w:t>
      </w:r>
      <w:r>
        <w:t>莆田市城乡综合执法和服务治理网格化工作领导小组联席会议办公室出台《关于推进为民服务平台事件分流处置的通知（试行）》，明确为民服务平台事件分流处置责任清单与要求；印发《</w:t>
      </w:r>
      <w:r>
        <w:rPr>
          <w:rFonts w:hint="eastAsia"/>
        </w:rPr>
        <w:t>2020年度莆田市综治（网格）中心工作评价细则的通知</w:t>
      </w:r>
      <w:r>
        <w:t>》，明确对各县区（管委会）综治（网格）中心的考核；莆田市综治</w:t>
      </w:r>
      <w:r>
        <w:rPr>
          <w:rFonts w:hint="eastAsia"/>
        </w:rPr>
        <w:t>《网格》中心出台</w:t>
      </w:r>
      <w:r>
        <w:t>《关于进一步提高基础数据和社情民意信息质量的通知》等要求，进一步规范数据收集工作要求，可以看出，莆田市社会治理网格中心管理制度健全，制度建设较规范。</w:t>
      </w:r>
      <w:r>
        <w:rPr>
          <w:rFonts w:hint="eastAsia"/>
        </w:rPr>
        <w:t>本指标的标准分为3分，得分3分。</w:t>
      </w:r>
    </w:p>
    <w:p w14:paraId="45FDFA6E">
      <w:pPr>
        <w:ind w:firstLine="420" w:firstLineChars="200"/>
      </w:pPr>
      <w:r>
        <w:rPr>
          <w:rFonts w:hint="eastAsia"/>
        </w:rPr>
        <w:t>（2）</w:t>
      </w:r>
      <w:r>
        <w:t>制度执行有效性</w:t>
      </w:r>
      <w:r>
        <w:rPr>
          <w:rFonts w:hint="eastAsia"/>
        </w:rPr>
        <w:t>3分（满分4分）</w:t>
      </w:r>
    </w:p>
    <w:p w14:paraId="3D11C92A">
      <w:pPr>
        <w:ind w:firstLine="420" w:firstLineChars="200"/>
      </w:pPr>
      <w:r>
        <w:t>莆田市社会治理</w:t>
      </w:r>
      <w:r>
        <w:rPr>
          <w:rFonts w:hint="eastAsia"/>
        </w:rPr>
        <w:t>网格中心出台《网格化工作保密规定》等工作规定，将保密纪律、工作纪律贯穿网格员工作始终。</w:t>
      </w:r>
      <w:r>
        <w:t>经过评价小组随机走访、考察与访谈，各级综治（网格）中心（站）均配备了必要的软硬件设备，每个网格站至少配有</w:t>
      </w:r>
      <w:r>
        <w:rPr>
          <w:rFonts w:hint="eastAsia"/>
        </w:rPr>
        <w:t>2位网格员，且</w:t>
      </w:r>
      <w:r>
        <w:t>网格员对自己</w:t>
      </w:r>
      <w:r>
        <w:rPr>
          <w:rFonts w:hint="eastAsia"/>
        </w:rPr>
        <w:t>所管辖网格区域内的基本情况都比较清楚（除刚入职的网格员外）。网络通讯采购合同等资料齐全存档。</w:t>
      </w:r>
      <w:r>
        <w:t>但发现个别县区资金延期拨付流程不规范。</w:t>
      </w:r>
      <w:r>
        <w:rPr>
          <w:rFonts w:hint="eastAsia"/>
        </w:rPr>
        <w:t>本指标的标准分为4分，得分3分。</w:t>
      </w:r>
    </w:p>
    <w:p w14:paraId="1867E77E">
      <w:pPr>
        <w:ind w:firstLine="420" w:firstLineChars="200"/>
      </w:pPr>
      <w:r>
        <w:rPr>
          <w:rFonts w:hint="eastAsia"/>
        </w:rPr>
        <w:t>3.财务管理得8分（满分10分）</w:t>
      </w:r>
    </w:p>
    <w:p w14:paraId="7719089D">
      <w:pPr>
        <w:ind w:firstLine="420" w:firstLineChars="200"/>
      </w:pPr>
      <w:r>
        <w:rPr>
          <w:rFonts w:hint="eastAsia"/>
        </w:rPr>
        <w:t>（1）财务制度健全性得3分（满分3分）</w:t>
      </w:r>
    </w:p>
    <w:p w14:paraId="0DE91F1B">
      <w:pPr>
        <w:ind w:firstLine="420" w:firstLineChars="200"/>
      </w:pPr>
      <w:r>
        <w:t>莆田市社会治理</w:t>
      </w:r>
      <w:r>
        <w:rPr>
          <w:rFonts w:hint="eastAsia"/>
        </w:rPr>
        <w:t>网格中心制定了《莆田市基层网格化建设经费管理办法》，对莆田市基层网格化建设经费</w:t>
      </w:r>
      <w:r>
        <w:t>的管理和使用做出明确规定。</w:t>
      </w:r>
      <w:r>
        <w:rPr>
          <w:rFonts w:hint="eastAsia"/>
        </w:rPr>
        <w:t>本指标的标准分为3分，得分3分。</w:t>
      </w:r>
    </w:p>
    <w:p w14:paraId="2DFA2A62">
      <w:pPr>
        <w:ind w:firstLine="420" w:firstLineChars="200"/>
      </w:pPr>
      <w:r>
        <w:rPr>
          <w:rFonts w:hint="eastAsia"/>
        </w:rPr>
        <w:t>（2）资金使用合规性得3.5分（满分4分）</w:t>
      </w:r>
    </w:p>
    <w:p w14:paraId="5ED5BF68">
      <w:pPr>
        <w:ind w:firstLine="420" w:firstLineChars="200"/>
      </w:pPr>
      <w:r>
        <w:t>经评价小组调研走访，了解到基层网格化建设经费有些是由县区统筹使用，有些是由县区下拨给乡镇，资金支出都经过既定流程审批。经核查，发现荔城区委政法委员会</w:t>
      </w:r>
      <w:r>
        <w:rPr>
          <w:rFonts w:hint="eastAsia"/>
        </w:rPr>
        <w:t>2020年专项资金并未在2020年度内及时下拨给乡镇（街道），而把2020年专项资金延迟到与2021年专项资金共同拨付给乡镇（街道），目前正处于审批流程中。评价小组认为，此处不够合理，年度专项资金应该当年度转移支付到补助对象上，而不能延迟到下一年，与下一年专项资金共同转移支付。</w:t>
      </w:r>
      <w:r>
        <w:t>本项指标总分</w:t>
      </w:r>
      <w:r>
        <w:rPr>
          <w:rFonts w:hint="eastAsia"/>
        </w:rPr>
        <w:t>4</w:t>
      </w:r>
      <w:r>
        <w:t>分，得分为</w:t>
      </w:r>
      <w:r>
        <w:rPr>
          <w:rFonts w:hint="eastAsia"/>
        </w:rPr>
        <w:t>3.5</w:t>
      </w:r>
      <w:r>
        <w:t>分。</w:t>
      </w:r>
    </w:p>
    <w:p w14:paraId="5FF02F10">
      <w:pPr>
        <w:ind w:firstLine="420" w:firstLineChars="200"/>
      </w:pPr>
      <w:r>
        <w:rPr>
          <w:rFonts w:hint="eastAsia"/>
        </w:rPr>
        <w:t>（3）财务监控有效性得1.5分（满分3分）</w:t>
      </w:r>
    </w:p>
    <w:p w14:paraId="00585338">
      <w:pPr>
        <w:ind w:firstLine="420" w:firstLineChars="200"/>
      </w:pPr>
      <w:r>
        <w:rPr>
          <w:rFonts w:hint="eastAsia"/>
        </w:rPr>
        <w:t>《莆田市基层网格化建设经费管理办法》中规定，市委政法委按照确定的绩效目标对专项资金实施绩效跟踪和评价；市、县两级政法委要确保资金的安全和合理使用，自觉接受财政、审计部门的监督检查，但对财务监控没有明确、具体的规定。</w:t>
      </w:r>
      <w:r>
        <w:t>该专项资金的拨付方式为对县区的转移支付。评价工作小组通过走访、实地调研和查阅相关材料了解到，荔城区把</w:t>
      </w:r>
      <w:r>
        <w:rPr>
          <w:rFonts w:hint="eastAsia"/>
        </w:rPr>
        <w:t>2020年度该</w:t>
      </w:r>
      <w:r>
        <w:t>专项资金推迟到</w:t>
      </w:r>
      <w:r>
        <w:rPr>
          <w:rFonts w:hint="eastAsia"/>
        </w:rPr>
        <w:t>2021年度才申请办理</w:t>
      </w:r>
      <w:r>
        <w:t>转移拨付手续。本项指标总分</w:t>
      </w:r>
      <w:r>
        <w:rPr>
          <w:rFonts w:hint="eastAsia"/>
        </w:rPr>
        <w:t>3</w:t>
      </w:r>
      <w:r>
        <w:t>分，得分为</w:t>
      </w:r>
      <w:r>
        <w:rPr>
          <w:rFonts w:hint="eastAsia"/>
        </w:rPr>
        <w:t>1.5</w:t>
      </w:r>
      <w:r>
        <w:t>分。</w:t>
      </w:r>
    </w:p>
    <w:p w14:paraId="349495ED">
      <w:pPr>
        <w:ind w:firstLine="420" w:firstLineChars="200"/>
      </w:pPr>
      <w:r>
        <w:t>（三）项目产出</w:t>
      </w:r>
      <w:r>
        <w:rPr>
          <w:rFonts w:hint="eastAsia"/>
        </w:rPr>
        <w:t>得30.4分（共35分）</w:t>
      </w:r>
    </w:p>
    <w:p w14:paraId="68BCC7FA">
      <w:pPr>
        <w:ind w:firstLine="420" w:firstLineChars="200"/>
      </w:pPr>
      <w:r>
        <w:rPr>
          <w:rFonts w:hint="eastAsia"/>
        </w:rPr>
        <w:t>一级指标“项目产出”下设“数量指标”、“质量指标”、“时效指标”三个二级指标。</w:t>
      </w:r>
    </w:p>
    <w:p w14:paraId="649AC1C0">
      <w:pPr>
        <w:ind w:firstLine="420" w:firstLineChars="200"/>
      </w:pPr>
      <w:r>
        <w:rPr>
          <w:rFonts w:hint="eastAsia"/>
        </w:rPr>
        <w:t>1.数量指标得13分（共15分）</w:t>
      </w:r>
    </w:p>
    <w:p w14:paraId="702BCA05">
      <w:pPr>
        <w:ind w:firstLine="420" w:firstLineChars="200"/>
      </w:pPr>
      <w:r>
        <w:rPr>
          <w:rFonts w:hint="eastAsia"/>
        </w:rPr>
        <w:t>（1）</w:t>
      </w:r>
      <w:r>
        <w:t>乡镇基础数据采集覆盖面</w:t>
      </w:r>
      <w:r>
        <w:rPr>
          <w:rFonts w:hint="eastAsia"/>
        </w:rPr>
        <w:t>得5分（满分5分）</w:t>
      </w:r>
    </w:p>
    <w:p w14:paraId="0988D967">
      <w:pPr>
        <w:ind w:firstLine="420" w:firstLineChars="200"/>
      </w:pPr>
      <w:r>
        <w:rPr>
          <w:rFonts w:hint="eastAsia"/>
        </w:rPr>
        <w:t>截至2020年底，综治（网格）平台已汇聚基础数据、综合执法、矛盾纠纷、民生服务、社情民意等各类数据信息7785万余条，2020年实际汇聚各类数据信息占总数86.17%；采集录入沿街店面106191家，2020年度实际采集录入沿街店面信息占总数31.93%（具体数据详见表4）。乡镇基础数据采集覆盖面持续达成100%目标。本项指标总分5分，得分为5分。</w:t>
      </w:r>
    </w:p>
    <w:p w14:paraId="7534AEF2">
      <w:pPr>
        <w:ind w:firstLine="420" w:firstLineChars="200"/>
      </w:pPr>
      <w:r>
        <w:rPr>
          <w:rFonts w:hint="eastAsia"/>
        </w:rPr>
        <w:t>表4 数据信息</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6"/>
        <w:gridCol w:w="1710"/>
        <w:gridCol w:w="1890"/>
        <w:gridCol w:w="1733"/>
      </w:tblGrid>
      <w:tr w14:paraId="6AE5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426" w:type="dxa"/>
            <w:vAlign w:val="center"/>
          </w:tcPr>
          <w:p w14:paraId="5361812C"/>
        </w:tc>
        <w:tc>
          <w:tcPr>
            <w:tcW w:w="1710" w:type="dxa"/>
            <w:vAlign w:val="center"/>
          </w:tcPr>
          <w:p w14:paraId="2D2FF061">
            <w:pPr>
              <w:ind w:firstLine="420" w:firstLineChars="200"/>
            </w:pPr>
            <w:r>
              <w:rPr>
                <w:rFonts w:hint="eastAsia"/>
              </w:rPr>
              <w:t>汇聚各类</w:t>
            </w:r>
          </w:p>
          <w:p w14:paraId="11C0BE2D">
            <w:pPr>
              <w:ind w:firstLine="420" w:firstLineChars="200"/>
            </w:pPr>
            <w:r>
              <w:rPr>
                <w:rFonts w:hint="eastAsia"/>
              </w:rPr>
              <w:t>数据信息</w:t>
            </w:r>
          </w:p>
        </w:tc>
        <w:tc>
          <w:tcPr>
            <w:tcW w:w="1890" w:type="dxa"/>
            <w:vAlign w:val="center"/>
          </w:tcPr>
          <w:p w14:paraId="04C835D1">
            <w:pPr>
              <w:ind w:firstLine="420" w:firstLineChars="200"/>
            </w:pPr>
            <w:r>
              <w:rPr>
                <w:rFonts w:hint="eastAsia"/>
              </w:rPr>
              <w:t>采集综合</w:t>
            </w:r>
          </w:p>
          <w:p w14:paraId="3EF3516E">
            <w:pPr>
              <w:ind w:firstLine="420" w:firstLineChars="200"/>
            </w:pPr>
            <w:r>
              <w:rPr>
                <w:rFonts w:hint="eastAsia"/>
              </w:rPr>
              <w:t>执法事件</w:t>
            </w:r>
          </w:p>
        </w:tc>
        <w:tc>
          <w:tcPr>
            <w:tcW w:w="1733" w:type="dxa"/>
            <w:vAlign w:val="center"/>
          </w:tcPr>
          <w:p w14:paraId="13B4DC97">
            <w:pPr>
              <w:ind w:firstLine="420" w:firstLineChars="200"/>
            </w:pPr>
            <w:r>
              <w:rPr>
                <w:rFonts w:hint="eastAsia"/>
              </w:rPr>
              <w:t>采集事件</w:t>
            </w:r>
          </w:p>
          <w:p w14:paraId="761C2607">
            <w:pPr>
              <w:ind w:firstLine="420" w:firstLineChars="200"/>
            </w:pPr>
            <w:r>
              <w:rPr>
                <w:rFonts w:hint="eastAsia"/>
              </w:rPr>
              <w:t>办结率</w:t>
            </w:r>
          </w:p>
        </w:tc>
      </w:tr>
      <w:tr w14:paraId="62C6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26" w:type="dxa"/>
            <w:vAlign w:val="center"/>
          </w:tcPr>
          <w:p w14:paraId="284DE5C3">
            <w:r>
              <w:rPr>
                <w:rFonts w:hint="eastAsia"/>
              </w:rPr>
              <w:t>2018年底</w:t>
            </w:r>
          </w:p>
        </w:tc>
        <w:tc>
          <w:tcPr>
            <w:tcW w:w="1710" w:type="dxa"/>
            <w:vAlign w:val="center"/>
          </w:tcPr>
          <w:p w14:paraId="2D50DEA0">
            <w:r>
              <w:rPr>
                <w:rFonts w:hint="eastAsia"/>
              </w:rPr>
              <w:t>466万</w:t>
            </w:r>
          </w:p>
        </w:tc>
        <w:tc>
          <w:tcPr>
            <w:tcW w:w="1890" w:type="dxa"/>
            <w:vAlign w:val="center"/>
          </w:tcPr>
          <w:p w14:paraId="4E286A10">
            <w:r>
              <w:t>574334件</w:t>
            </w:r>
          </w:p>
        </w:tc>
        <w:tc>
          <w:tcPr>
            <w:tcW w:w="1733" w:type="dxa"/>
            <w:vAlign w:val="center"/>
          </w:tcPr>
          <w:p w14:paraId="58CF9ED3">
            <w:r>
              <w:rPr>
                <w:rFonts w:hint="eastAsia"/>
              </w:rPr>
              <w:t>71.25%</w:t>
            </w:r>
          </w:p>
        </w:tc>
      </w:tr>
      <w:tr w14:paraId="1CEC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26" w:type="dxa"/>
            <w:vAlign w:val="center"/>
          </w:tcPr>
          <w:p w14:paraId="7C17AF59">
            <w:r>
              <w:rPr>
                <w:rFonts w:hint="eastAsia"/>
              </w:rPr>
              <w:t>2019年底</w:t>
            </w:r>
          </w:p>
        </w:tc>
        <w:tc>
          <w:tcPr>
            <w:tcW w:w="1710" w:type="dxa"/>
            <w:vAlign w:val="center"/>
          </w:tcPr>
          <w:p w14:paraId="25533BDE">
            <w:r>
              <w:rPr>
                <w:rFonts w:hint="eastAsia"/>
              </w:rPr>
              <w:t>1077万</w:t>
            </w:r>
          </w:p>
        </w:tc>
        <w:tc>
          <w:tcPr>
            <w:tcW w:w="1890" w:type="dxa"/>
            <w:vAlign w:val="center"/>
          </w:tcPr>
          <w:p w14:paraId="471F0E95">
            <w:r>
              <w:rPr>
                <w:rFonts w:hint="eastAsia"/>
              </w:rPr>
              <w:t>1903108件</w:t>
            </w:r>
          </w:p>
        </w:tc>
        <w:tc>
          <w:tcPr>
            <w:tcW w:w="1733" w:type="dxa"/>
            <w:vAlign w:val="center"/>
          </w:tcPr>
          <w:p w14:paraId="7D5C6E7B">
            <w:r>
              <w:rPr>
                <w:rFonts w:hint="eastAsia"/>
              </w:rPr>
              <w:t>81.44%</w:t>
            </w:r>
          </w:p>
        </w:tc>
      </w:tr>
      <w:tr w14:paraId="6231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26" w:type="dxa"/>
            <w:vAlign w:val="center"/>
          </w:tcPr>
          <w:p w14:paraId="3A17367B">
            <w:r>
              <w:rPr>
                <w:rFonts w:hint="eastAsia"/>
              </w:rPr>
              <w:t>2020年底</w:t>
            </w:r>
          </w:p>
        </w:tc>
        <w:tc>
          <w:tcPr>
            <w:tcW w:w="1710" w:type="dxa"/>
            <w:vAlign w:val="center"/>
          </w:tcPr>
          <w:p w14:paraId="7DFD25B6">
            <w:r>
              <w:rPr>
                <w:rFonts w:hint="eastAsia"/>
              </w:rPr>
              <w:t>7785万</w:t>
            </w:r>
          </w:p>
        </w:tc>
        <w:tc>
          <w:tcPr>
            <w:tcW w:w="1890" w:type="dxa"/>
            <w:vAlign w:val="center"/>
          </w:tcPr>
          <w:p w14:paraId="45C17916">
            <w:r>
              <w:rPr>
                <w:rFonts w:hint="eastAsia"/>
              </w:rPr>
              <w:t>2719227件</w:t>
            </w:r>
          </w:p>
        </w:tc>
        <w:tc>
          <w:tcPr>
            <w:tcW w:w="1733" w:type="dxa"/>
            <w:vAlign w:val="center"/>
          </w:tcPr>
          <w:p w14:paraId="13E28E5B">
            <w:r>
              <w:rPr>
                <w:rFonts w:hint="eastAsia"/>
              </w:rPr>
              <w:t>86.75%</w:t>
            </w:r>
          </w:p>
        </w:tc>
      </w:tr>
      <w:tr w14:paraId="0C0F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26" w:type="dxa"/>
            <w:vAlign w:val="center"/>
          </w:tcPr>
          <w:p w14:paraId="6D91A806">
            <w:r>
              <w:rPr>
                <w:rFonts w:hint="eastAsia"/>
              </w:rPr>
              <w:t>2020年实际完成量</w:t>
            </w:r>
          </w:p>
        </w:tc>
        <w:tc>
          <w:tcPr>
            <w:tcW w:w="1710" w:type="dxa"/>
            <w:vAlign w:val="center"/>
          </w:tcPr>
          <w:p w14:paraId="30335383">
            <w:r>
              <w:rPr>
                <w:rFonts w:hint="eastAsia"/>
              </w:rPr>
              <w:t>6708万</w:t>
            </w:r>
          </w:p>
        </w:tc>
        <w:tc>
          <w:tcPr>
            <w:tcW w:w="1890" w:type="dxa"/>
            <w:vAlign w:val="center"/>
          </w:tcPr>
          <w:p w14:paraId="7C7B0EDA">
            <w:r>
              <w:rPr>
                <w:rFonts w:hint="eastAsia"/>
              </w:rPr>
              <w:t>816119件</w:t>
            </w:r>
          </w:p>
        </w:tc>
        <w:tc>
          <w:tcPr>
            <w:tcW w:w="1733" w:type="dxa"/>
            <w:vAlign w:val="center"/>
          </w:tcPr>
          <w:p w14:paraId="679D1056"/>
        </w:tc>
      </w:tr>
      <w:tr w14:paraId="088B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426" w:type="dxa"/>
            <w:vAlign w:val="center"/>
          </w:tcPr>
          <w:p w14:paraId="16694E04">
            <w:r>
              <w:rPr>
                <w:rFonts w:hint="eastAsia"/>
              </w:rPr>
              <w:t>2020年实际完成占比</w:t>
            </w:r>
          </w:p>
        </w:tc>
        <w:tc>
          <w:tcPr>
            <w:tcW w:w="1710" w:type="dxa"/>
            <w:vAlign w:val="center"/>
          </w:tcPr>
          <w:p w14:paraId="537D6DDE">
            <w:r>
              <w:rPr>
                <w:rFonts w:hint="eastAsia"/>
              </w:rPr>
              <w:t>86.17%</w:t>
            </w:r>
          </w:p>
        </w:tc>
        <w:tc>
          <w:tcPr>
            <w:tcW w:w="1890" w:type="dxa"/>
            <w:vAlign w:val="center"/>
          </w:tcPr>
          <w:p w14:paraId="6F5B27DB">
            <w:r>
              <w:rPr>
                <w:rFonts w:hint="eastAsia"/>
              </w:rPr>
              <w:t>30.01%</w:t>
            </w:r>
          </w:p>
        </w:tc>
        <w:tc>
          <w:tcPr>
            <w:tcW w:w="1733" w:type="dxa"/>
            <w:vAlign w:val="center"/>
          </w:tcPr>
          <w:p w14:paraId="167321CB"/>
        </w:tc>
      </w:tr>
    </w:tbl>
    <w:p w14:paraId="309AB88F">
      <w:pPr>
        <w:ind w:firstLine="420" w:firstLineChars="200"/>
      </w:pPr>
      <w:r>
        <w:t>（</w:t>
      </w:r>
      <w:r>
        <w:rPr>
          <w:rFonts w:hint="eastAsia"/>
        </w:rPr>
        <w:t>2）采集事件办结率得5分（满分5分）</w:t>
      </w:r>
    </w:p>
    <w:p w14:paraId="6069474E">
      <w:pPr>
        <w:ind w:firstLine="420" w:firstLineChars="200"/>
      </w:pPr>
      <w:r>
        <w:rPr>
          <w:rFonts w:hint="eastAsia"/>
        </w:rPr>
        <w:t>截至2020年底，全市网格员共采集综合执法事件2719227件，入格部门采集事件办结率达86.75%；2020年度实际采集综合执法事件816119件，占总数30.01%，采集事件办结率较2019年提高6.12%（具体数据详见表4）。本项指标总分5分，得分为5分。</w:t>
      </w:r>
    </w:p>
    <w:p w14:paraId="3BAC8D1F">
      <w:pPr>
        <w:ind w:firstLine="420" w:firstLineChars="200"/>
      </w:pPr>
      <w:r>
        <w:rPr>
          <w:rFonts w:hint="eastAsia"/>
        </w:rPr>
        <w:t>（3）“邻里家家亲”应用覆盖面得3分（满分5分）</w:t>
      </w:r>
    </w:p>
    <w:p w14:paraId="35BEEF9C">
      <w:pPr>
        <w:ind w:firstLine="420" w:firstLineChars="200"/>
      </w:pPr>
      <w:r>
        <w:rPr>
          <w:rFonts w:hint="eastAsia"/>
        </w:rPr>
        <w:t>评价工作小组通过查看“邻里家家亲”应用平台，截至到当天，注册用户有731427人。由于平台只有累计数据，无法看到2020年注册数据。“邻里家家亲”是由“妈祖故里家家亲”改版的，去年只在某些村居进行试点运行，并未开始推广。根据《“邻里家家亲”平台运行管理办法（试行）的通知》（莆平安办[2021]3号），到今年年中已提前完成5万户的注册目标。故2020年度莆田市域社会治理工作计划制定的实现全域覆盖的目标未达成，因2020年按照市委市政府开展“党建+”邻里中心建设的部署要求，对“邻里家家亲”的业务模块功能进行升级适配，到去年年底才开始试运行。本项指标总分5分，得分为3分。</w:t>
      </w:r>
    </w:p>
    <w:p w14:paraId="04196716">
      <w:pPr>
        <w:ind w:firstLine="420" w:firstLineChars="200"/>
      </w:pPr>
      <w:r>
        <w:rPr>
          <w:rFonts w:hint="eastAsia"/>
        </w:rPr>
        <w:t>2.质量指标得13.2分（共15分）</w:t>
      </w:r>
    </w:p>
    <w:p w14:paraId="132804B8">
      <w:pPr>
        <w:ind w:firstLine="420" w:firstLineChars="200"/>
      </w:pPr>
      <w:r>
        <w:rPr>
          <w:rFonts w:hint="eastAsia"/>
        </w:rPr>
        <w:t>（1）</w:t>
      </w:r>
      <w:r>
        <w:t>“多心合一”建设规范率</w:t>
      </w:r>
      <w:r>
        <w:rPr>
          <w:rFonts w:hint="eastAsia"/>
        </w:rPr>
        <w:t>得3分（满分3分）</w:t>
      </w:r>
    </w:p>
    <w:p w14:paraId="047B97A9">
      <w:pPr>
        <w:ind w:firstLine="420" w:firstLineChars="200"/>
      </w:pPr>
      <w:r>
        <w:rPr>
          <w:rFonts w:hint="eastAsia"/>
        </w:rPr>
        <w:t>根据《社会治安综合治理综治中心建设与管理规范》（GB/T33200-2016）、《关于印发&lt;全省综治中心规范化建设的指导意见&gt;的通知》（民委政[2018]54号）、《关于对乡镇（街道）社会治理“多心合一”建设核查验收工作的通知》（莆网格联席办[2019]6号）规范“多心合一”建设标准，结合评价工作小组实地核查、查阅材料，736个村（社区）均已达到“多心合一”标准，“多心合一”建设达标乡镇（街道）100%。本项指标总分3分，得分为3分。</w:t>
      </w:r>
    </w:p>
    <w:p w14:paraId="0D596344">
      <w:pPr>
        <w:ind w:firstLine="420" w:firstLineChars="200"/>
      </w:pPr>
      <w:r>
        <w:rPr>
          <w:rFonts w:hint="eastAsia"/>
        </w:rPr>
        <w:t>（2）网格队伍综合能力提升得4.5分（满分5分）</w:t>
      </w:r>
    </w:p>
    <w:p w14:paraId="2E103449">
      <w:pPr>
        <w:ind w:firstLine="420" w:firstLineChars="200"/>
      </w:pPr>
      <w:r>
        <w:rPr>
          <w:rFonts w:hint="eastAsia"/>
        </w:rPr>
        <w:t>莆田市</w:t>
      </w:r>
      <w:r>
        <w:t>社会治理网格化中心并未制定</w:t>
      </w:r>
      <w:r>
        <w:rPr>
          <w:rFonts w:hint="eastAsia"/>
        </w:rPr>
        <w:t>2020年网格员培训业务规划，因为随着网格与相关部门的联动加强，各县区会根据实际开展的业务，组织培训网格员，所以市级并未制定常规性的培训规划。2020年各县区都有开展业务培训，其中城厢区、涵江区、仙游县比较重视培训，开展了应急演练培训、警情处置培训、“网格+”防走私、留守儿童关爱保护等拓展业务培训以及民兵训练，培训内容较多，范围较广，一定程度提高了网格员的业务能力。本项指标总分5分，得分为4.5分。</w:t>
      </w:r>
    </w:p>
    <w:p w14:paraId="54CB458C">
      <w:pPr>
        <w:ind w:firstLine="420" w:firstLineChars="200"/>
      </w:pPr>
      <w:r>
        <w:rPr>
          <w:rFonts w:hint="eastAsia"/>
        </w:rPr>
        <w:t>（3）</w:t>
      </w:r>
      <w:r>
        <w:t>数据采集、研判质量</w:t>
      </w:r>
      <w:r>
        <w:rPr>
          <w:rFonts w:hint="eastAsia"/>
        </w:rPr>
        <w:t>得3分（满分4分）</w:t>
      </w:r>
    </w:p>
    <w:p w14:paraId="1675763E">
      <w:pPr>
        <w:ind w:firstLine="420" w:firstLineChars="200"/>
      </w:pPr>
      <w:r>
        <w:rPr>
          <w:rFonts w:hint="eastAsia"/>
        </w:rPr>
        <w:t>根据《关于进一步提高基础数据合社情民意信息质量的通知》，对基础数据合社情民意信息采集录入进行规范，根据评价小组的随机抽查比对，网格（巡逻）员个人信息及时更新、数据录入准确。流动人口和出租屋信息采集规范规范，但出租屋的信息采集还存在一些未采集情况；社情民意信息采集和处置结果较规范，个别对其他、投诉意见的归类界限并没有很明显的区分界限，所以有些分类不清；综合执法部门事件采集较规范；个别县区（管委会）由于人口较少，有些未对每月数据情况进行研判分析。但整体来说，平台收集到的数据海量，遵循“应采尽采“的原则，各村镇都有网格信息员核对数据信息输入的规范性。本项指标总分4分，得分为3分。</w:t>
      </w:r>
    </w:p>
    <w:p w14:paraId="186DA0DF">
      <w:pPr>
        <w:ind w:firstLine="420" w:firstLineChars="200"/>
      </w:pPr>
      <w:r>
        <w:rPr>
          <w:rFonts w:hint="eastAsia"/>
        </w:rPr>
        <w:t>（4）</w:t>
      </w:r>
      <w:r>
        <w:t>拓展和丰富“网格</w:t>
      </w:r>
      <w:r>
        <w:rPr>
          <w:rFonts w:hint="eastAsia"/>
        </w:rPr>
        <w:t>+</w:t>
      </w:r>
      <w:r>
        <w:t>”内涵</w:t>
      </w:r>
      <w:r>
        <w:rPr>
          <w:rFonts w:hint="eastAsia"/>
        </w:rPr>
        <w:t>得2.7分（满分3分）</w:t>
      </w:r>
    </w:p>
    <w:p w14:paraId="1D15EA1F">
      <w:pPr>
        <w:ind w:firstLine="420" w:firstLineChars="200"/>
      </w:pPr>
      <w:r>
        <w:rPr>
          <w:rFonts w:hint="eastAsia"/>
        </w:rPr>
        <w:t>莆田市</w:t>
      </w:r>
      <w:r>
        <w:t>社会治理网格化中心在综合执法、便民服务等方面积极拓展和丰富“网格</w:t>
      </w:r>
      <w:r>
        <w:rPr>
          <w:rFonts w:hint="eastAsia"/>
        </w:rPr>
        <w:t>+</w:t>
      </w:r>
      <w:r>
        <w:t>”内涵，目前已发布《</w:t>
      </w:r>
      <w:r>
        <w:rPr>
          <w:rFonts w:hint="eastAsia"/>
        </w:rPr>
        <w:t>关于开展协助法院送达工作的通知</w:t>
      </w:r>
      <w:r>
        <w:t>》（</w:t>
      </w:r>
      <w:r>
        <w:rPr>
          <w:rFonts w:hint="eastAsia"/>
        </w:rPr>
        <w:t>2018年11月19日</w:t>
      </w:r>
      <w:r>
        <w:t>）、《关于建立“网格</w:t>
      </w:r>
      <w:r>
        <w:rPr>
          <w:rFonts w:hint="eastAsia"/>
        </w:rPr>
        <w:t>+</w:t>
      </w:r>
      <w:r>
        <w:t>留守（困境）儿童关爱保护”工作机制的通知》（莆农童联</w:t>
      </w:r>
      <w:r>
        <w:rPr>
          <w:rFonts w:hint="eastAsia"/>
        </w:rPr>
        <w:t>[2019]4号</w:t>
      </w:r>
      <w:r>
        <w:t>）、《关于建立“网格</w:t>
      </w:r>
      <w:r>
        <w:rPr>
          <w:rFonts w:hint="eastAsia"/>
        </w:rPr>
        <w:t>+</w:t>
      </w:r>
      <w:r>
        <w:t>护路联勤”工作平台运行规范的通知》（莆委政</w:t>
      </w:r>
      <w:r>
        <w:rPr>
          <w:rFonts w:hint="eastAsia"/>
        </w:rPr>
        <w:t>[2020]17号</w:t>
      </w:r>
      <w:r>
        <w:t>）、《关于做好“网格</w:t>
      </w:r>
      <w:r>
        <w:rPr>
          <w:rFonts w:hint="eastAsia"/>
        </w:rPr>
        <w:t>+残疾人辅具补贴申报</w:t>
      </w:r>
      <w:r>
        <w:t>”工作的通知》（莆市残联</w:t>
      </w:r>
      <w:r>
        <w:rPr>
          <w:rFonts w:hint="eastAsia"/>
        </w:rPr>
        <w:t>[2020]29号</w:t>
      </w:r>
      <w:r>
        <w:t>）。</w:t>
      </w:r>
      <w:r>
        <w:rPr>
          <w:rFonts w:hint="eastAsia"/>
        </w:rPr>
        <w:t>东南网、闽南网、莆田网、莆田晚报、仙游新闻网等分别对“网格+留守儿童”、“网格+护路联勤”、“网格+残疾人辅具补贴申报”、“网格+法院送达”等做法进行报道。目前，除了“网格+法院送达”由于一些法院积极性不高，所以至今未能在全市推广；其他“网格+”创新服务都已在全市逐步推广；另外也不断拓展“网格+反走私”、“网格+劳动检察”等工作机制，持续深入“一历五单”、“一表五单”特殊人群服务管理机制，为职能部门和社会提供更多信息服务。2020年全市网格员共同参与人口普查工作，发布</w:t>
      </w:r>
      <w:r>
        <w:t>《关于全市网格员共同参与第七次人口普查工作的通知（莆人普办</w:t>
      </w:r>
      <w:r>
        <w:rPr>
          <w:rFonts w:hint="eastAsia"/>
        </w:rPr>
        <w:t>[2020]10号</w:t>
      </w:r>
      <w:r>
        <w:t>）》</w:t>
      </w:r>
      <w:r>
        <w:rPr>
          <w:rFonts w:hint="eastAsia"/>
        </w:rPr>
        <w:t>），协助完成莆田市第七次全国人口普查工作，未按照原定的2020年度工作计划制定“网格+人口普查”具体工作方案。本项指标总分3分，得分为2.7分。</w:t>
      </w:r>
    </w:p>
    <w:p w14:paraId="0E5A111A">
      <w:pPr>
        <w:ind w:firstLine="420" w:firstLineChars="200"/>
      </w:pPr>
      <w:r>
        <w:rPr>
          <w:rFonts w:hint="eastAsia"/>
        </w:rPr>
        <w:t>3.实效指标得4.2分（共5分）</w:t>
      </w:r>
    </w:p>
    <w:p w14:paraId="4343DC91">
      <w:pPr>
        <w:ind w:firstLine="420" w:firstLineChars="200"/>
      </w:pPr>
      <w:r>
        <w:rPr>
          <w:rFonts w:hint="eastAsia"/>
        </w:rPr>
        <w:t>（1）诉求信息流转及时情况得2分（满分2分）</w:t>
      </w:r>
    </w:p>
    <w:p w14:paraId="392D4C78">
      <w:pPr>
        <w:ind w:firstLine="420" w:firstLineChars="200"/>
      </w:pPr>
      <w:r>
        <w:t>综合执法部门事件信息流转时间一般在</w:t>
      </w:r>
      <w:r>
        <w:rPr>
          <w:rFonts w:hint="eastAsia"/>
        </w:rPr>
        <w:t>1-2天，</w:t>
      </w:r>
      <w:r>
        <w:t>根据随机查看平台信息，未发现综合执法部门事件信息流转时间超过</w:t>
      </w:r>
      <w:r>
        <w:rPr>
          <w:rFonts w:hint="eastAsia"/>
        </w:rPr>
        <w:t>2天，与规定时间要求一样。本项指标总分2分，得分为 2分。</w:t>
      </w:r>
    </w:p>
    <w:p w14:paraId="29CDA314">
      <w:pPr>
        <w:ind w:firstLine="420" w:firstLineChars="200"/>
      </w:pPr>
      <w:r>
        <w:t>（</w:t>
      </w:r>
      <w:r>
        <w:rPr>
          <w:rFonts w:hint="eastAsia"/>
        </w:rPr>
        <w:t>2）综合执法部门事件及时处理情况得2.2分（满分3分）</w:t>
      </w:r>
    </w:p>
    <w:p w14:paraId="5A717C9A">
      <w:pPr>
        <w:ind w:firstLine="420" w:firstLineChars="200"/>
      </w:pPr>
      <w:r>
        <w:t>综合执法部门事件及时处理时间都根据不同的分类有相应的时间要求，一般最长不超过</w:t>
      </w:r>
      <w:r>
        <w:rPr>
          <w:rFonts w:hint="eastAsia"/>
        </w:rPr>
        <w:t>30天</w:t>
      </w:r>
      <w:r>
        <w:t>。评价小组随机查看平台</w:t>
      </w:r>
      <w:r>
        <w:rPr>
          <w:rFonts w:hint="eastAsia"/>
        </w:rPr>
        <w:t>2020年7月</w:t>
      </w:r>
      <w:r>
        <w:t>信息，走访综合执法事件</w:t>
      </w:r>
      <w:r>
        <w:rPr>
          <w:rFonts w:hint="eastAsia"/>
        </w:rPr>
        <w:t>501903条，其中有隐患21100条，</w:t>
      </w:r>
      <w:r>
        <w:t>发现</w:t>
      </w:r>
      <w:r>
        <w:rPr>
          <w:rFonts w:hint="eastAsia"/>
        </w:rPr>
        <w:t>有1条未办理，3条预期办理。本项指标总分3分，得分为 2.2分。</w:t>
      </w:r>
    </w:p>
    <w:p w14:paraId="41C5018B">
      <w:pPr>
        <w:ind w:firstLine="420" w:firstLineChars="200"/>
      </w:pPr>
      <w:r>
        <w:t>项目效益</w:t>
      </w:r>
      <w:r>
        <w:rPr>
          <w:rFonts w:hint="eastAsia"/>
        </w:rPr>
        <w:t>得23.435分（共25分）</w:t>
      </w:r>
    </w:p>
    <w:p w14:paraId="65810A2C">
      <w:pPr>
        <w:ind w:firstLine="420" w:firstLineChars="200"/>
      </w:pPr>
      <w:r>
        <w:rPr>
          <w:rFonts w:hint="eastAsia"/>
        </w:rPr>
        <w:t>一级指标“项目效益”下设“社会效益”、“</w:t>
      </w:r>
      <w:r>
        <w:t>生态环境效益</w:t>
      </w:r>
      <w:r>
        <w:rPr>
          <w:rFonts w:hint="eastAsia"/>
        </w:rPr>
        <w:t>”、“</w:t>
      </w:r>
      <w:r>
        <w:t>可持续效益</w:t>
      </w:r>
      <w:r>
        <w:rPr>
          <w:rFonts w:hint="eastAsia"/>
        </w:rPr>
        <w:t>”、“服务对象满意程度”四个二级指标。</w:t>
      </w:r>
    </w:p>
    <w:p w14:paraId="71FE94FF">
      <w:pPr>
        <w:ind w:firstLine="420" w:firstLineChars="200"/>
      </w:pPr>
      <w:r>
        <w:rPr>
          <w:rFonts w:hint="eastAsia"/>
        </w:rPr>
        <w:t>1.社会效益矛盾纠纷得8.735分（满分10分）</w:t>
      </w:r>
    </w:p>
    <w:p w14:paraId="48576073">
      <w:pPr>
        <w:ind w:firstLine="420" w:firstLineChars="200"/>
      </w:pPr>
      <w:r>
        <w:rPr>
          <w:rFonts w:hint="eastAsia"/>
        </w:rPr>
        <w:t>（1）治安问题调处率得4.035分（满分5分）</w:t>
      </w:r>
    </w:p>
    <w:p w14:paraId="0D22F1DC">
      <w:pPr>
        <w:ind w:firstLine="420" w:firstLineChars="200"/>
      </w:pPr>
      <w:r>
        <w:rPr>
          <w:rFonts w:hint="eastAsia"/>
        </w:rPr>
        <w:t>通过网格中心的全面采集、流转督办，形成综治网格事件流转督办反馈闭环机制，有助于解决事件，推动风险隐患整改和重大事件化解。莆田城市调查队调查数据显示，2020年 “矛盾纠纷或治安问题调处率”为74.70%，同比增长0.76%。本项指标总分5分，得分为 4.035分。</w:t>
      </w:r>
    </w:p>
    <w:p w14:paraId="01A4346F">
      <w:pPr>
        <w:ind w:firstLine="420" w:firstLineChars="200"/>
      </w:pPr>
      <w:r>
        <w:rPr>
          <w:rFonts w:hint="eastAsia"/>
        </w:rPr>
        <w:t>（2）“综治三率提升”得4.7分（满分5分）</w:t>
      </w:r>
    </w:p>
    <w:p w14:paraId="4D882F0C">
      <w:pPr>
        <w:ind w:firstLine="420" w:firstLineChars="200"/>
      </w:pPr>
      <w:r>
        <w:rPr>
          <w:rFonts w:hint="eastAsia"/>
        </w:rPr>
        <w:t>2020年，各县区（管委会）网格中心开展巡查巡防、平安宣传、平安创建等日常综治业务，落实网格员常态化入户走访工作。根据城市调查队2018年-2020年三年“综治三率”数据的比较，可以发现2020年“综治三率”都得到提升，且都提升超过0.25分，特别是群众安全感率在全省排名第4，“扫黑成效评价”和“执法工作满意率”较2019年全省排名分别提升1、2名，但在全省仍靠后（见表5）。本项指标总分5分，得分为4.7分。</w:t>
      </w:r>
    </w:p>
    <w:p w14:paraId="119D1777">
      <w:pPr>
        <w:ind w:firstLine="420" w:firstLineChars="200"/>
      </w:pPr>
      <w:r>
        <w:rPr>
          <w:rFonts w:hint="eastAsia"/>
        </w:rPr>
        <w:t>表5  城市调查队“综治三率”调查数据表</w:t>
      </w:r>
    </w:p>
    <w:tbl>
      <w:tblPr>
        <w:tblStyle w:val="18"/>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052"/>
        <w:gridCol w:w="1235"/>
        <w:gridCol w:w="950"/>
        <w:gridCol w:w="1337"/>
        <w:gridCol w:w="837"/>
        <w:gridCol w:w="1450"/>
      </w:tblGrid>
      <w:tr w14:paraId="3F7F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470" w:type="dxa"/>
            <w:vAlign w:val="center"/>
          </w:tcPr>
          <w:p w14:paraId="57F6C7B8"/>
        </w:tc>
        <w:tc>
          <w:tcPr>
            <w:tcW w:w="2287" w:type="dxa"/>
            <w:gridSpan w:val="2"/>
            <w:vAlign w:val="center"/>
          </w:tcPr>
          <w:p w14:paraId="6DC9A09F">
            <w:r>
              <w:rPr>
                <w:rFonts w:hint="eastAsia"/>
              </w:rPr>
              <w:t>群众安全感率得分</w:t>
            </w:r>
          </w:p>
        </w:tc>
        <w:tc>
          <w:tcPr>
            <w:tcW w:w="2287" w:type="dxa"/>
            <w:gridSpan w:val="2"/>
            <w:vAlign w:val="center"/>
          </w:tcPr>
          <w:p w14:paraId="7D035885">
            <w:r>
              <w:rPr>
                <w:rFonts w:hint="eastAsia"/>
              </w:rPr>
              <w:t>扫黑成效评价</w:t>
            </w:r>
          </w:p>
        </w:tc>
        <w:tc>
          <w:tcPr>
            <w:tcW w:w="2287" w:type="dxa"/>
            <w:gridSpan w:val="2"/>
            <w:vAlign w:val="center"/>
          </w:tcPr>
          <w:p w14:paraId="0E042992">
            <w:r>
              <w:rPr>
                <w:rFonts w:hint="eastAsia"/>
              </w:rPr>
              <w:t>执法工作满意率</w:t>
            </w:r>
          </w:p>
        </w:tc>
      </w:tr>
      <w:tr w14:paraId="6E5E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70" w:type="dxa"/>
            <w:vAlign w:val="center"/>
          </w:tcPr>
          <w:p w14:paraId="5591D601"/>
        </w:tc>
        <w:tc>
          <w:tcPr>
            <w:tcW w:w="1052" w:type="dxa"/>
            <w:vAlign w:val="center"/>
          </w:tcPr>
          <w:p w14:paraId="54615372">
            <w:r>
              <w:rPr>
                <w:rFonts w:hint="eastAsia"/>
              </w:rPr>
              <w:t>莆田</w:t>
            </w:r>
          </w:p>
        </w:tc>
        <w:tc>
          <w:tcPr>
            <w:tcW w:w="1235" w:type="dxa"/>
            <w:vAlign w:val="center"/>
          </w:tcPr>
          <w:p w14:paraId="6E7F6CBF">
            <w:r>
              <w:rPr>
                <w:rFonts w:hint="eastAsia"/>
              </w:rPr>
              <w:t>全省排名</w:t>
            </w:r>
          </w:p>
        </w:tc>
        <w:tc>
          <w:tcPr>
            <w:tcW w:w="950" w:type="dxa"/>
            <w:vAlign w:val="center"/>
          </w:tcPr>
          <w:p w14:paraId="7CB9F675">
            <w:r>
              <w:rPr>
                <w:rFonts w:hint="eastAsia"/>
              </w:rPr>
              <w:t>莆田</w:t>
            </w:r>
          </w:p>
        </w:tc>
        <w:tc>
          <w:tcPr>
            <w:tcW w:w="1337" w:type="dxa"/>
            <w:vAlign w:val="center"/>
          </w:tcPr>
          <w:p w14:paraId="3DD5E443">
            <w:r>
              <w:rPr>
                <w:rFonts w:hint="eastAsia"/>
              </w:rPr>
              <w:t>全省排名</w:t>
            </w:r>
          </w:p>
        </w:tc>
        <w:tc>
          <w:tcPr>
            <w:tcW w:w="837" w:type="dxa"/>
            <w:vAlign w:val="center"/>
          </w:tcPr>
          <w:p w14:paraId="4C607468">
            <w:r>
              <w:rPr>
                <w:rFonts w:hint="eastAsia"/>
              </w:rPr>
              <w:t>莆田</w:t>
            </w:r>
          </w:p>
        </w:tc>
        <w:tc>
          <w:tcPr>
            <w:tcW w:w="1450" w:type="dxa"/>
            <w:vAlign w:val="center"/>
          </w:tcPr>
          <w:p w14:paraId="5C010411">
            <w:r>
              <w:rPr>
                <w:rFonts w:hint="eastAsia"/>
              </w:rPr>
              <w:t>全省排名</w:t>
            </w:r>
          </w:p>
        </w:tc>
      </w:tr>
      <w:tr w14:paraId="6CD7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70" w:type="dxa"/>
            <w:vAlign w:val="center"/>
          </w:tcPr>
          <w:p w14:paraId="4932378B">
            <w:r>
              <w:rPr>
                <w:rFonts w:hint="eastAsia"/>
              </w:rPr>
              <w:t>2018年底</w:t>
            </w:r>
          </w:p>
        </w:tc>
        <w:tc>
          <w:tcPr>
            <w:tcW w:w="1052" w:type="dxa"/>
            <w:vAlign w:val="center"/>
          </w:tcPr>
          <w:p w14:paraId="381E340E">
            <w:r>
              <w:rPr>
                <w:rFonts w:hint="eastAsia"/>
              </w:rPr>
              <w:t>98.493</w:t>
            </w:r>
          </w:p>
        </w:tc>
        <w:tc>
          <w:tcPr>
            <w:tcW w:w="1235" w:type="dxa"/>
            <w:vAlign w:val="center"/>
          </w:tcPr>
          <w:p w14:paraId="66D11771">
            <w:r>
              <w:rPr>
                <w:rFonts w:hint="eastAsia"/>
              </w:rPr>
              <w:t>6</w:t>
            </w:r>
          </w:p>
        </w:tc>
        <w:tc>
          <w:tcPr>
            <w:tcW w:w="950" w:type="dxa"/>
            <w:vAlign w:val="center"/>
          </w:tcPr>
          <w:p w14:paraId="377F2202">
            <w:r>
              <w:rPr>
                <w:rFonts w:hint="eastAsia"/>
              </w:rPr>
              <w:t>-</w:t>
            </w:r>
          </w:p>
        </w:tc>
        <w:tc>
          <w:tcPr>
            <w:tcW w:w="1337" w:type="dxa"/>
            <w:vAlign w:val="center"/>
          </w:tcPr>
          <w:p w14:paraId="1B8077D7">
            <w:r>
              <w:rPr>
                <w:rFonts w:hint="eastAsia"/>
              </w:rPr>
              <w:t>-</w:t>
            </w:r>
          </w:p>
        </w:tc>
        <w:tc>
          <w:tcPr>
            <w:tcW w:w="837" w:type="dxa"/>
            <w:vAlign w:val="center"/>
          </w:tcPr>
          <w:p w14:paraId="06C1FAA0">
            <w:r>
              <w:rPr>
                <w:rFonts w:hint="eastAsia"/>
              </w:rPr>
              <w:t>95.88</w:t>
            </w:r>
          </w:p>
        </w:tc>
        <w:tc>
          <w:tcPr>
            <w:tcW w:w="1450" w:type="dxa"/>
            <w:vAlign w:val="center"/>
          </w:tcPr>
          <w:p w14:paraId="74C4BD18">
            <w:r>
              <w:rPr>
                <w:rFonts w:hint="eastAsia"/>
              </w:rPr>
              <w:t>8</w:t>
            </w:r>
          </w:p>
        </w:tc>
      </w:tr>
      <w:tr w14:paraId="2F84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70" w:type="dxa"/>
            <w:vAlign w:val="center"/>
          </w:tcPr>
          <w:p w14:paraId="5058D336">
            <w:r>
              <w:rPr>
                <w:rFonts w:hint="eastAsia"/>
              </w:rPr>
              <w:t>2019年底</w:t>
            </w:r>
          </w:p>
        </w:tc>
        <w:tc>
          <w:tcPr>
            <w:tcW w:w="1052" w:type="dxa"/>
            <w:vAlign w:val="center"/>
          </w:tcPr>
          <w:p w14:paraId="1493317D">
            <w:r>
              <w:rPr>
                <w:rFonts w:hint="eastAsia"/>
              </w:rPr>
              <w:t>98.812</w:t>
            </w:r>
          </w:p>
        </w:tc>
        <w:tc>
          <w:tcPr>
            <w:tcW w:w="1235" w:type="dxa"/>
            <w:vAlign w:val="center"/>
          </w:tcPr>
          <w:p w14:paraId="7E01230F">
            <w:r>
              <w:rPr>
                <w:rFonts w:hint="eastAsia"/>
              </w:rPr>
              <w:t>7</w:t>
            </w:r>
          </w:p>
        </w:tc>
        <w:tc>
          <w:tcPr>
            <w:tcW w:w="950" w:type="dxa"/>
            <w:vAlign w:val="center"/>
          </w:tcPr>
          <w:p w14:paraId="652AB57A">
            <w:r>
              <w:rPr>
                <w:rFonts w:hint="eastAsia"/>
              </w:rPr>
              <w:t>84.58</w:t>
            </w:r>
          </w:p>
        </w:tc>
        <w:tc>
          <w:tcPr>
            <w:tcW w:w="1337" w:type="dxa"/>
            <w:vAlign w:val="center"/>
          </w:tcPr>
          <w:p w14:paraId="7905E7EF">
            <w:r>
              <w:rPr>
                <w:rFonts w:hint="eastAsia"/>
              </w:rPr>
              <w:t>9</w:t>
            </w:r>
          </w:p>
        </w:tc>
        <w:tc>
          <w:tcPr>
            <w:tcW w:w="837" w:type="dxa"/>
            <w:vAlign w:val="center"/>
          </w:tcPr>
          <w:p w14:paraId="0CA82434">
            <w:r>
              <w:rPr>
                <w:rFonts w:hint="eastAsia"/>
              </w:rPr>
              <w:t>96.86</w:t>
            </w:r>
          </w:p>
        </w:tc>
        <w:tc>
          <w:tcPr>
            <w:tcW w:w="1450" w:type="dxa"/>
            <w:vAlign w:val="center"/>
          </w:tcPr>
          <w:p w14:paraId="7C3ACC3B">
            <w:r>
              <w:rPr>
                <w:rFonts w:hint="eastAsia"/>
              </w:rPr>
              <w:t>9</w:t>
            </w:r>
          </w:p>
        </w:tc>
      </w:tr>
      <w:tr w14:paraId="53BD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70" w:type="dxa"/>
            <w:vAlign w:val="center"/>
          </w:tcPr>
          <w:p w14:paraId="519815FB">
            <w:r>
              <w:rPr>
                <w:rFonts w:hint="eastAsia"/>
              </w:rPr>
              <w:t>2020年底</w:t>
            </w:r>
          </w:p>
        </w:tc>
        <w:tc>
          <w:tcPr>
            <w:tcW w:w="1052" w:type="dxa"/>
            <w:vAlign w:val="center"/>
          </w:tcPr>
          <w:p w14:paraId="34509D58">
            <w:r>
              <w:rPr>
                <w:rFonts w:hint="eastAsia"/>
              </w:rPr>
              <w:t>99.063</w:t>
            </w:r>
          </w:p>
        </w:tc>
        <w:tc>
          <w:tcPr>
            <w:tcW w:w="1235" w:type="dxa"/>
            <w:vAlign w:val="center"/>
          </w:tcPr>
          <w:p w14:paraId="51D2120B">
            <w:r>
              <w:rPr>
                <w:rFonts w:hint="eastAsia"/>
              </w:rPr>
              <w:t>4</w:t>
            </w:r>
          </w:p>
        </w:tc>
        <w:tc>
          <w:tcPr>
            <w:tcW w:w="950" w:type="dxa"/>
            <w:vAlign w:val="center"/>
          </w:tcPr>
          <w:p w14:paraId="562F1BDF">
            <w:r>
              <w:rPr>
                <w:rFonts w:hint="eastAsia"/>
              </w:rPr>
              <w:t>98.5</w:t>
            </w:r>
          </w:p>
        </w:tc>
        <w:tc>
          <w:tcPr>
            <w:tcW w:w="1337" w:type="dxa"/>
            <w:vAlign w:val="center"/>
          </w:tcPr>
          <w:p w14:paraId="73823352">
            <w:r>
              <w:rPr>
                <w:rFonts w:hint="eastAsia"/>
              </w:rPr>
              <w:t>8</w:t>
            </w:r>
          </w:p>
        </w:tc>
        <w:tc>
          <w:tcPr>
            <w:tcW w:w="837" w:type="dxa"/>
            <w:vAlign w:val="center"/>
          </w:tcPr>
          <w:p w14:paraId="50B95EA3">
            <w:r>
              <w:rPr>
                <w:rFonts w:hint="eastAsia"/>
              </w:rPr>
              <w:t>97.3</w:t>
            </w:r>
          </w:p>
        </w:tc>
        <w:tc>
          <w:tcPr>
            <w:tcW w:w="1450" w:type="dxa"/>
            <w:vAlign w:val="center"/>
          </w:tcPr>
          <w:p w14:paraId="600E675F">
            <w:r>
              <w:rPr>
                <w:rFonts w:hint="eastAsia"/>
              </w:rPr>
              <w:t>7</w:t>
            </w:r>
          </w:p>
        </w:tc>
      </w:tr>
    </w:tbl>
    <w:p w14:paraId="63978E59">
      <w:pPr>
        <w:ind w:firstLine="420" w:firstLineChars="200"/>
      </w:pPr>
      <w:r>
        <w:rPr>
          <w:rFonts w:hint="eastAsia"/>
        </w:rPr>
        <w:t>2.生态环境效益得4.7分（满分5分）</w:t>
      </w:r>
    </w:p>
    <w:p w14:paraId="4EA3CEF1">
      <w:pPr>
        <w:ind w:firstLine="420" w:firstLineChars="200"/>
      </w:pPr>
      <w:r>
        <w:t>村居（社区）环境卫生好评率。</w:t>
      </w:r>
      <w:r>
        <w:rPr>
          <w:rFonts w:hint="eastAsia"/>
        </w:rPr>
        <w:t>根据综治平台上的投票，认为“村（居）环境卫生</w:t>
      </w:r>
      <w:r>
        <w:t>”</w:t>
      </w:r>
      <w:r>
        <w:rPr>
          <w:rFonts w:hint="eastAsia"/>
        </w:rPr>
        <w:t>“好”的占88.14%,“一般”占11.01%，“差”占0.85%。本项指标总分5分，得分为4.7分。</w:t>
      </w:r>
    </w:p>
    <w:p w14:paraId="2AF0225E">
      <w:pPr>
        <w:ind w:firstLine="420" w:firstLineChars="200"/>
      </w:pPr>
      <w:r>
        <w:rPr>
          <w:rFonts w:hint="eastAsia"/>
        </w:rPr>
        <w:t>3.可持续效益得5分（满分5分）</w:t>
      </w:r>
    </w:p>
    <w:p w14:paraId="2DE13260">
      <w:pPr>
        <w:ind w:firstLine="420" w:firstLineChars="200"/>
      </w:pPr>
      <w:r>
        <w:rPr>
          <w:rFonts w:hint="eastAsia"/>
        </w:rPr>
        <w:t>村（居）治安安全率。根据综治平台上的投票，认为</w:t>
      </w:r>
      <w:r>
        <w:t>“</w:t>
      </w:r>
      <w:r>
        <w:rPr>
          <w:rFonts w:hint="eastAsia"/>
        </w:rPr>
        <w:t>村（居）治安</w:t>
      </w:r>
      <w:r>
        <w:t>”“安全”</w:t>
      </w:r>
      <w:r>
        <w:rPr>
          <w:rFonts w:hint="eastAsia"/>
        </w:rPr>
        <w:t>的占91.85%,“一般”占7.58%，“差”占0.57%。本项指标总分5分，得分为5分。</w:t>
      </w:r>
    </w:p>
    <w:p w14:paraId="663B2E6D">
      <w:pPr>
        <w:ind w:firstLine="420" w:firstLineChars="200"/>
      </w:pPr>
      <w:r>
        <w:rPr>
          <w:rFonts w:hint="eastAsia"/>
        </w:rPr>
        <w:t>4.服务对象满意度得5分（满分5分）</w:t>
      </w:r>
    </w:p>
    <w:p w14:paraId="3FFF038D">
      <w:pPr>
        <w:ind w:firstLine="420" w:firstLineChars="200"/>
      </w:pPr>
      <w:r>
        <w:rPr>
          <w:rFonts w:hint="eastAsia"/>
        </w:rPr>
        <w:t>网络员服务满意度。根据随机问卷调查，合计回收257份有效问卷。表6显示，在257份有效调查问卷中，对网格员的服务满意表示“非常满意”及“满意”共占99.22%。本项指标总分5分，得分为5分。</w:t>
      </w:r>
    </w:p>
    <w:p w14:paraId="3AEB0962">
      <w:pPr>
        <w:ind w:firstLine="420" w:firstLineChars="200"/>
      </w:pPr>
      <w:r>
        <w:rPr>
          <w:rFonts w:hint="eastAsia"/>
        </w:rPr>
        <w:t>表6 调查问卷关于“满意度“统计结果</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414"/>
        <w:gridCol w:w="1414"/>
        <w:gridCol w:w="1414"/>
        <w:gridCol w:w="1414"/>
        <w:gridCol w:w="1414"/>
        <w:gridCol w:w="1218"/>
      </w:tblGrid>
      <w:tr w14:paraId="1DB6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tcBorders>
              <w:tl2br w:val="single" w:color="auto" w:sz="4" w:space="0"/>
            </w:tcBorders>
          </w:tcPr>
          <w:p w14:paraId="5590436E">
            <w:pPr>
              <w:ind w:firstLine="420" w:firstLineChars="200"/>
            </w:pPr>
            <w:r>
              <w:t>评价</w:t>
            </w:r>
          </w:p>
          <w:p w14:paraId="3F4A0F2A">
            <w:pPr>
              <w:ind w:firstLine="420" w:firstLineChars="200"/>
            </w:pPr>
            <w:r>
              <w:t>项目</w:t>
            </w:r>
          </w:p>
        </w:tc>
        <w:tc>
          <w:tcPr>
            <w:tcW w:w="1414" w:type="dxa"/>
            <w:vAlign w:val="center"/>
          </w:tcPr>
          <w:p w14:paraId="27A3A1D2">
            <w:r>
              <w:t>非常满意（份）</w:t>
            </w:r>
          </w:p>
        </w:tc>
        <w:tc>
          <w:tcPr>
            <w:tcW w:w="1414" w:type="dxa"/>
            <w:vAlign w:val="center"/>
          </w:tcPr>
          <w:p w14:paraId="3EB69075">
            <w:r>
              <w:t>满意（份）</w:t>
            </w:r>
          </w:p>
        </w:tc>
        <w:tc>
          <w:tcPr>
            <w:tcW w:w="1414" w:type="dxa"/>
            <w:vAlign w:val="center"/>
          </w:tcPr>
          <w:p w14:paraId="122C718D">
            <w:r>
              <w:t>一般（份）</w:t>
            </w:r>
          </w:p>
        </w:tc>
        <w:tc>
          <w:tcPr>
            <w:tcW w:w="1414" w:type="dxa"/>
            <w:vAlign w:val="center"/>
          </w:tcPr>
          <w:p w14:paraId="3FEE6FD4">
            <w:r>
              <w:t>不满意（</w:t>
            </w:r>
            <w:r>
              <w:rPr>
                <w:rFonts w:hint="eastAsia"/>
              </w:rPr>
              <w:t>份）</w:t>
            </w:r>
          </w:p>
        </w:tc>
        <w:tc>
          <w:tcPr>
            <w:tcW w:w="1414" w:type="dxa"/>
            <w:vAlign w:val="center"/>
          </w:tcPr>
          <w:p w14:paraId="303E24CB">
            <w:r>
              <w:t>有效问卷总计（份）</w:t>
            </w:r>
          </w:p>
        </w:tc>
        <w:tc>
          <w:tcPr>
            <w:tcW w:w="1218" w:type="dxa"/>
            <w:vAlign w:val="center"/>
          </w:tcPr>
          <w:p w14:paraId="37AFC4EB">
            <w:r>
              <w:t>满意度</w:t>
            </w:r>
          </w:p>
        </w:tc>
      </w:tr>
      <w:tr w14:paraId="5082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tcPr>
          <w:p w14:paraId="0D2D0077">
            <w:r>
              <w:t>对网格员的服务</w:t>
            </w:r>
          </w:p>
        </w:tc>
        <w:tc>
          <w:tcPr>
            <w:tcW w:w="1414" w:type="dxa"/>
            <w:vAlign w:val="center"/>
          </w:tcPr>
          <w:p w14:paraId="5FDC9999">
            <w:r>
              <w:rPr>
                <w:rFonts w:hint="eastAsia"/>
              </w:rPr>
              <w:t>190</w:t>
            </w:r>
          </w:p>
        </w:tc>
        <w:tc>
          <w:tcPr>
            <w:tcW w:w="1414" w:type="dxa"/>
            <w:vAlign w:val="center"/>
          </w:tcPr>
          <w:p w14:paraId="6BA83713">
            <w:r>
              <w:rPr>
                <w:rFonts w:hint="eastAsia"/>
              </w:rPr>
              <w:t>65</w:t>
            </w:r>
          </w:p>
        </w:tc>
        <w:tc>
          <w:tcPr>
            <w:tcW w:w="1414" w:type="dxa"/>
            <w:vAlign w:val="center"/>
          </w:tcPr>
          <w:p w14:paraId="472BFBBB">
            <w:r>
              <w:rPr>
                <w:rFonts w:hint="eastAsia"/>
              </w:rPr>
              <w:t>2</w:t>
            </w:r>
          </w:p>
        </w:tc>
        <w:tc>
          <w:tcPr>
            <w:tcW w:w="1414" w:type="dxa"/>
            <w:vAlign w:val="center"/>
          </w:tcPr>
          <w:p w14:paraId="491FFFA9">
            <w:r>
              <w:rPr>
                <w:rFonts w:hint="eastAsia"/>
              </w:rPr>
              <w:t>0</w:t>
            </w:r>
          </w:p>
        </w:tc>
        <w:tc>
          <w:tcPr>
            <w:tcW w:w="1414" w:type="dxa"/>
            <w:vAlign w:val="center"/>
          </w:tcPr>
          <w:p w14:paraId="44CD8AC5">
            <w:r>
              <w:rPr>
                <w:rFonts w:hint="eastAsia"/>
              </w:rPr>
              <w:t>257</w:t>
            </w:r>
          </w:p>
        </w:tc>
        <w:tc>
          <w:tcPr>
            <w:tcW w:w="1218" w:type="dxa"/>
            <w:vAlign w:val="center"/>
          </w:tcPr>
          <w:p w14:paraId="4BEB2D45">
            <w:r>
              <w:rPr>
                <w:rFonts w:hint="eastAsia"/>
              </w:rPr>
              <w:t>99.22%</w:t>
            </w:r>
          </w:p>
        </w:tc>
      </w:tr>
    </w:tbl>
    <w:p w14:paraId="37C83972">
      <w:pPr>
        <w:ind w:firstLine="420" w:firstLineChars="200"/>
        <w:outlineLvl w:val="0"/>
      </w:pPr>
      <w:bookmarkStart w:id="316" w:name="_Toc28844"/>
      <w:r>
        <w:t>五、主要经验及做法</w:t>
      </w:r>
      <w:bookmarkEnd w:id="316"/>
    </w:p>
    <w:p w14:paraId="33BB9A96">
      <w:pPr>
        <w:ind w:firstLine="420" w:firstLineChars="200"/>
      </w:pPr>
      <w:r>
        <w:t>（一）依托大数据，创新社会治理</w:t>
      </w:r>
    </w:p>
    <w:p w14:paraId="01B91710">
      <w:pPr>
        <w:ind w:firstLine="420" w:firstLineChars="200"/>
      </w:pPr>
      <w:r>
        <w:rPr>
          <w:rFonts w:hint="eastAsia"/>
        </w:rPr>
        <w:t>2017年以来，莆田市社会治理网格化中心通过实践探索，积极探索大数据引领下的市域社会治理，逐步形成了独具特色的“打造大平台、建立大机制、整合大队伍、优化大服务、构筑大群防”的网格化工作“莆田模式”。2020年以来，市委政法委以“六联驱动”和“综治</w:t>
      </w:r>
      <w:r>
        <w:t>+”</w:t>
      </w:r>
      <w:r>
        <w:rPr>
          <w:rFonts w:hint="eastAsia"/>
        </w:rPr>
        <w:t>治理智能载体建设</w:t>
      </w:r>
      <w:r>
        <w:t>为</w:t>
      </w:r>
      <w:r>
        <w:rPr>
          <w:rFonts w:hint="eastAsia"/>
        </w:rPr>
        <w:t>抓手</w:t>
      </w:r>
      <w:r>
        <w:t>，助力完善党委领导、政府负责、民主协商、社会协同、公众参与、法治保障、科技支撑的</w:t>
      </w:r>
      <w:r>
        <w:rPr>
          <w:rFonts w:hint="eastAsia"/>
        </w:rPr>
        <w:t>社区</w:t>
      </w:r>
      <w:r>
        <w:t>治理体制机制，实现政府治理和社会调节、居民自治良性互动</w:t>
      </w:r>
      <w:r>
        <w:rPr>
          <w:rFonts w:hint="eastAsia"/>
        </w:rPr>
        <w:t>，有效提升基层社会治理效能，初步形成较为系统、全面的“莆田·视域社会治理之人体结构模型”治理体系。在第四届数字中国建设峰会·福建“数字政法”成果展上，“综治+”社区治理平台作为全省唯一实体化、实战化运行的社区治理平台，得到了省委领导的充分肯定。</w:t>
      </w:r>
    </w:p>
    <w:p w14:paraId="51B7084E">
      <w:pPr>
        <w:ind w:firstLine="420" w:firstLineChars="200"/>
      </w:pPr>
      <w:r>
        <w:rPr>
          <w:rFonts w:hint="eastAsia"/>
        </w:rPr>
        <w:t>（二）整合数据资源，推动精细化治理</w:t>
      </w:r>
    </w:p>
    <w:p w14:paraId="690FB2C9">
      <w:pPr>
        <w:ind w:firstLine="420" w:firstLineChars="200"/>
      </w:pPr>
      <w:r>
        <w:rPr>
          <w:rFonts w:hint="eastAsia"/>
        </w:rPr>
        <w:t>通过网格员统一信息采集，部门实时共享，做到网格内“人、事、地、物、情、组织”底数情况明，为入格部门提供基础信息数据支撑和业务流转平台，及时向相关职能部门反映问题，助力社会问题的及时解决，推动社会治理从粗放型管理向精细化治理转变。</w:t>
      </w:r>
      <w:r>
        <w:t>形成以网格治理平台、研判分析平台、“综治</w:t>
      </w:r>
      <w:r>
        <w:rPr>
          <w:rFonts w:hint="eastAsia"/>
        </w:rPr>
        <w:t>+</w:t>
      </w:r>
      <w:r>
        <w:t>”社区治理平台、“邻里家家亲”基层自治平台等“四位一体”的市域社会治理平台。</w:t>
      </w:r>
      <w:r>
        <w:rPr>
          <w:rFonts w:hint="eastAsia"/>
        </w:rPr>
        <w:t>一方面能及时将各类散乱的海量数据从无需和不可利用变成有序灵活使用的治理数据，减轻基层重复录入信息的压力，增强信息资源的使用与共享；另一方面，能及时回应群众期盼以及提供一站式服务，有效应对群众对社会治理的期待和渴望，通过“职能部门依法履职+网格力量联动协勤”的方式，有效解决了部门执法效率低、监管不到位的问题，倒逼政府部门依法履职，推动政府向多元治理转变。</w:t>
      </w:r>
    </w:p>
    <w:p w14:paraId="5C1B7FD9">
      <w:pPr>
        <w:ind w:firstLine="420" w:firstLineChars="200"/>
      </w:pPr>
      <w:r>
        <w:rPr>
          <w:rFonts w:hint="eastAsia"/>
        </w:rPr>
        <w:t>（三）持续深化网格治理，落实“我为群众办实事”</w:t>
      </w:r>
    </w:p>
    <w:p w14:paraId="22F1D097">
      <w:pPr>
        <w:ind w:firstLine="420" w:firstLineChars="200"/>
      </w:pPr>
      <w:r>
        <w:t>市综治网格中心始终坚持把党建引领贯穿于为民办实事工作全过程，积极发挥网格党小组、优秀网格员的先锋模范作用，深入研究围绕群众“急、难、愁、盼”等民生热点、难点、堵点问题，</w:t>
      </w:r>
      <w:r>
        <w:rPr>
          <w:rFonts w:hint="eastAsia"/>
        </w:rPr>
        <w:t>除了帮助公安机关抓获犯罪嫌疑人，帮助查找走失老人、小孩，平时网格员在进村入户过程中，也会遇到一些紧急的情况，会对有需要帮助的群众施以援手，</w:t>
      </w:r>
      <w:r>
        <w:t>将服务触角延伸到居民家门口，推动群众热点难题第一时间解决，实现“我为群众办实事”服务全面覆盖、全员参与、全域提升，持续提升群众对政法工作的满意度和认可度。</w:t>
      </w:r>
    </w:p>
    <w:p w14:paraId="058B887B">
      <w:pPr>
        <w:ind w:firstLine="420" w:firstLineChars="200"/>
      </w:pPr>
      <w:r>
        <w:rPr>
          <w:rFonts w:hint="eastAsia"/>
        </w:rPr>
        <w:t>（四）不断拓展创新，培育个性网格品牌</w:t>
      </w:r>
    </w:p>
    <w:p w14:paraId="7EDAE808">
      <w:pPr>
        <w:ind w:firstLine="420" w:firstLineChars="200"/>
      </w:pPr>
      <w:r>
        <w:t>及时梳理、填充民生服务空白领域，细化“网格+便民服务”“网格+民呼我应”“网格+社会治理”“网格+宣传发动”等工作措施，固化当前工作成果，挖掘、总结、提炼工作中的好经验、好做法，及时塑造具有莆田市域治理特色的品牌亮点，形成良好示范效应和突出影响力的工作先进经验、典型案例。</w:t>
      </w:r>
      <w:r>
        <w:rPr>
          <w:rFonts w:hint="eastAsia"/>
        </w:rPr>
        <w:t>如仙游县将网格化管理体系与公益诉讼观察员制度相结合，创新“网格+公益诉讼”机制；荔城区以黄石工业园区为试点，打造“综治+”园区治理中心；城厢区开通“2682119”服务热线，受理群众家政、日常服务需求，延伸社会服务触角等。</w:t>
      </w:r>
    </w:p>
    <w:p w14:paraId="6C2E7B9A">
      <w:pPr>
        <w:ind w:firstLine="420" w:firstLineChars="200"/>
      </w:pPr>
      <w:r>
        <w:rPr>
          <w:rFonts w:hint="eastAsia"/>
        </w:rPr>
        <w:t>（五）职责明晰，制度规范</w:t>
      </w:r>
    </w:p>
    <w:p w14:paraId="112EDC67">
      <w:pPr>
        <w:ind w:firstLine="420" w:firstLineChars="200"/>
      </w:pPr>
      <w:r>
        <w:t>基层网格从设立之初，就认真研究如何发挥网格在社会中的作用，如何为群众办实事，如何在公众中树立良好形象，因此在网格员入职开始，就明确网格员工作职责与纪律，各项网格工作也制定了明确的工作规范和质量要求，出台基础数据类、标准化建设类、业务规范文件、便民服务类等文件，职责明确，制度规范，使基层网格员都能根据这些文件了解工作要求。同时出台关于印发《</w:t>
      </w:r>
      <w:r>
        <w:rPr>
          <w:rFonts w:hint="eastAsia"/>
        </w:rPr>
        <w:t>2019年度莆田市综治（网格）中心工作考评细则</w:t>
      </w:r>
      <w:r>
        <w:t>》的通知（莆网格联席办</w:t>
      </w:r>
      <w:r>
        <w:rPr>
          <w:rFonts w:hint="eastAsia"/>
        </w:rPr>
        <w:t>[2019]1号</w:t>
      </w:r>
      <w:r>
        <w:t>），明确对基层网格员的考核，也使网格员能够认真完成本职工作，担当好为民办实事的责任。</w:t>
      </w:r>
    </w:p>
    <w:p w14:paraId="7FAFF6C1">
      <w:pPr>
        <w:ind w:firstLine="420" w:firstLineChars="200"/>
        <w:outlineLvl w:val="0"/>
      </w:pPr>
      <w:bookmarkStart w:id="317" w:name="_Toc10438"/>
      <w:r>
        <w:rPr>
          <w:rFonts w:hint="eastAsia"/>
        </w:rPr>
        <w:t>六、存在的问题</w:t>
      </w:r>
      <w:bookmarkEnd w:id="317"/>
    </w:p>
    <w:p w14:paraId="21A48410">
      <w:pPr>
        <w:ind w:firstLine="420" w:firstLineChars="200"/>
      </w:pPr>
      <w:r>
        <w:rPr>
          <w:rFonts w:hint="eastAsia"/>
        </w:rPr>
        <w:t>（一）专项资金绩效目标设置方面</w:t>
      </w:r>
    </w:p>
    <w:p w14:paraId="46FFA736">
      <w:pPr>
        <w:ind w:firstLine="420" w:firstLineChars="200"/>
      </w:pPr>
      <w:r>
        <w:rPr>
          <w:rFonts w:hint="eastAsia"/>
        </w:rPr>
        <w:t>预算绩效目标是预算安排的前置条件，也是预算绩效考核的依据，科学、合理设置政府和部门单位的绩效目标是预算绩效管理的关键环节。绩效目标主要涉及比较微观的数据采集方面，未从年度工作计划整体角度出发设计考核指标。此外，个别绩效指标评价标准缺乏依据与可比性，无法评判得分。</w:t>
      </w:r>
    </w:p>
    <w:p w14:paraId="4757CC8D">
      <w:pPr>
        <w:ind w:firstLine="420" w:firstLineChars="200"/>
      </w:pPr>
      <w:r>
        <w:rPr>
          <w:rFonts w:hint="eastAsia"/>
        </w:rPr>
        <w:t>（二）业务管理方面</w:t>
      </w:r>
    </w:p>
    <w:p w14:paraId="66B6D86A">
      <w:pPr>
        <w:ind w:firstLine="420" w:firstLineChars="200"/>
      </w:pPr>
      <w:r>
        <w:rPr>
          <w:rFonts w:hint="eastAsia"/>
        </w:rPr>
        <w:t>一是基层网格员工资待遇较低，人员流动性较大，每年网格员流动率远超50%，这样不利于网格工作的长期稳定开展。二是部门联动性不足。全市已有34个市直部门163项业务及服务纳入网格化管理，工作内涵包罗万象已远超政法工作内容，单单依托市综治（网格）中心“小牛拉大车”，难以与34个市直部门形成较好的部门联动。</w:t>
      </w:r>
    </w:p>
    <w:p w14:paraId="6CB54600">
      <w:pPr>
        <w:ind w:firstLine="420" w:firstLineChars="200"/>
        <w:outlineLvl w:val="0"/>
      </w:pPr>
      <w:bookmarkStart w:id="318" w:name="_Toc2137"/>
      <w:r>
        <w:rPr>
          <w:rFonts w:hint="eastAsia"/>
        </w:rPr>
        <w:t>七、相关建议</w:t>
      </w:r>
      <w:bookmarkEnd w:id="318"/>
    </w:p>
    <w:p w14:paraId="60C1DDFF">
      <w:pPr>
        <w:ind w:firstLine="420" w:firstLineChars="200"/>
      </w:pPr>
      <w:r>
        <w:rPr>
          <w:rFonts w:hint="eastAsia"/>
        </w:rPr>
        <w:t>（一）优化专项资金绩效目标设置</w:t>
      </w:r>
    </w:p>
    <w:p w14:paraId="0948B6A7">
      <w:pPr>
        <w:ind w:firstLine="420" w:firstLineChars="200"/>
      </w:pPr>
      <w:r>
        <w:rPr>
          <w:rFonts w:hint="eastAsia"/>
        </w:rPr>
        <w:t>绩效目标是贯穿预算绩效管理始终的主线，是预算资金安排、事中绩效监控和事后绩效评价的重要依据。基层网格化运营保障经费（为民办实事）专项资金的目标设置要围绕专项资金使用效用，结合部门年度工作计划，从整体工作角度出发设计考评指标，目标值的设定要有依据或具有可比性。</w:t>
      </w:r>
    </w:p>
    <w:p w14:paraId="6B30CBEF">
      <w:pPr>
        <w:ind w:firstLine="420" w:firstLineChars="200"/>
      </w:pPr>
      <w:r>
        <w:rPr>
          <w:rFonts w:hint="eastAsia"/>
        </w:rPr>
        <w:t>（二）优化资金管理与使用</w:t>
      </w:r>
    </w:p>
    <w:p w14:paraId="0A656DF1">
      <w:pPr>
        <w:ind w:firstLine="420" w:firstLineChars="200"/>
      </w:pPr>
      <w:r>
        <w:t>一是细化资金监督管理办法，市委政法委要加强对专项资金使用情况的监督检查和跟踪问效，对专项资金实施全过程进行绩效管理；二是加强与财政、统计部门的沟通和信息共享，及时了解各县区、乡镇</w:t>
      </w:r>
      <w:r>
        <w:rPr>
          <w:rFonts w:hint="eastAsia"/>
        </w:rPr>
        <w:t>财政专项资金的支付与使用情况，并及时做出指导。</w:t>
      </w:r>
    </w:p>
    <w:p w14:paraId="533FF29B">
      <w:pPr>
        <w:ind w:firstLine="420" w:firstLineChars="200"/>
      </w:pPr>
      <w:r>
        <w:t>（三）优化业务管理</w:t>
      </w:r>
    </w:p>
    <w:p w14:paraId="269C9BF2">
      <w:pPr>
        <w:ind w:firstLine="420" w:firstLineChars="200"/>
      </w:pPr>
      <w:r>
        <w:t>一是适当提高网格员工资水平。网格员的经验与服务代表为民服务的能力，网格员频繁流动，不利于我市网格工作的持续稳定开展。鉴于目前人力成本比较高及网格员的工作量大负担重，建议适当提高网格员工资待遇；二是可以通过资金拼盘，提高网格员待遇。由联动部门按照网格员协助完成的部门任务，给与网格员相应的报酬或奖励，既可以激励网格员工作的积极性，又可以减轻财政负担。比如，网格员协助公安破案，公安局可以设立专项资金，给与奖励。这样通过联动部门经费的支持，保障好网格员的工资收入，让网格员真正投入到为民办实事中。二是由市政法委积极协调各方参与、培育组织、凝聚合力，全面构建以“网格吹哨、部门报到”联动模式，由群众、群团组织、社会组织及其他治理力量广泛参与、高度协同的多元主体共治格局。</w:t>
      </w:r>
    </w:p>
    <w:bookmarkEnd w:id="313"/>
    <w:p w14:paraId="71B0D2DC">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5ABAD9C7">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32C25FE3">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2CD82640">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3AA5257B">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4A928054">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55B5FC1D">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7AD4DECD">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5516E7A7">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7F2635BA">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14:paraId="74A958E9">
      <w:pPr>
        <w:pStyle w:val="2"/>
        <w:jc w:val="center"/>
      </w:pPr>
      <w:bookmarkStart w:id="319" w:name="_Toc27694"/>
      <w:r>
        <w:rPr>
          <w:rFonts w:hint="eastAsia"/>
        </w:rPr>
        <w:t>莆田市水务集团有限公司2020年度国有资本运营情况绩效评估报告</w:t>
      </w:r>
      <w:bookmarkEnd w:id="319"/>
    </w:p>
    <w:p w14:paraId="5A8C2936">
      <w:pPr>
        <w:widowControl/>
        <w:tabs>
          <w:tab w:val="left" w:pos="2053"/>
          <w:tab w:val="left" w:pos="3133"/>
          <w:tab w:val="left" w:pos="4213"/>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300" w:lineRule="auto"/>
        <w:jc w:val="center"/>
        <w:rPr>
          <w:rFonts w:ascii="方正小标宋简体" w:hAnsi="方正小标宋简体" w:eastAsia="方正小标宋简体" w:cs="方正小标宋简体"/>
          <w:sz w:val="36"/>
          <w:szCs w:val="36"/>
        </w:rPr>
      </w:pPr>
    </w:p>
    <w:p w14:paraId="2B5221E4">
      <w:pPr>
        <w:ind w:firstLine="420" w:firstLineChars="200"/>
      </w:pPr>
      <w:r>
        <w:rPr>
          <w:rFonts w:hint="eastAsia"/>
        </w:rPr>
        <w:t>为加强财政资金管理，提高财政资金的使用效益，建立科学、合理的财政支出绩效评价管理体系，莆田学院财政绩效管理研究中心接受莆田市财政局委托，</w:t>
      </w:r>
      <w:r>
        <w:t>成立了绩效评价工作组，对</w:t>
      </w:r>
      <w:r>
        <w:rPr>
          <w:rFonts w:hint="eastAsia"/>
        </w:rPr>
        <w:t>莆田市水务集团有限公司（以下简称水务集团）</w:t>
      </w:r>
      <w:r>
        <w:t>2020</w:t>
      </w:r>
      <w:r>
        <w:rPr>
          <w:rFonts w:hint="eastAsia"/>
        </w:rPr>
        <w:t>年度国有资本运营情况</w:t>
      </w:r>
      <w:r>
        <w:t>开展绩效评价</w:t>
      </w:r>
      <w:r>
        <w:rPr>
          <w:rFonts w:hint="eastAsia"/>
        </w:rPr>
        <w:t>工作，形成该绩效评价报告。</w:t>
      </w:r>
    </w:p>
    <w:p w14:paraId="4DF37450">
      <w:pPr>
        <w:ind w:firstLine="420" w:firstLineChars="200"/>
        <w:outlineLvl w:val="0"/>
      </w:pPr>
      <w:bookmarkStart w:id="320" w:name="_Toc10869"/>
      <w:bookmarkStart w:id="321" w:name="_Toc81257061"/>
      <w:bookmarkStart w:id="322" w:name="_Toc76291872"/>
      <w:r>
        <w:rPr>
          <w:rFonts w:hint="eastAsia"/>
        </w:rPr>
        <w:t>一、基本情况</w:t>
      </w:r>
      <w:bookmarkEnd w:id="320"/>
      <w:bookmarkEnd w:id="321"/>
      <w:bookmarkEnd w:id="322"/>
    </w:p>
    <w:p w14:paraId="43EF01C5">
      <w:pPr>
        <w:ind w:firstLine="420" w:firstLineChars="200"/>
      </w:pPr>
      <w:bookmarkStart w:id="323" w:name="_Toc78184418"/>
      <w:bookmarkStart w:id="324" w:name="_Toc49477516"/>
      <w:bookmarkStart w:id="325" w:name="_Toc81257062"/>
      <w:bookmarkStart w:id="326" w:name="_Toc76291876"/>
      <w:r>
        <w:rPr>
          <w:rFonts w:hint="eastAsia"/>
        </w:rPr>
        <w:t>（一）</w:t>
      </w:r>
      <w:bookmarkEnd w:id="323"/>
      <w:bookmarkEnd w:id="324"/>
      <w:r>
        <w:rPr>
          <w:rFonts w:hint="eastAsia"/>
        </w:rPr>
        <w:t>国有资本运营基本情况</w:t>
      </w:r>
      <w:bookmarkEnd w:id="325"/>
    </w:p>
    <w:p w14:paraId="7064C7C6">
      <w:pPr>
        <w:ind w:firstLine="420" w:firstLineChars="200"/>
      </w:pPr>
      <w:r>
        <w:t>1</w:t>
      </w:r>
      <w:r>
        <w:rPr>
          <w:rFonts w:hint="eastAsia"/>
        </w:rPr>
        <w:t>、运营背景</w:t>
      </w:r>
    </w:p>
    <w:p w14:paraId="355DABCA">
      <w:pPr>
        <w:ind w:firstLine="420" w:firstLineChars="200"/>
      </w:pPr>
      <w:r>
        <w:t>水务集团成立于2011年1月</w:t>
      </w:r>
      <w:r>
        <w:rPr>
          <w:rFonts w:hint="eastAsia"/>
        </w:rPr>
        <w:t>，主要业务涉及供水（原水供应及自来水供应）和污水处理等两个方面。</w:t>
      </w:r>
      <w:r>
        <w:t>集团组建以来，</w:t>
      </w:r>
      <w:r>
        <w:rPr>
          <w:rFonts w:hint="eastAsia"/>
        </w:rPr>
        <w:t>主动融入市委市政府“宜居港城、美丽莆田”建设大局，全面落实“双轮驱动”发展战略，</w:t>
      </w:r>
      <w:r>
        <w:t>逐步拓展涉水</w:t>
      </w:r>
      <w:r>
        <w:rPr>
          <w:rFonts w:hint="eastAsia"/>
        </w:rPr>
        <w:t>产业</w:t>
      </w:r>
      <w:r>
        <w:t>，</w:t>
      </w:r>
      <w:r>
        <w:rPr>
          <w:rFonts w:hint="eastAsia"/>
        </w:rPr>
        <w:t>企业职能逐步扩大，现已涵盖供水（原水和自来水供应）、污水处理、水资源及水生态治理投资等三个方面，以保障民生、服务社会、提供公共产品和服务为主要目标，通过政府及有关部门的政策引领、资金扶持和工作支持，并通过加强管理，不断完善企业治理机制，着力改善企业运营环境和条件，努力提高企业服务质量、运营效率和保障能力。基本实现统一经营管理全市主要原水资源，统一经营管理城乡供水、制水、售水、污水收集、污水处理，统一对涉水项目进行投资开发、运营管理的格局。</w:t>
      </w:r>
    </w:p>
    <w:p w14:paraId="4977414F">
      <w:pPr>
        <w:ind w:firstLine="420" w:firstLineChars="200"/>
      </w:pPr>
      <w:r>
        <w:rPr>
          <w:rFonts w:hint="eastAsia"/>
        </w:rPr>
        <w:t>目前水务集团原水供应方面现有设计原水供应能力49万吨/日，实际原水供水38万吨/日，在建东圳水利枢纽引水配套工程将增加设计原水供水能力43万吨/日；自来水供应方面现有设计自来水供应能力 92.10 吨/日，实际供水 66万吨/日；污水处理设施方面现有设计污水处理能力30.88万吨/日，实际污水处理量26.46万吨/日。截止2020年末，注册资本增至52464万元，集团总资产达114亿元（不含萩芦溪水库公司），其中净资产57亿元，负债57亿元，资产负债率为50%。</w:t>
      </w:r>
    </w:p>
    <w:p w14:paraId="7A3F277B">
      <w:pPr>
        <w:ind w:firstLine="420" w:firstLineChars="200"/>
      </w:pPr>
      <w:r>
        <w:t>2</w:t>
      </w:r>
      <w:r>
        <w:rPr>
          <w:rFonts w:hint="eastAsia"/>
        </w:rPr>
        <w:t>、机构设置与人员情况</w:t>
      </w:r>
    </w:p>
    <w:p w14:paraId="49FFDD1E">
      <w:pPr>
        <w:ind w:firstLine="420" w:firstLineChars="200"/>
      </w:pPr>
      <w:r>
        <w:rPr>
          <w:rFonts w:hint="eastAsia"/>
        </w:rPr>
        <w:t>2019年以来,水务集团为了提高管理效率，开展重组改革工作，成效明显。集团下属原有企业35家，其中：原水企业5家，自来水企业15家，污水处理企业7家，投资性项目企业7家，发电企业1家。2019年集团按照“业务相似、区域相近、统筹规划、节约投资”原则，对集团下属企业进行整合重组，重组成4个版块，即原水引调水供应版块、自来水生产版块、污水处理版块和投资版块等。重组整合后下属企业从35个减少至11个，一是降低行政成本，减少企业机关行政人员，节约行政管理成本；二是降低生产成本，水厂少了，集中制水售水，降低生产、销售成本；三是增强融资能力，整合后的子公司资产、收入、利润额、现金流明显增大，获得金融机构更大额度的贷款授信；四是缩小职工收入差距。由于历史遗留原因，不同公司之间的工资结构、标准差异较大，整合后工资收入逐步拉近；五是加强监管，企业个数少了，集团可加强有效监管；同时开展清理在编不在岗人员工作。制定出台了《莆田市水务集团关于做好“在编不在岗”人员清查整改工作的通知》、《莆田市水务集团关于辞退员工补偿方案的通知》等文件，全力做好“在编不在岗”人员清理工作，促成返岗上班63人，无法胜任工作辞退37人，自动离职13人，其他人员也按规定予以清理。</w:t>
      </w:r>
    </w:p>
    <w:p w14:paraId="6F86E7FA">
      <w:pPr>
        <w:ind w:firstLine="420" w:firstLineChars="200"/>
      </w:pPr>
      <w:r>
        <w:rPr>
          <w:rFonts w:hint="eastAsia"/>
        </w:rPr>
        <w:t>集团现设立党委会、董事会和经营管理层3个管理机构和11个职能部门，下辖</w:t>
      </w:r>
      <w:r>
        <w:t>10</w:t>
      </w:r>
      <w:r>
        <w:rPr>
          <w:rFonts w:hint="eastAsia"/>
        </w:rPr>
        <w:t>家全资子公司和</w:t>
      </w:r>
      <w:r>
        <w:t>1</w:t>
      </w:r>
      <w:r>
        <w:rPr>
          <w:rFonts w:hint="eastAsia"/>
        </w:rPr>
        <w:t>家股份制公司，截止2020年12月31日共有干部职工1117人，其中高级以上职称23人，中级以上职称160人，一级建造师9人，硕士生1</w:t>
      </w:r>
      <w:r>
        <w:t>9</w:t>
      </w:r>
      <w:r>
        <w:rPr>
          <w:rFonts w:hint="eastAsia"/>
        </w:rPr>
        <w:t>人；集团党委下辖7党支部和1个党总支，共有党员340人。</w:t>
      </w:r>
    </w:p>
    <w:p w14:paraId="373F20FD">
      <w:pPr>
        <w:ind w:firstLine="420" w:firstLineChars="200"/>
      </w:pPr>
      <w:r>
        <w:rPr>
          <w:rFonts w:hint="eastAsia"/>
        </w:rPr>
        <w:t>3、国有资本资产情况</w:t>
      </w:r>
    </w:p>
    <w:p w14:paraId="3F17CD18">
      <w:pPr>
        <w:ind w:firstLine="420" w:firstLineChars="200"/>
      </w:pPr>
      <w:r>
        <w:rPr>
          <w:rFonts w:hint="eastAsia"/>
        </w:rPr>
        <w:t>（1）自来水板块</w:t>
      </w:r>
    </w:p>
    <w:p w14:paraId="27383600">
      <w:pPr>
        <w:ind w:firstLine="420" w:firstLineChars="200"/>
      </w:pPr>
      <w:r>
        <w:rPr>
          <w:rFonts w:hint="eastAsia"/>
        </w:rPr>
        <w:t>2020年资产总额为18.51亿元，比去年同期15.25亿元增长21.38%；负债总额为9.13亿元，比去年同期7.46亿元增长22.39%。增长点主要在于莆田市自来水有限公司短期借款增长1.1亿元；莆田市城乡供水有限公司短期借款增长1.2亿元，新增专项应付款0.6亿元等。</w:t>
      </w:r>
    </w:p>
    <w:p w14:paraId="30378D46">
      <w:pPr>
        <w:ind w:firstLine="420" w:firstLineChars="200"/>
      </w:pPr>
      <w:r>
        <w:rPr>
          <w:rFonts w:hint="eastAsia"/>
        </w:rPr>
        <w:t>（2）供水板块</w:t>
      </w:r>
    </w:p>
    <w:p w14:paraId="1EC255B4">
      <w:pPr>
        <w:ind w:firstLine="420" w:firstLineChars="200"/>
      </w:pPr>
      <w:r>
        <w:rPr>
          <w:rFonts w:hint="eastAsia"/>
        </w:rPr>
        <w:t>2020年资产总额14.95亿元，比去年同期11.59亿元增长28.99%；负债总额为4.57亿元，比去年同期3.57亿元增长28.01%。主要增长点在于供水有限公司新增资本公积（集团无偿划转金莆等公司股权）约3亿元，新增专项债资金0.9亿元等。</w:t>
      </w:r>
    </w:p>
    <w:p w14:paraId="35A4234C">
      <w:pPr>
        <w:ind w:firstLine="420" w:firstLineChars="200"/>
      </w:pPr>
      <w:r>
        <w:rPr>
          <w:rFonts w:hint="eastAsia"/>
        </w:rPr>
        <w:t>（3）污水板块</w:t>
      </w:r>
    </w:p>
    <w:p w14:paraId="084DF7FF">
      <w:pPr>
        <w:ind w:firstLine="420" w:firstLineChars="200"/>
      </w:pPr>
      <w:r>
        <w:rPr>
          <w:rFonts w:hint="eastAsia"/>
        </w:rPr>
        <w:t>2020年资产总额为24.62亿元，比去年同期20.27亿元增长21.46%；负债总额为20.38亿元，比去年同期10.44亿元增长95.21%。主要增长点在于莆田市滨海排水有限公司新增国银租赁借款1.5亿元，莆田市闽中水处理有限公司根据华达会计事务所有限公司的账务处理梳理报告将专项拨款科目（权益类）调整至负债类科目5.4亿元，莆田市水质净化有限公司其他应付款增加1.4亿元等。</w:t>
      </w:r>
    </w:p>
    <w:p w14:paraId="4B0504A1">
      <w:pPr>
        <w:ind w:firstLine="420" w:firstLineChars="200"/>
      </w:pPr>
      <w:r>
        <w:rPr>
          <w:rFonts w:hint="eastAsia"/>
        </w:rPr>
        <w:t>（4）项目单位类</w:t>
      </w:r>
    </w:p>
    <w:p w14:paraId="1246ACAD">
      <w:pPr>
        <w:ind w:firstLine="420" w:firstLineChars="200"/>
      </w:pPr>
      <w:r>
        <w:rPr>
          <w:rFonts w:hint="eastAsia"/>
        </w:rPr>
        <w:t>2020年资产总额为57.45亿元，比去年同期49.93亿元增长15.06%；负债总额为18.54亿元，比去年同期13.4亿元增长38.36%。主要增长点在于莆田市莆阳学府建设有限公司新增长期借款4.95亿元（在建工程投资增加3.96亿元）；莆田木兰新城投资开发有限公司新增其他应付款0.6亿元等。</w:t>
      </w:r>
    </w:p>
    <w:p w14:paraId="689B04F7">
      <w:pPr>
        <w:ind w:firstLine="420" w:firstLineChars="200"/>
      </w:pPr>
      <w:r>
        <w:rPr>
          <w:rFonts w:hint="eastAsia"/>
        </w:rPr>
        <w:t>莆田市水务集团有限公司（本部）2020年资产总额为30.72亿元，比去年同期25.29亿元增长21.47%；负债总额为16.12亿元，比去年同期11.21亿元增长43.8%。主要增长点在于新增贷款和融资租赁款3.5亿元，实现利润0.6亿元等。</w:t>
      </w:r>
    </w:p>
    <w:p w14:paraId="6157E4A3">
      <w:pPr>
        <w:ind w:firstLine="420" w:firstLineChars="200"/>
      </w:pPr>
      <w:r>
        <w:rPr>
          <w:rFonts w:hint="eastAsia"/>
        </w:rPr>
        <w:t>以上是基于个别报表层面的分析，站在集团合并角度，需要抵消掉内部投资款和内部往来款，其中：抵消资产33.45亿元，抵消负债13.54亿元，净资产19.91亿元。抵消后，2020年资产总额114.56亿元，比去年同期101.45亿元增长12.92%，负债总额57.35亿元比去年同期41.05亿元增长39.71%，净资产57.21亿元比去年同期60.4亿元下降5.28%。</w:t>
      </w:r>
    </w:p>
    <w:p w14:paraId="38F61AF7">
      <w:pPr>
        <w:ind w:firstLine="420" w:firstLineChars="200"/>
      </w:pPr>
      <w:r>
        <w:rPr>
          <w:rFonts w:hint="eastAsia"/>
        </w:rPr>
        <w:t>4、国有资本经济效益情况</w:t>
      </w:r>
    </w:p>
    <w:p w14:paraId="4B17CC62">
      <w:pPr>
        <w:ind w:firstLine="420" w:firstLineChars="200"/>
      </w:pPr>
      <w:r>
        <w:rPr>
          <w:rFonts w:hint="eastAsia"/>
        </w:rPr>
        <w:t>市水务集团2020年营业总收入47586.68万元，相比去年同期41522.66万元增长14.6%；利润总额（考核口径）4122.77万元，相比去年同期3940.04万元上升4.64%；</w:t>
      </w:r>
    </w:p>
    <w:p w14:paraId="46514C74">
      <w:pPr>
        <w:ind w:firstLine="420" w:firstLineChars="200"/>
      </w:pPr>
      <w:r>
        <w:rPr>
          <w:rFonts w:hint="eastAsia"/>
        </w:rPr>
        <w:t>（1）自来水板块盈亏分析</w:t>
      </w:r>
    </w:p>
    <w:p w14:paraId="58E4B797">
      <w:pPr>
        <w:ind w:firstLine="420" w:firstLineChars="200"/>
      </w:pPr>
      <w:r>
        <w:rPr>
          <w:rFonts w:hint="eastAsia"/>
        </w:rPr>
        <w:t>2020年主营业务收入24464.82万元，相比去年同期22806.57万元增长7.27%；其他业务收入7538.13万元，相比去年同期7803.79万元下降3.4%； 利润总额3431.85万元，相比去年同期746.43万元增长359.77%。</w:t>
      </w:r>
    </w:p>
    <w:p w14:paraId="6467347A">
      <w:pPr>
        <w:ind w:firstLine="420" w:firstLineChars="200"/>
      </w:pPr>
      <w:r>
        <w:rPr>
          <w:rFonts w:hint="eastAsia"/>
        </w:rPr>
        <w:t>① 莆田市自来水有限公司</w:t>
      </w:r>
    </w:p>
    <w:p w14:paraId="4BC8A5E5">
      <w:pPr>
        <w:ind w:firstLine="420" w:firstLineChars="200"/>
      </w:pPr>
      <w:r>
        <w:rPr>
          <w:rFonts w:hint="eastAsia"/>
        </w:rPr>
        <w:t>营业总收入12073.07万元比去年同期12666.11万元下降5%。自来水水费收入9719.47万元，比去年同期9514.52万元增长2.15%，售水量4696万吨，比去年同期4528万吨增长3.71%，其中：居民用水量因供水区域扩大而增长8.39%，工商业及营业性用水量因疫情停工停学停产影响下降9.65%；其他业务收入2353.6万元，比去年同期3151.59万元下降25%，其中：因水质检测公司分立减少检测收入约110万元，因疫情优惠政策减少租金收入约68万元，因疫情减少安装收入约310万元，以及楼盘完工配比收入减少约310万元。</w:t>
      </w:r>
    </w:p>
    <w:p w14:paraId="637FC991">
      <w:pPr>
        <w:ind w:firstLine="420" w:firstLineChars="200"/>
      </w:pPr>
      <w:r>
        <w:rPr>
          <w:rFonts w:hint="eastAsia"/>
        </w:rPr>
        <w:t>成本费用总额8331万元，比去年同期11220万元下降26%，主要是受疫情影响，今年的旧管网改造及铺设成本比去年同期减少约2464万元，因新冠疫情国家出台的优惠政策而减少的五险一金的支出约210万元。</w:t>
      </w:r>
    </w:p>
    <w:p w14:paraId="75B41E86">
      <w:pPr>
        <w:ind w:firstLine="420" w:firstLineChars="200"/>
      </w:pPr>
      <w:r>
        <w:rPr>
          <w:rFonts w:hint="eastAsia"/>
        </w:rPr>
        <w:t>成本费用下降的幅度大于总收入下降的幅度，企业盈利，20</w:t>
      </w:r>
      <w:r>
        <w:t>20</w:t>
      </w:r>
      <w:r>
        <w:rPr>
          <w:rFonts w:hint="eastAsia"/>
        </w:rPr>
        <w:t>年实现利润总额3835.44万元，比去年同期1518.41万元增长153%。</w:t>
      </w:r>
    </w:p>
    <w:p w14:paraId="0CEF5166">
      <w:pPr>
        <w:ind w:firstLine="420" w:firstLineChars="200"/>
      </w:pPr>
      <w:r>
        <w:rPr>
          <w:rFonts w:hint="eastAsia"/>
        </w:rPr>
        <w:t>② 莆田市涵江自来水有限公司</w:t>
      </w:r>
    </w:p>
    <w:p w14:paraId="2D9A0191">
      <w:pPr>
        <w:ind w:firstLine="420" w:firstLineChars="200"/>
      </w:pPr>
      <w:r>
        <w:rPr>
          <w:rFonts w:hint="eastAsia"/>
        </w:rPr>
        <w:t>营业总收入11885.13万元比去年同期10376.63万元（含盘石，下同）增长15%。自来水水费收入7772.5万元，比去年同期7255万元（含盘石）增长7%，售水量4001万吨，比去年同期3775万吨增长6%，收入增长主要原因是盘石水费提价；其他业务收入总额4112.63万元，相比去年3121.63万元，增长31.75%，主要原因是增加西天尾镇楼盘小区工程建设费收入。</w:t>
      </w:r>
    </w:p>
    <w:p w14:paraId="59A9D59E">
      <w:pPr>
        <w:ind w:firstLine="420" w:firstLineChars="200"/>
      </w:pPr>
      <w:r>
        <w:rPr>
          <w:rFonts w:hint="eastAsia"/>
        </w:rPr>
        <w:t>成本费用总额10039万元，比去年同期8775万元增长14%。主要是管网改造及楼盘小区材料安装支出增加1229.23万元。</w:t>
      </w:r>
    </w:p>
    <w:p w14:paraId="47ACCC72">
      <w:pPr>
        <w:ind w:firstLine="420" w:firstLineChars="200"/>
      </w:pPr>
      <w:r>
        <w:rPr>
          <w:rFonts w:hint="eastAsia"/>
        </w:rPr>
        <w:t>收入的增长幅度大于成本增长的幅度，企业盈利，20年实现利润总额1920万元，比去年同期1622.54万元增长18%。</w:t>
      </w:r>
    </w:p>
    <w:p w14:paraId="37D79999">
      <w:pPr>
        <w:ind w:firstLine="420" w:firstLineChars="200"/>
      </w:pPr>
      <w:r>
        <w:rPr>
          <w:rFonts w:hint="eastAsia"/>
        </w:rPr>
        <w:t>③ 莆田市湄洲湾自来水有限公司</w:t>
      </w:r>
    </w:p>
    <w:p w14:paraId="0DAE52F6">
      <w:pPr>
        <w:ind w:firstLine="420" w:firstLineChars="200"/>
      </w:pPr>
      <w:r>
        <w:rPr>
          <w:rFonts w:hint="eastAsia"/>
        </w:rPr>
        <w:t>营业总收入3055.28万元，比去年同期3009.14万元增长1.53%。自来水水费收入2617万元，比去年同期2435万元增长7%，售水量1177.25万吨，比去年同期1120.05万吨增长5.11%，主要是漏失率减少，用水户增加；其他业务收入438万元，比去年同期574万元下降23.69%，主要是管网建设费收费标准减少（按国办【2020】129号文件和莆水务【2021】71号文件精神，立户标准由1800元降至500元）。</w:t>
      </w:r>
    </w:p>
    <w:p w14:paraId="36C681CB">
      <w:pPr>
        <w:ind w:firstLine="420" w:firstLineChars="200"/>
      </w:pPr>
      <w:r>
        <w:rPr>
          <w:rFonts w:hint="eastAsia"/>
        </w:rPr>
        <w:t>成本费用总额4353.55万元，比去年同期4005万元增长8.7%。主要是借款利息费用增加。</w:t>
      </w:r>
    </w:p>
    <w:p w14:paraId="38312FC8">
      <w:pPr>
        <w:ind w:firstLine="420" w:firstLineChars="200"/>
      </w:pPr>
      <w:r>
        <w:rPr>
          <w:rFonts w:hint="eastAsia"/>
        </w:rPr>
        <w:t>收入增长幅度小于成本增长幅度，企业亏损。2020年利润总额-1259.36万元，比去年同期-972.59万元下降29.49%。</w:t>
      </w:r>
    </w:p>
    <w:p w14:paraId="3698483C">
      <w:pPr>
        <w:ind w:firstLine="420" w:firstLineChars="200"/>
      </w:pPr>
      <w:r>
        <w:rPr>
          <w:rFonts w:hint="eastAsia"/>
        </w:rPr>
        <w:t>④ 莆田壶山自来水有限公司。</w:t>
      </w:r>
    </w:p>
    <w:p w14:paraId="0CE00A4F">
      <w:pPr>
        <w:ind w:firstLine="420" w:firstLineChars="200"/>
      </w:pPr>
      <w:r>
        <w:rPr>
          <w:rFonts w:hint="eastAsia"/>
        </w:rPr>
        <w:t>收入总额4989.48万元，比去年同期4558.65万元增长9.45%。自来水水费收入4355.53万元，比去年同期3601.34万元增长20.94%，售水量1971.71万吨，比去年同期1872.26万吨增长5.31%，水费收入增长主要是南洋、北高、新度水费提价；其他业务收入633.95万元，比去年同期957.31万元下降33.78%，主要原因是今年北高片区工料改造费及新增安装费收入减少。利润总额-697.89万元，比去年同期-1343.99万元增长48%。</w:t>
      </w:r>
    </w:p>
    <w:p w14:paraId="7002D0F6">
      <w:pPr>
        <w:ind w:firstLine="420" w:firstLineChars="200"/>
      </w:pPr>
      <w:r>
        <w:rPr>
          <w:rFonts w:hint="eastAsia"/>
        </w:rPr>
        <w:t>（2）供水板块主要公司盈亏分析</w:t>
      </w:r>
    </w:p>
    <w:p w14:paraId="2B931E9A">
      <w:pPr>
        <w:ind w:firstLine="420" w:firstLineChars="200"/>
      </w:pPr>
      <w:r>
        <w:rPr>
          <w:rFonts w:hint="eastAsia"/>
        </w:rPr>
        <w:t>2020年主营业务收入10677万元，比去年同期9135万元增长16.88%；其他业务收入67万元，比去年同期79万元下降15.19%；利润总额298万，比去年同期-823万增长136%</w:t>
      </w:r>
    </w:p>
    <w:p w14:paraId="44125E66">
      <w:pPr>
        <w:ind w:firstLine="420" w:firstLineChars="200"/>
      </w:pPr>
      <w:r>
        <w:rPr>
          <w:rFonts w:hint="eastAsia"/>
        </w:rPr>
        <w:t>① 莆田市金莆供水有限公司</w:t>
      </w:r>
    </w:p>
    <w:p w14:paraId="5C06AC92">
      <w:pPr>
        <w:ind w:firstLine="420" w:firstLineChars="200"/>
      </w:pPr>
      <w:r>
        <w:rPr>
          <w:rFonts w:hint="eastAsia"/>
        </w:rPr>
        <w:t>收入总额即原水供应收入6987.83万元（含内部供应收入3025万元），比去年同期4853.91万元（含内部供应收入1778万元）增长43.96%，售水量6741.69万吨，比去年同期5121.48万吨增长31.64%。收入增长主要是因为用水户用水量增长，其中福建永荣科技有限公司用水费比去年增加769万。</w:t>
      </w:r>
    </w:p>
    <w:p w14:paraId="156176D4">
      <w:pPr>
        <w:ind w:firstLine="420" w:firstLineChars="200"/>
      </w:pPr>
      <w:r>
        <w:rPr>
          <w:rFonts w:hint="eastAsia"/>
        </w:rPr>
        <w:t>成本费用总额6494.87万元，比去年同期5633.87万元增长15.28%，主要是供水量增加原水费增长910万。</w:t>
      </w:r>
    </w:p>
    <w:p w14:paraId="277B9473">
      <w:pPr>
        <w:ind w:firstLine="420" w:firstLineChars="200"/>
      </w:pPr>
      <w:r>
        <w:rPr>
          <w:rFonts w:hint="eastAsia"/>
        </w:rPr>
        <w:t>收入增加幅度大于成本费用增长幅度，企业扭亏为盈。利润总额395万元，比去年同期-911万元增长143.36%。</w:t>
      </w:r>
    </w:p>
    <w:p w14:paraId="2D41EE79">
      <w:pPr>
        <w:ind w:firstLine="420" w:firstLineChars="200"/>
      </w:pPr>
      <w:r>
        <w:rPr>
          <w:rFonts w:hint="eastAsia"/>
        </w:rPr>
        <w:t>② 福建省莆田市供水公司</w:t>
      </w:r>
    </w:p>
    <w:p w14:paraId="5F3C6A1A">
      <w:pPr>
        <w:ind w:firstLine="420" w:firstLineChars="200"/>
      </w:pPr>
      <w:r>
        <w:rPr>
          <w:rFonts w:hint="eastAsia"/>
        </w:rPr>
        <w:t>收入总额3654万元，比去年同期3987万元下降8.35%。原水供应收入3615.83万元（含内部用水840万元），比去年同期3936.92万元（含内部用水1724万元）下降8.16%，原水量3859.81万吨，比去年同期4298.36万吨下降10.2%;其他业务收入38.26万元，比去年同期49.95万元下降23.4%，主要是笏石站空地3-6月份重新招标空置没出租。</w:t>
      </w:r>
    </w:p>
    <w:p w14:paraId="1897C78D">
      <w:pPr>
        <w:ind w:firstLine="420" w:firstLineChars="200"/>
      </w:pPr>
      <w:r>
        <w:rPr>
          <w:rFonts w:hint="eastAsia"/>
        </w:rPr>
        <w:t>成本费用总额3467万元，比去年同期3876万元下降10.55%。主要是供水量减少原水费比去年同期减少351万元，因疫情优惠政策五险一金费用减少6.8万元。</w:t>
      </w:r>
    </w:p>
    <w:p w14:paraId="546D6592">
      <w:pPr>
        <w:ind w:firstLine="420" w:firstLineChars="200"/>
      </w:pPr>
      <w:r>
        <w:rPr>
          <w:rFonts w:hint="eastAsia"/>
        </w:rPr>
        <w:t>收入下降幅度小于成本费用下降幅度，企业持续盈利。利润总额188.24万元，比去年同期111.11万元增长69.42%。</w:t>
      </w:r>
    </w:p>
    <w:p w14:paraId="63E5EB83">
      <w:pPr>
        <w:ind w:firstLine="420" w:firstLineChars="200"/>
      </w:pPr>
      <w:r>
        <w:rPr>
          <w:rFonts w:hint="eastAsia"/>
        </w:rPr>
        <w:t>③ 莆田市东圳水电站</w:t>
      </w:r>
    </w:p>
    <w:p w14:paraId="77683C9A">
      <w:pPr>
        <w:ind w:firstLine="420" w:firstLineChars="200"/>
      </w:pPr>
      <w:r>
        <w:rPr>
          <w:rFonts w:hint="eastAsia"/>
        </w:rPr>
        <w:t>收入总额101万元，比去年同期374万元下降73%。发电收入72.6万元，比去年同期344.25万元下降78.9%，发电量226万千瓦时，比去年同期1082千瓦时下降79.11%，主要是今年降雨量下降影响发电量；其他业务收入28.4万元，与去年基本持平。</w:t>
      </w:r>
    </w:p>
    <w:p w14:paraId="62DDFC7E">
      <w:pPr>
        <w:ind w:firstLine="420" w:firstLineChars="200"/>
      </w:pPr>
      <w:r>
        <w:rPr>
          <w:rFonts w:hint="eastAsia"/>
        </w:rPr>
        <w:t>成本费用总额421.74万元，比去年同期389.53万元增长8.27%。主要是修理费增加64万，集团内部拆借利息新增12万元。</w:t>
      </w:r>
    </w:p>
    <w:p w14:paraId="586185DE">
      <w:pPr>
        <w:ind w:firstLine="420" w:firstLineChars="200"/>
      </w:pPr>
      <w:r>
        <w:rPr>
          <w:rFonts w:hint="eastAsia"/>
        </w:rPr>
        <w:t>收入下降，成本费用增长，企业亏损。利润总额-285.35万元，比去年同期-28.22万元下降911.63%。</w:t>
      </w:r>
    </w:p>
    <w:p w14:paraId="2027E785">
      <w:pPr>
        <w:ind w:firstLine="420" w:firstLineChars="200"/>
      </w:pPr>
      <w:r>
        <w:rPr>
          <w:rFonts w:hint="eastAsia"/>
        </w:rPr>
        <w:t>（3）污水板块盈亏分析</w:t>
      </w:r>
    </w:p>
    <w:p w14:paraId="2EFC6E3F">
      <w:pPr>
        <w:ind w:firstLine="420" w:firstLineChars="200"/>
      </w:pPr>
      <w:r>
        <w:rPr>
          <w:rFonts w:hint="eastAsia"/>
        </w:rPr>
        <w:t>因污水企业2020年调整核算口径，故20年指标与19年指标不存在可比性。2020收入总额6080.84万元，其中：污水处理收入5660.84万元，污水处理量7</w:t>
      </w:r>
      <w:r>
        <w:t>055</w:t>
      </w:r>
      <w:r>
        <w:rPr>
          <w:rFonts w:hint="eastAsia"/>
        </w:rPr>
        <w:t>万吨，其他业务收入420万元，其他收益1403万元，成本费用总额10583万元，利润总额-3098万元。</w:t>
      </w:r>
    </w:p>
    <w:p w14:paraId="271FCE79">
      <w:pPr>
        <w:ind w:firstLine="420" w:firstLineChars="200"/>
      </w:pPr>
      <w:r>
        <w:rPr>
          <w:rFonts w:hint="eastAsia"/>
        </w:rPr>
        <w:t>污水企业产生账面亏损的主要原因是应由县区承担的费用未及时支付以及滨海排水公司的尾水排海收费由政府定价1.2元/吨、石门澳污水厂污水处理费由政府定价2.55元/吨,远低于实际发生的成本。</w:t>
      </w:r>
    </w:p>
    <w:p w14:paraId="261725CC">
      <w:pPr>
        <w:ind w:firstLine="420" w:firstLineChars="200"/>
      </w:pPr>
      <w:r>
        <w:rPr>
          <w:rFonts w:hint="eastAsia"/>
        </w:rPr>
        <w:t>（4）集团本部盈亏分析</w:t>
      </w:r>
    </w:p>
    <w:p w14:paraId="3ABE7D72">
      <w:pPr>
        <w:ind w:firstLine="420" w:firstLineChars="200"/>
      </w:pPr>
      <w:r>
        <w:rPr>
          <w:rFonts w:hint="eastAsia"/>
        </w:rPr>
        <w:t>营业收入986万元，比去年同期1551万元下降36.43%，主要是莆田学院迁建项目工程款2%让渡收入减少；成本费用总额3006万元，比去年同期1275万元增长135.76%，主要是2020年财政资金未到位及补充污水企业亏损导致举债提款增多，融资成本增加1541万元；投资收益7845万元，比去年同期1112万元增长605.49%；利润总额5707万元，比去年同期1306万元增长336.98%，主要是投资收益里子公司上缴利润7696万元（属于内部收益，合并层面抵消）。</w:t>
      </w:r>
    </w:p>
    <w:p w14:paraId="5218FD46">
      <w:pPr>
        <w:ind w:firstLine="420" w:firstLineChars="200"/>
      </w:pPr>
      <w:r>
        <w:rPr>
          <w:rFonts w:hint="eastAsia"/>
        </w:rPr>
        <w:t>综上分析，水务集团2020年度合并收入5亿元，抵销内部交易0.24亿元，2020年度收入为4.76亿元。2020年合并利润总额6282.2万元，抵销内部交易7696.48万元，合并利润总额为-1414.28万元，因水务集团经营的供水及污水事业为公益性民生行业，老少边岛的地区投入大收入少且污水运营由于应由县区财政承担的费用未能足额到位，市国资委为了对水务集团的经营业绩进行客观评价（莆国资统配【2018】21号和莆国资统配【2020】9号文件精神），对水务集团剔除了老少边岛的供水企业及污水企业后的业绩进行考核，剔除后的利润总额为4122.77万元。</w:t>
      </w:r>
    </w:p>
    <w:p w14:paraId="2749B4F5">
      <w:pPr>
        <w:ind w:firstLine="420" w:firstLineChars="200"/>
      </w:pPr>
      <w:bookmarkStart w:id="327" w:name="_Toc49477517"/>
      <w:bookmarkStart w:id="328" w:name="_Toc78184419"/>
      <w:bookmarkStart w:id="329" w:name="_Toc81257063"/>
      <w:r>
        <w:rPr>
          <w:rFonts w:hint="eastAsia"/>
        </w:rPr>
        <w:t>（二）</w:t>
      </w:r>
      <w:bookmarkEnd w:id="327"/>
      <w:r>
        <w:rPr>
          <w:rFonts w:hint="eastAsia"/>
        </w:rPr>
        <w:t>年度总体工作和重点工作任务</w:t>
      </w:r>
      <w:bookmarkEnd w:id="328"/>
      <w:bookmarkEnd w:id="329"/>
    </w:p>
    <w:p w14:paraId="63FB23DE">
      <w:pPr>
        <w:ind w:firstLine="420" w:firstLineChars="200"/>
      </w:pPr>
      <w:r>
        <w:t>1</w:t>
      </w:r>
      <w:r>
        <w:rPr>
          <w:rFonts w:hint="eastAsia"/>
        </w:rPr>
        <w:t>、年度总体工作</w:t>
      </w:r>
    </w:p>
    <w:p w14:paraId="54033218">
      <w:pPr>
        <w:ind w:firstLine="420" w:firstLineChars="200"/>
      </w:pPr>
      <w:r>
        <w:rPr>
          <w:rFonts w:hint="eastAsia"/>
        </w:rPr>
        <w:t>2020年经济指标稳中向好，水务集团坚持以习近平新时代中国特色社会主义思想为指导，坚持稳中求进总基调，坚持新发展理念，坚决克服新冠肺炎疫情影响，扎实推进水务生产经营和项目建设，较好落实年初既定目标。各企业总售水量22381万吨，同比增长7.746%，其中自来水企业售水量11780万吨，原水企业售水量10601万吨；2020年共处理城乡污水7055.43m3，同比增长18%；发电量226万千瓦时；总收入4.76亿元，同比增长15%，利润总额4122.77万元（根据国资委考核口径），纳税2306万元，同比增长2.4%。</w:t>
      </w:r>
    </w:p>
    <w:p w14:paraId="5B00EAF9">
      <w:pPr>
        <w:ind w:firstLine="420" w:firstLineChars="200"/>
      </w:pPr>
      <w:r>
        <w:rPr>
          <w:rFonts w:hint="eastAsia"/>
        </w:rPr>
        <w:t>水务集团专注企业经营，2020年度自来水及污水业务运行良好，加强水厂运营监管，负责对鲤鱼山水厂、华亭水厂、第三水厂、松东水厂、萩芦水厂、盘石水厂、东庄水厂、东海水厂、南日岛水厂和湄洲岛水厂等十座主要自来水厂运营情况进行监管，出厂水均符合国家生活饮用水卫生标准，自来水生产经营整体实现整区连片供水和双水源保障；推进营商环境“获得用水”改革新政策，在优化营商环境工作上大步向前迈进，推出用水报装“1+0000”服务，对集团供水区域内的工业企业、仓储企业实行用水报装零收费，推出报装“1+0000” （一环节、零材料、零审批、零收费、零跑腿）接入通水服务，为企业减免安装费用约50万元；加强污水厂运营监管，负责对闽中污水厂、秀屿污水厂、荔城污水厂、北岸污水厂、湄洲岛污水厂和石门澳污水处理厂等六座主要污水处理厂运营情况进行监管。生活污水排放达到国家一级A标准，工业污水排放达到国家综合一级标准，保障了全市人民的用水及排水安全。企业年度被评为省级精神文明单位；荣获2020年全市一类平安企业；下属闽中污水厂和荔城污水厂通过2020年度省住建厅运行评估考核，成绩为良好；市自来水公司和涵江自来水公司通过2020年度省住建厅运行评估考核，成绩分别为优秀和良好；企业荣获2020年福建省优化营商环境“获得用水”评估全省排名第一；市自来水公司和涵江自来水公司分别荣获2020年度“纳税大户”称号。</w:t>
      </w:r>
    </w:p>
    <w:p w14:paraId="7CA1DB9A">
      <w:pPr>
        <w:ind w:firstLine="420" w:firstLineChars="200"/>
      </w:pPr>
      <w:r>
        <w:t>2</w:t>
      </w:r>
      <w:r>
        <w:rPr>
          <w:rFonts w:hint="eastAsia"/>
        </w:rPr>
        <w:t>、年度重点工作任务</w:t>
      </w:r>
    </w:p>
    <w:p w14:paraId="4A8F6480">
      <w:pPr>
        <w:ind w:firstLine="420" w:firstLineChars="200"/>
      </w:pPr>
      <w:r>
        <w:rPr>
          <w:rFonts w:hint="eastAsia"/>
        </w:rPr>
        <w:t>2020年度重大项目建设有序推进，集团七大项目总投资为150.39亿元，计划投资为21.13亿元，截止到12月份，完成投资10.69亿元。其中城乡供水一体化项目完成投资2.26亿元，污水工程完成投资0.52亿元，水库工程完成投资0.62亿元，引调水工程完成投资1.51亿元，木兰溪流域河道整治工程完成投资1.50亿元，莆阳新城项目完成投资4.20亿元，供水管网及污水管网地理信息化平台项目完成投资0.08亿元。项目投资有效带动国有资产壮大，增强集团发展后劲。</w:t>
      </w:r>
    </w:p>
    <w:p w14:paraId="2E1AA117">
      <w:pPr>
        <w:ind w:firstLine="420" w:firstLineChars="200"/>
      </w:pPr>
      <w:bookmarkStart w:id="330" w:name="_Toc49477518"/>
      <w:bookmarkStart w:id="331" w:name="_Toc78184420"/>
      <w:bookmarkStart w:id="332" w:name="_Toc81257064"/>
      <w:r>
        <w:rPr>
          <w:rFonts w:hint="eastAsia"/>
        </w:rPr>
        <w:t>（三）</w:t>
      </w:r>
      <w:bookmarkEnd w:id="330"/>
      <w:bookmarkEnd w:id="331"/>
      <w:r>
        <w:rPr>
          <w:rFonts w:hint="eastAsia"/>
        </w:rPr>
        <w:t>国有资本经营预算编制情况</w:t>
      </w:r>
      <w:bookmarkEnd w:id="332"/>
    </w:p>
    <w:p w14:paraId="66EE728D">
      <w:pPr>
        <w:ind w:firstLine="420" w:firstLineChars="200"/>
      </w:pPr>
      <w:r>
        <w:rPr>
          <w:rFonts w:hint="eastAsia"/>
        </w:rPr>
        <w:t>2020年度，市水务集团预算收入52335.39万元，其中投资收益500万元，营业外收入预计1544.94万元。支出预算55268.2万元，其中营业外支出预计268.95万元，年度预计利润总额-2932.81万元。</w:t>
      </w:r>
    </w:p>
    <w:p w14:paraId="032BBDA1">
      <w:pPr>
        <w:ind w:firstLine="420" w:firstLineChars="200"/>
      </w:pPr>
      <w:bookmarkStart w:id="333" w:name="_Toc81257065"/>
      <w:r>
        <w:rPr>
          <w:rFonts w:hint="eastAsia"/>
        </w:rPr>
        <w:t>（四）</w:t>
      </w:r>
      <w:bookmarkEnd w:id="326"/>
      <w:r>
        <w:rPr>
          <w:rFonts w:hint="eastAsia"/>
        </w:rPr>
        <w:t>国有资本经营预算完成情况</w:t>
      </w:r>
      <w:bookmarkEnd w:id="333"/>
    </w:p>
    <w:p w14:paraId="24BFDA42">
      <w:pPr>
        <w:ind w:firstLine="420" w:firstLineChars="200"/>
      </w:pPr>
      <w:r>
        <w:rPr>
          <w:rFonts w:hint="eastAsia"/>
        </w:rPr>
        <w:t>1、预算收入完成情况</w:t>
      </w:r>
    </w:p>
    <w:p w14:paraId="0ECA0B43">
      <w:pPr>
        <w:ind w:firstLine="420" w:firstLineChars="200"/>
      </w:pPr>
      <w:r>
        <w:rPr>
          <w:rFonts w:hint="eastAsia"/>
        </w:rPr>
        <w:t>2020年度市水务集团实现收入47586.69万元，与预算52335.39万元对比，差距4748.7万元，完成率90.92%，未完成目标的原因为预算制订时未充分考虑内部交易产生的应抵销数，以及因全市房地产市场开发减少产生其他业务收入的减少。</w:t>
      </w:r>
    </w:p>
    <w:p w14:paraId="6A387885">
      <w:pPr>
        <w:ind w:firstLine="420" w:firstLineChars="200"/>
      </w:pPr>
      <w:r>
        <w:rPr>
          <w:rFonts w:hint="eastAsia"/>
        </w:rPr>
        <w:t>2、预算支出完成情况</w:t>
      </w:r>
    </w:p>
    <w:p w14:paraId="5EA172EC">
      <w:pPr>
        <w:ind w:firstLine="420" w:firstLineChars="200"/>
      </w:pPr>
      <w:bookmarkStart w:id="334" w:name="_Toc76291877"/>
      <w:r>
        <w:rPr>
          <w:rFonts w:hint="eastAsia"/>
        </w:rPr>
        <w:t>2020年度市水务集团成本支出为50413.81万元，与预算的55268.2万元减少4854.39万元，支出减少原因为其他业务收入减少对应的支出相应减少。</w:t>
      </w:r>
    </w:p>
    <w:p w14:paraId="28E0FDF6">
      <w:pPr>
        <w:ind w:firstLine="420" w:firstLineChars="200"/>
      </w:pPr>
      <w:r>
        <w:rPr>
          <w:rFonts w:hint="eastAsia"/>
        </w:rPr>
        <w:t>3、盈余情况</w:t>
      </w:r>
    </w:p>
    <w:p w14:paraId="623821C2">
      <w:pPr>
        <w:ind w:firstLine="420" w:firstLineChars="200"/>
      </w:pPr>
      <w:r>
        <w:rPr>
          <w:rFonts w:hint="eastAsia"/>
        </w:rPr>
        <w:t>2020年度市水务集团预算利润总额为-2932.81万元，实际合并利润总额为-1414.28万元，比预算收益增加1518.53万元，市国资委考核利润总额为4122.77万元。</w:t>
      </w:r>
    </w:p>
    <w:p w14:paraId="4B784739">
      <w:pPr>
        <w:ind w:firstLine="420" w:firstLineChars="200"/>
        <w:outlineLvl w:val="0"/>
      </w:pPr>
      <w:bookmarkStart w:id="335" w:name="_Toc7676"/>
      <w:bookmarkStart w:id="336" w:name="_Toc81257066"/>
      <w:r>
        <w:rPr>
          <w:rFonts w:hint="eastAsia"/>
        </w:rPr>
        <w:t>二、绩效评价工作开展情况</w:t>
      </w:r>
      <w:bookmarkEnd w:id="334"/>
      <w:bookmarkEnd w:id="335"/>
      <w:bookmarkEnd w:id="336"/>
    </w:p>
    <w:p w14:paraId="64431817">
      <w:pPr>
        <w:ind w:firstLine="420" w:firstLineChars="200"/>
      </w:pPr>
      <w:bookmarkStart w:id="337" w:name="_Toc76291878"/>
      <w:bookmarkStart w:id="338" w:name="_Toc81257067"/>
      <w:r>
        <w:rPr>
          <w:rFonts w:hint="eastAsia"/>
        </w:rPr>
        <w:t>（一）评价目的</w:t>
      </w:r>
      <w:bookmarkEnd w:id="337"/>
      <w:bookmarkEnd w:id="338"/>
    </w:p>
    <w:p w14:paraId="15EA2780">
      <w:pPr>
        <w:ind w:firstLine="420" w:firstLineChars="200"/>
      </w:pPr>
      <w:r>
        <w:rPr>
          <w:rFonts w:hint="eastAsia"/>
        </w:rPr>
        <w:t>本项目绩效评估总体目标在于对国有资本运营情况进行独立、客观、公正地核查，对莆田市的经济建设有着十分重要的意义。主要内容为在对国有资本运营情况的科学性、合理性、规范性及使用效益，系统、科学地考评其综合社会经济效果。对国有资本运营过程中存在的不足提出合理化建议，使国有资本运营更加科学、完善</w:t>
      </w:r>
      <w:r>
        <w:t>。</w:t>
      </w:r>
    </w:p>
    <w:p w14:paraId="464FD0B7">
      <w:pPr>
        <w:ind w:firstLine="420" w:firstLineChars="200"/>
      </w:pPr>
      <w:bookmarkStart w:id="339" w:name="_Toc76291880"/>
      <w:bookmarkStart w:id="340" w:name="_Toc81257068"/>
      <w:bookmarkStart w:id="341" w:name="_Toc39608429"/>
      <w:r>
        <w:rPr>
          <w:rFonts w:hint="eastAsia"/>
        </w:rPr>
        <w:t>（二）</w:t>
      </w:r>
      <w:r>
        <w:t>评价过程</w:t>
      </w:r>
      <w:bookmarkEnd w:id="339"/>
      <w:bookmarkEnd w:id="340"/>
      <w:bookmarkEnd w:id="341"/>
    </w:p>
    <w:p w14:paraId="65ECAD7C">
      <w:pPr>
        <w:ind w:firstLine="420" w:firstLineChars="200"/>
      </w:pPr>
      <w:r>
        <w:t>6</w:t>
      </w:r>
      <w:r>
        <w:rPr>
          <w:rFonts w:hint="eastAsia"/>
        </w:rPr>
        <w:t>月</w:t>
      </w:r>
      <w:r>
        <w:t>20</w:t>
      </w:r>
      <w:r>
        <w:rPr>
          <w:rFonts w:hint="eastAsia"/>
        </w:rPr>
        <w:t>日之前：前期准备</w:t>
      </w:r>
    </w:p>
    <w:p w14:paraId="1445EE56">
      <w:pPr>
        <w:ind w:firstLine="420" w:firstLineChars="200"/>
      </w:pPr>
      <w:r>
        <w:rPr>
          <w:rFonts w:hint="eastAsia"/>
        </w:rPr>
        <w:t>1</w:t>
      </w:r>
      <w:r>
        <w:t>.</w:t>
      </w:r>
      <w:r>
        <w:rPr>
          <w:rFonts w:hint="eastAsia"/>
        </w:rPr>
        <w:t>查阅市财政局提供的项目材料与自评报告，了解水务集团基本情况；</w:t>
      </w:r>
    </w:p>
    <w:p w14:paraId="04E59FEB">
      <w:pPr>
        <w:ind w:firstLine="420" w:firstLineChars="200"/>
      </w:pPr>
      <w:r>
        <w:t>2.</w:t>
      </w:r>
      <w:r>
        <w:rPr>
          <w:rFonts w:hint="eastAsia"/>
        </w:rPr>
        <w:t>收集水务集团相关文件，了解水务集团背景信息和相关政策与规划；</w:t>
      </w:r>
    </w:p>
    <w:p w14:paraId="13C813BD">
      <w:pPr>
        <w:ind w:firstLine="420" w:firstLineChars="200"/>
      </w:pPr>
      <w:r>
        <w:rPr>
          <w:rFonts w:hint="eastAsia"/>
        </w:rPr>
        <w:t>3</w:t>
      </w:r>
      <w:r>
        <w:t>.</w:t>
      </w:r>
      <w:r>
        <w:rPr>
          <w:rFonts w:hint="eastAsia"/>
        </w:rPr>
        <w:t>制定评价方案和评价指标体系，与财政局进行对接，确定评价方案的可行性及评价调研计划。</w:t>
      </w:r>
    </w:p>
    <w:p w14:paraId="40CA8160">
      <w:pPr>
        <w:ind w:firstLine="420" w:firstLineChars="200"/>
      </w:pPr>
      <w:r>
        <w:t>6</w:t>
      </w:r>
      <w:r>
        <w:rPr>
          <w:rFonts w:hint="eastAsia"/>
        </w:rPr>
        <w:t>月</w:t>
      </w:r>
      <w:r>
        <w:t>3</w:t>
      </w:r>
      <w:r>
        <w:rPr>
          <w:rFonts w:hint="eastAsia"/>
          <w:lang w:val="en-US" w:eastAsia="zh-CN"/>
        </w:rPr>
        <w:t>0</w:t>
      </w:r>
      <w:r>
        <w:rPr>
          <w:rFonts w:hint="eastAsia"/>
        </w:rPr>
        <w:t>日之前：组织实施</w:t>
      </w:r>
    </w:p>
    <w:p w14:paraId="3B756544">
      <w:pPr>
        <w:ind w:firstLine="420" w:firstLineChars="200"/>
      </w:pPr>
      <w:r>
        <w:t>1.与</w:t>
      </w:r>
      <w:r>
        <w:rPr>
          <w:rFonts w:hint="eastAsia"/>
        </w:rPr>
        <w:t>莆田市水务集团有限公司相关</w:t>
      </w:r>
      <w:r>
        <w:t>负责人</w:t>
      </w:r>
      <w:r>
        <w:rPr>
          <w:rFonts w:hint="eastAsia"/>
        </w:rPr>
        <w:t>召开座谈会，了解水务集团运营的具体情况。</w:t>
      </w:r>
    </w:p>
    <w:p w14:paraId="6BEB8F46">
      <w:pPr>
        <w:ind w:firstLine="420" w:firstLineChars="200"/>
      </w:pPr>
      <w:r>
        <w:t>2.</w:t>
      </w:r>
      <w:r>
        <w:rPr>
          <w:rFonts w:hint="eastAsia"/>
        </w:rPr>
        <w:t>资料收集和数据填报</w:t>
      </w:r>
    </w:p>
    <w:p w14:paraId="41AEF56D">
      <w:pPr>
        <w:ind w:firstLine="420" w:firstLineChars="200"/>
      </w:pPr>
      <w:r>
        <w:t>7</w:t>
      </w:r>
      <w:r>
        <w:rPr>
          <w:rFonts w:hint="eastAsia"/>
        </w:rPr>
        <w:t>月</w:t>
      </w:r>
      <w:r>
        <w:t>10</w:t>
      </w:r>
      <w:r>
        <w:rPr>
          <w:rFonts w:hint="eastAsia"/>
        </w:rPr>
        <w:t>日之前：资料分析与评分</w:t>
      </w:r>
    </w:p>
    <w:p w14:paraId="2A21EE4D">
      <w:pPr>
        <w:ind w:firstLine="420" w:firstLineChars="200"/>
      </w:pPr>
      <w:r>
        <w:rPr>
          <w:rFonts w:hint="eastAsia"/>
        </w:rPr>
        <w:t>完成数据分析、评价打分，形成评价结论。</w:t>
      </w:r>
    </w:p>
    <w:p w14:paraId="565CDB77">
      <w:pPr>
        <w:ind w:firstLine="420" w:firstLineChars="200"/>
      </w:pPr>
      <w:r>
        <w:rPr>
          <w:rFonts w:hint="eastAsia"/>
        </w:rPr>
        <w:t>7月17日之前：撰写与提交评价报告</w:t>
      </w:r>
    </w:p>
    <w:p w14:paraId="561E4B8A">
      <w:pPr>
        <w:ind w:firstLine="420" w:firstLineChars="200"/>
      </w:pPr>
      <w:r>
        <w:rPr>
          <w:rFonts w:hint="eastAsia"/>
        </w:rPr>
        <w:t>完成评价报告撰写、审核、修改与定稿工作。</w:t>
      </w:r>
    </w:p>
    <w:p w14:paraId="64001C9B">
      <w:pPr>
        <w:ind w:firstLine="420" w:firstLineChars="200"/>
      </w:pPr>
      <w:bookmarkStart w:id="342" w:name="_Toc76291882"/>
      <w:bookmarkStart w:id="343" w:name="_Toc81257069"/>
      <w:r>
        <w:rPr>
          <w:rFonts w:hint="eastAsia"/>
        </w:rPr>
        <w:t>（三）评价</w:t>
      </w:r>
      <w:r>
        <w:t>方法</w:t>
      </w:r>
      <w:bookmarkEnd w:id="342"/>
      <w:bookmarkEnd w:id="343"/>
    </w:p>
    <w:p w14:paraId="2E286885">
      <w:pPr>
        <w:ind w:firstLine="420" w:firstLineChars="200"/>
      </w:pPr>
      <w:r>
        <w:rPr>
          <w:rFonts w:hint="eastAsia"/>
        </w:rPr>
        <w:t>1、</w:t>
      </w:r>
      <w:r>
        <w:t>案卷研究法</w:t>
      </w:r>
      <w:r>
        <w:rPr>
          <w:rFonts w:hint="eastAsia"/>
        </w:rPr>
        <w:t>。</w:t>
      </w:r>
      <w:r>
        <w:t>从现有的文件、国家和地方的发展政策和战略规划、各种相关的研究和咨询报告等文档资料中寻找数据</w:t>
      </w:r>
      <w:r>
        <w:rPr>
          <w:rFonts w:hint="eastAsia"/>
        </w:rPr>
        <w:t>，</w:t>
      </w:r>
      <w:r>
        <w:t>并对同一绩效评价指标在不同文件中的数据进行对比核实，最后确定选择使用的数据。</w:t>
      </w:r>
    </w:p>
    <w:p w14:paraId="426EE47F">
      <w:pPr>
        <w:ind w:firstLine="420" w:firstLineChars="200"/>
      </w:pPr>
      <w:r>
        <w:rPr>
          <w:rFonts w:hint="eastAsia"/>
        </w:rPr>
        <w:t>2、</w:t>
      </w:r>
      <w:r>
        <w:t>资料收集与数据填报</w:t>
      </w:r>
      <w:r>
        <w:rPr>
          <w:rFonts w:hint="eastAsia"/>
        </w:rPr>
        <w:t>。</w:t>
      </w:r>
      <w:r>
        <w:t>根据评价对象的具体情况向</w:t>
      </w:r>
      <w:r>
        <w:rPr>
          <w:rFonts w:hint="eastAsia"/>
        </w:rPr>
        <w:t>水务集团</w:t>
      </w:r>
      <w:r>
        <w:t>收集相关资料。</w:t>
      </w:r>
    </w:p>
    <w:p w14:paraId="46597A6B">
      <w:pPr>
        <w:ind w:firstLine="420" w:firstLineChars="200"/>
      </w:pPr>
      <w:r>
        <w:rPr>
          <w:rFonts w:hint="eastAsia"/>
        </w:rPr>
        <w:t>3、</w:t>
      </w:r>
      <w:r>
        <w:t>实地调研</w:t>
      </w:r>
      <w:r>
        <w:rPr>
          <w:rFonts w:hint="eastAsia"/>
        </w:rPr>
        <w:t>。首先</w:t>
      </w:r>
      <w:r>
        <w:t>从项目利益相关方中确定访谈对象，包括</w:t>
      </w:r>
      <w:r>
        <w:rPr>
          <w:rFonts w:hint="eastAsia"/>
        </w:rPr>
        <w:t>集团</w:t>
      </w:r>
      <w:r>
        <w:t>的管理人员、实施人员、</w:t>
      </w:r>
      <w:r>
        <w:rPr>
          <w:rFonts w:hint="eastAsia"/>
        </w:rPr>
        <w:t>财务人员</w:t>
      </w:r>
      <w:r>
        <w:t>及参与</w:t>
      </w:r>
      <w:r>
        <w:rPr>
          <w:rFonts w:hint="eastAsia"/>
        </w:rPr>
        <w:t>工程项目的</w:t>
      </w:r>
      <w:r>
        <w:t>立项</w:t>
      </w:r>
      <w:r>
        <w:rPr>
          <w:rFonts w:hint="eastAsia"/>
        </w:rPr>
        <w:t>、</w:t>
      </w:r>
      <w:r>
        <w:t>决策、实施</w:t>
      </w:r>
      <w:r>
        <w:rPr>
          <w:rFonts w:hint="eastAsia"/>
        </w:rPr>
        <w:t>、</w:t>
      </w:r>
      <w:r>
        <w:t>管理的行业专家</w:t>
      </w:r>
      <w:r>
        <w:rPr>
          <w:rFonts w:hint="eastAsia"/>
        </w:rPr>
        <w:t>，</w:t>
      </w:r>
      <w:r>
        <w:t>根据调查的内容范围和主要问题，设计访谈提纲并开展访谈</w:t>
      </w:r>
      <w:r>
        <w:rPr>
          <w:rFonts w:hint="eastAsia"/>
        </w:rPr>
        <w:t>；</w:t>
      </w:r>
      <w:r>
        <w:t>其次通过现场勘查询问、核对、勘查、检查等</w:t>
      </w:r>
      <w:r>
        <w:rPr>
          <w:rFonts w:hint="eastAsia"/>
        </w:rPr>
        <w:t>方法</w:t>
      </w:r>
      <w:r>
        <w:t>进行调查，获取绩效评价业务需要的基础资料</w:t>
      </w:r>
      <w:r>
        <w:rPr>
          <w:rFonts w:hint="eastAsia"/>
        </w:rPr>
        <w:t>，</w:t>
      </w:r>
      <w:r>
        <w:t>调研结束后</w:t>
      </w:r>
      <w:r>
        <w:rPr>
          <w:rFonts w:hint="eastAsia"/>
        </w:rPr>
        <w:t>将</w:t>
      </w:r>
      <w:r>
        <w:t>调研记录进行整理与分析并形成调研记录。</w:t>
      </w:r>
    </w:p>
    <w:p w14:paraId="1B2690A7">
      <w:pPr>
        <w:ind w:firstLine="420" w:firstLineChars="200"/>
      </w:pPr>
      <w:r>
        <w:rPr>
          <w:rFonts w:hint="eastAsia"/>
        </w:rPr>
        <w:t>4、</w:t>
      </w:r>
      <w:r>
        <w:t>座谈会</w:t>
      </w:r>
      <w:r>
        <w:rPr>
          <w:rFonts w:hint="eastAsia"/>
        </w:rPr>
        <w:t>。</w:t>
      </w:r>
      <w:r>
        <w:t>选择参与或熟悉项目</w:t>
      </w:r>
      <w:r>
        <w:rPr>
          <w:rFonts w:hint="eastAsia"/>
        </w:rPr>
        <w:t>工程</w:t>
      </w:r>
      <w:r>
        <w:t>的立项</w:t>
      </w:r>
      <w:r>
        <w:rPr>
          <w:rFonts w:hint="eastAsia"/>
        </w:rPr>
        <w:t>、</w:t>
      </w:r>
      <w:r>
        <w:t>决策、实施、管理等人员</w:t>
      </w:r>
      <w:r>
        <w:rPr>
          <w:rFonts w:hint="eastAsia"/>
        </w:rPr>
        <w:t>以及公司财务人员</w:t>
      </w:r>
      <w:r>
        <w:t>为座谈会邀请对象，确保参与人员能够为绩效评价提供有效信息。</w:t>
      </w:r>
    </w:p>
    <w:p w14:paraId="6C306A2E">
      <w:pPr>
        <w:ind w:firstLine="420" w:firstLineChars="200"/>
      </w:pPr>
      <w:bookmarkStart w:id="344" w:name="_Toc81257070"/>
      <w:bookmarkStart w:id="345" w:name="_Toc49477526"/>
      <w:bookmarkStart w:id="346" w:name="_Toc78184426"/>
      <w:r>
        <w:rPr>
          <w:rFonts w:hint="eastAsia"/>
        </w:rPr>
        <w:t>（四）评价指标体系</w:t>
      </w:r>
      <w:bookmarkEnd w:id="344"/>
      <w:bookmarkEnd w:id="345"/>
      <w:bookmarkEnd w:id="346"/>
    </w:p>
    <w:p w14:paraId="3959E8FD">
      <w:pPr>
        <w:ind w:firstLine="420" w:firstLineChars="200"/>
      </w:pPr>
      <w:r>
        <w:rPr>
          <w:rFonts w:hint="eastAsia"/>
        </w:rPr>
        <w:t>项目绩效评价工作组根据各级绩效评价管理办法的文件要求，基于相关性、重要性、可比性、系统性及经济性的原则，围绕国有资本经营预算管理、国有资本经营预算产出、产出和国有资本经营预算效果三个方面设计绩效评价指标体系以及相应的分值和评分标准。</w:t>
      </w:r>
    </w:p>
    <w:p w14:paraId="489AA3E6">
      <w:pPr>
        <w:ind w:firstLine="420" w:firstLineChars="200"/>
      </w:pPr>
      <w:r>
        <w:rPr>
          <w:rFonts w:hint="eastAsia"/>
        </w:rPr>
        <w:t>指标体系共设置</w:t>
      </w:r>
      <w:r>
        <w:t>3</w:t>
      </w:r>
      <w:r>
        <w:rPr>
          <w:rFonts w:hint="eastAsia"/>
        </w:rPr>
        <w:t>个一级指标、1</w:t>
      </w:r>
      <w:r>
        <w:t>3</w:t>
      </w:r>
      <w:r>
        <w:rPr>
          <w:rFonts w:hint="eastAsia"/>
        </w:rPr>
        <w:t>个二级指标、2</w:t>
      </w:r>
      <w:r>
        <w:t>7</w:t>
      </w:r>
      <w:r>
        <w:rPr>
          <w:rFonts w:hint="eastAsia"/>
        </w:rPr>
        <w:t>个三级指标。指标体系设定满分100分，其中：“国有资本经营预算管理”</w:t>
      </w:r>
      <w:r>
        <w:t>26</w:t>
      </w:r>
      <w:r>
        <w:rPr>
          <w:rFonts w:hint="eastAsia"/>
        </w:rPr>
        <w:t>分，主要体现预算管理、支出管理和资产管理是否符合相关规定；“国有资本经营预算产出”</w:t>
      </w:r>
      <w:r>
        <w:t>41</w:t>
      </w:r>
      <w:r>
        <w:rPr>
          <w:rFonts w:hint="eastAsia"/>
        </w:rPr>
        <w:t>分，主要体现收入预算产出和支出预算产出的情况；“国有资本经营预算效果”</w:t>
      </w:r>
      <w:r>
        <w:t>33</w:t>
      </w:r>
      <w:r>
        <w:rPr>
          <w:rFonts w:hint="eastAsia"/>
        </w:rPr>
        <w:t>分，主要体现经济效益、社会效益、生态效益、可持续效益以及服务对象满意度等方面的情况。评估小组对所有的三级指标都进行了具体的指标解释，说明了指标设置的目的和评价的内容，同时规定了明确的、可量化的评分方法。</w:t>
      </w:r>
    </w:p>
    <w:p w14:paraId="4CC28BEA">
      <w:pPr>
        <w:ind w:firstLine="420" w:firstLineChars="200"/>
      </w:pPr>
      <w:r>
        <w:rPr>
          <w:rFonts w:hint="eastAsia"/>
        </w:rPr>
        <w:t>具体的</w:t>
      </w:r>
      <w:r>
        <w:t>绩效评价指标体系</w:t>
      </w:r>
      <w:r>
        <w:rPr>
          <w:rFonts w:hint="eastAsia"/>
        </w:rPr>
        <w:t>如附件1所示。</w:t>
      </w:r>
    </w:p>
    <w:p w14:paraId="521E6B41">
      <w:pPr>
        <w:ind w:firstLine="420" w:firstLineChars="200"/>
        <w:outlineLvl w:val="0"/>
      </w:pPr>
      <w:bookmarkStart w:id="347" w:name="_Toc81257071"/>
      <w:bookmarkStart w:id="348" w:name="_Toc13639"/>
      <w:bookmarkStart w:id="349" w:name="_Toc76291886"/>
      <w:bookmarkStart w:id="350" w:name="_Toc39608435"/>
      <w:r>
        <w:rPr>
          <w:rFonts w:hint="eastAsia"/>
        </w:rPr>
        <w:t>三、</w:t>
      </w:r>
      <w:r>
        <w:t>绩效分析及</w:t>
      </w:r>
      <w:r>
        <w:rPr>
          <w:rFonts w:hint="eastAsia"/>
        </w:rPr>
        <w:t>绩效</w:t>
      </w:r>
      <w:r>
        <w:t>评价结论</w:t>
      </w:r>
      <w:bookmarkEnd w:id="347"/>
      <w:bookmarkEnd w:id="348"/>
      <w:bookmarkEnd w:id="349"/>
      <w:bookmarkEnd w:id="350"/>
    </w:p>
    <w:p w14:paraId="33579749">
      <w:pPr>
        <w:ind w:firstLine="420" w:firstLineChars="200"/>
      </w:pPr>
      <w:r>
        <w:rPr>
          <w:rFonts w:hint="eastAsia"/>
        </w:rPr>
        <w:t>评价工作组在对评价对象的绩效情况进行全面分析的基础上，本着客观、公正、准确的原则，进行绩效分析和综合评分，针对评价发现的问题提出意见建议，形成绩效评价结果。</w:t>
      </w:r>
    </w:p>
    <w:p w14:paraId="39704ACC">
      <w:pPr>
        <w:ind w:firstLine="420" w:firstLineChars="200"/>
      </w:pPr>
      <w:bookmarkStart w:id="351" w:name="_Toc81257072"/>
      <w:r>
        <w:rPr>
          <w:rFonts w:hint="eastAsia"/>
        </w:rPr>
        <w:t>（一）国有资本经营预算管理（满分</w:t>
      </w:r>
      <w:r>
        <w:t>26</w:t>
      </w:r>
      <w:r>
        <w:rPr>
          <w:rFonts w:hint="eastAsia"/>
        </w:rPr>
        <w:t>分，得分</w:t>
      </w:r>
      <w:r>
        <w:t>26</w:t>
      </w:r>
      <w:r>
        <w:rPr>
          <w:rFonts w:hint="eastAsia"/>
        </w:rPr>
        <w:t>分）</w:t>
      </w:r>
      <w:bookmarkEnd w:id="351"/>
    </w:p>
    <w:p w14:paraId="04151597">
      <w:pPr>
        <w:ind w:firstLine="420" w:firstLineChars="200"/>
      </w:pPr>
      <w:r>
        <w:rPr>
          <w:rFonts w:hint="eastAsia"/>
        </w:rPr>
        <w:t>1、预算管理</w:t>
      </w:r>
    </w:p>
    <w:p w14:paraId="69E43A9D">
      <w:pPr>
        <w:ind w:firstLine="420" w:firstLineChars="200"/>
      </w:pPr>
      <w:r>
        <w:rPr>
          <w:rFonts w:hint="eastAsia"/>
        </w:rPr>
        <w:t>（1）收入预算编制科学性。2020年度收入预算编制已制定《莆水务财【2019】2号》文件，且已向国资委备案。按照评分标准，目标完成比例100%，得满分3分。</w:t>
      </w:r>
    </w:p>
    <w:p w14:paraId="59E155A6">
      <w:pPr>
        <w:ind w:firstLine="420" w:firstLineChars="200"/>
      </w:pPr>
      <w:r>
        <w:rPr>
          <w:rFonts w:hint="eastAsia"/>
        </w:rPr>
        <w:t>（2）支出预算编制科学性。2020年度支出预算编制已制定《莆水务财【2019】2号》文件，且已向国资委备案。按照评分标准，目标完成比例100%，得满分3分。</w:t>
      </w:r>
    </w:p>
    <w:p w14:paraId="20A5790C">
      <w:pPr>
        <w:ind w:firstLine="420" w:firstLineChars="200"/>
      </w:pPr>
      <w:r>
        <w:rPr>
          <w:rFonts w:hint="eastAsia"/>
        </w:rPr>
        <w:t>（3）财政支出预算执行情况。财政支出严格按《莆田市市级财政资金管理办法》（莆财预【2017】159号）执行，2020年度水务集团共收地方专项债资金2.7亿元，未存在违规的支出。按照评分标准，目标完成比例100%，得满分3分。</w:t>
      </w:r>
    </w:p>
    <w:p w14:paraId="0F5031C5">
      <w:pPr>
        <w:ind w:firstLine="420" w:firstLineChars="200"/>
      </w:pPr>
      <w:r>
        <w:rPr>
          <w:rFonts w:hint="eastAsia"/>
        </w:rPr>
        <w:t>（4）预算监督管理有效性。预算资金的使用严格按照水务集团资金拨付制度执行，未发现违规环节。按照评分标准，目标完成比例100%，得满分3分。</w:t>
      </w:r>
    </w:p>
    <w:p w14:paraId="14A5CD3C">
      <w:pPr>
        <w:ind w:firstLine="420" w:firstLineChars="200"/>
      </w:pPr>
      <w:r>
        <w:rPr>
          <w:rFonts w:hint="eastAsia"/>
        </w:rPr>
        <w:t>2、资产管理</w:t>
      </w:r>
    </w:p>
    <w:p w14:paraId="1D22DD0D">
      <w:pPr>
        <w:ind w:firstLine="420" w:firstLineChars="200"/>
      </w:pPr>
      <w:r>
        <w:rPr>
          <w:rFonts w:hint="eastAsia"/>
        </w:rPr>
        <w:t>（1）资产管理制度健全性。资产管理制度健全，已印发《莆田市水务集团财务管理制度》（莆水务【2019】198号）、《莆田市水务集团有限公司关于固定资产制度的规定》（ 莆水务【2019】122号）。按照评分标准，目标完成比例100%，得满分</w:t>
      </w:r>
      <w:r>
        <w:t>4</w:t>
      </w:r>
      <w:r>
        <w:rPr>
          <w:rFonts w:hint="eastAsia"/>
        </w:rPr>
        <w:t>分。</w:t>
      </w:r>
    </w:p>
    <w:p w14:paraId="33523B53">
      <w:pPr>
        <w:ind w:firstLine="420" w:firstLineChars="200"/>
      </w:pPr>
      <w:r>
        <w:rPr>
          <w:rFonts w:hint="eastAsia"/>
        </w:rPr>
        <w:t>（2）资产管理执行有效性。严格按照《莆田市水务集团有限公司关于固定资产制度的规定》（ 莆水务【2019】122号）制度对资产建立台账、盘点、报废等管理，未存在流失。按照评分标准，目标完成比例100%，得满分</w:t>
      </w:r>
      <w:r>
        <w:t>4</w:t>
      </w:r>
      <w:r>
        <w:rPr>
          <w:rFonts w:hint="eastAsia"/>
        </w:rPr>
        <w:t>分。</w:t>
      </w:r>
    </w:p>
    <w:p w14:paraId="12C4903A">
      <w:pPr>
        <w:ind w:firstLine="420" w:firstLineChars="200"/>
      </w:pPr>
      <w:r>
        <w:rPr>
          <w:rFonts w:hint="eastAsia"/>
        </w:rPr>
        <w:t>3、支出管理</w:t>
      </w:r>
    </w:p>
    <w:p w14:paraId="17BF47F0">
      <w:pPr>
        <w:ind w:firstLine="420" w:firstLineChars="200"/>
      </w:pPr>
      <w:r>
        <w:rPr>
          <w:rFonts w:hint="eastAsia"/>
        </w:rPr>
        <w:t>（1）支出资金管理制度健全性。资金支付程序规定:《莆田市水务集团有限公司财务审批流程》（莆水务【2019】157号）、《莆田市水务集团有限公司关于子公司资金拨付程序的规定》（ 莆水务【2019】156号）及《关于修正资金拨付程序规定的通知》莆水务【2020】178号，对资金进行监督管理。按照评分标准，目标完成比例100%，得满分3分。</w:t>
      </w:r>
    </w:p>
    <w:p w14:paraId="4462ACEE">
      <w:pPr>
        <w:ind w:firstLine="420" w:firstLineChars="200"/>
      </w:pPr>
      <w:r>
        <w:rPr>
          <w:rFonts w:hint="eastAsia"/>
        </w:rPr>
        <w:t>（2）支出资金管理执行有效性。资金按照《莆田市水务集团有限公司财务审批流程》（莆水务【2019】157号）、《莆田市水务集团有限公司关于子公司资金拨付程序的规定》（ 莆水务【2019】156号）等文件规定流程执行，未发现违规现象。按照评分标准，目标完成比例100%，得满分3分。</w:t>
      </w:r>
    </w:p>
    <w:p w14:paraId="1F4823F7">
      <w:pPr>
        <w:ind w:firstLine="420" w:firstLineChars="200"/>
      </w:pPr>
      <w:bookmarkStart w:id="352" w:name="_Toc81257073"/>
      <w:r>
        <w:rPr>
          <w:rFonts w:hint="eastAsia"/>
        </w:rPr>
        <w:t>（二）国有资本经营预算产出（满分</w:t>
      </w:r>
      <w:r>
        <w:t>41</w:t>
      </w:r>
      <w:r>
        <w:rPr>
          <w:rFonts w:hint="eastAsia"/>
        </w:rPr>
        <w:t>分，得分</w:t>
      </w:r>
      <w:r>
        <w:t>34.67</w:t>
      </w:r>
      <w:r>
        <w:rPr>
          <w:rFonts w:hint="eastAsia"/>
        </w:rPr>
        <w:t>分）</w:t>
      </w:r>
      <w:bookmarkEnd w:id="352"/>
    </w:p>
    <w:p w14:paraId="67C65F7C">
      <w:pPr>
        <w:ind w:firstLine="420" w:firstLineChars="200"/>
      </w:pPr>
      <w:r>
        <w:rPr>
          <w:rFonts w:hint="eastAsia"/>
        </w:rPr>
        <w:t>1、收入预算产出</w:t>
      </w:r>
    </w:p>
    <w:p w14:paraId="4EF7FB46">
      <w:pPr>
        <w:ind w:firstLine="420" w:firstLineChars="200"/>
      </w:pPr>
      <w:r>
        <w:rPr>
          <w:rFonts w:hint="eastAsia"/>
        </w:rPr>
        <w:t>（1）营业收入实现情况。2019年营业收入为4.15亿元，2020年为4.76亿元，同比增加0.61亿元，增长14.7%。按照评分标准，目标完成比例100%，得满分</w:t>
      </w:r>
      <w:r>
        <w:t>4</w:t>
      </w:r>
      <w:r>
        <w:rPr>
          <w:rFonts w:hint="eastAsia"/>
        </w:rPr>
        <w:t>分。</w:t>
      </w:r>
    </w:p>
    <w:p w14:paraId="22CE0390">
      <w:pPr>
        <w:ind w:firstLine="420" w:firstLineChars="200"/>
      </w:pPr>
      <w:r>
        <w:rPr>
          <w:rFonts w:hint="eastAsia"/>
        </w:rPr>
        <w:t>（2）集团利润总额实现情况。2019年利润总额为3940.04万元，2020年为4122.77万元，同比增长4.64%。按照评分标准，目标完成比例9</w:t>
      </w:r>
      <w:r>
        <w:t>2.8</w:t>
      </w:r>
      <w:r>
        <w:rPr>
          <w:rFonts w:hint="eastAsia"/>
        </w:rPr>
        <w:t>%，得1</w:t>
      </w:r>
      <w:r>
        <w:t>.85</w:t>
      </w:r>
      <w:r>
        <w:rPr>
          <w:rFonts w:hint="eastAsia"/>
        </w:rPr>
        <w:t>分。</w:t>
      </w:r>
    </w:p>
    <w:p w14:paraId="66C5F503">
      <w:pPr>
        <w:ind w:firstLine="420" w:firstLineChars="200"/>
      </w:pPr>
      <w:r>
        <w:rPr>
          <w:rFonts w:hint="eastAsia"/>
        </w:rPr>
        <w:t>（3）国有资本经营收益收缴率。2020年利润总额为4122.7万元，2020年营业收入为47586.68万元，比值为8.66%。按照评分标准，目标完成比例8</w:t>
      </w:r>
      <w:r>
        <w:t>6.6</w:t>
      </w:r>
      <w:r>
        <w:rPr>
          <w:rFonts w:hint="eastAsia"/>
        </w:rPr>
        <w:t>%，得1</w:t>
      </w:r>
      <w:r>
        <w:t>.73</w:t>
      </w:r>
      <w:r>
        <w:rPr>
          <w:rFonts w:hint="eastAsia"/>
        </w:rPr>
        <w:t>分。</w:t>
      </w:r>
    </w:p>
    <w:p w14:paraId="4C0779E4">
      <w:pPr>
        <w:ind w:firstLine="420" w:firstLineChars="200"/>
      </w:pPr>
      <w:r>
        <w:rPr>
          <w:rFonts w:hint="eastAsia"/>
        </w:rPr>
        <w:t>（4）国有资本经营收益收缴及时性。每年按时上缴企业国有资本经营预算收入，按30%上缴水务股息分红收入，2020年9月上缴金额为29.49万元。按照评分标准，目标完成比例100%，得满分3分。</w:t>
      </w:r>
    </w:p>
    <w:p w14:paraId="5A5108ED">
      <w:pPr>
        <w:ind w:firstLine="420" w:firstLineChars="200"/>
      </w:pPr>
      <w:r>
        <w:rPr>
          <w:rFonts w:hint="eastAsia"/>
        </w:rPr>
        <w:t>2、支出预算产出</w:t>
      </w:r>
    </w:p>
    <w:p w14:paraId="37C2E103">
      <w:pPr>
        <w:ind w:firstLine="420" w:firstLineChars="200"/>
      </w:pPr>
      <w:r>
        <w:rPr>
          <w:rFonts w:hint="eastAsia"/>
        </w:rPr>
        <w:t>（1）年度工程进度完成率。2020年度计划实施政府性项目西音水库工程、东圳水库水利枢纽引水配套工程、莆田市闽中污水处理厂提标改造暨中水回用工程、莆田湄洲湾石门澳污水处理厂一期工程。其中莆田市闽中污水处理厂提标改造暨中水回用工程已完工，莆田湄洲湾石门澳污水处理厂一期工程已基本完工，东圳水库水利枢纽引水配套工程按时推进，剩余配套工程，西音水库工程因征迁工作尚未按计划开工建设。按照评分标准，西音水库工程扣2分，闽中污水处理工程和湄洲湾石门澳污水处理工程各扣0</w:t>
      </w:r>
      <w:r>
        <w:t>.5</w:t>
      </w:r>
      <w:r>
        <w:rPr>
          <w:rFonts w:hint="eastAsia"/>
        </w:rPr>
        <w:t>分，目标完成比例6</w:t>
      </w:r>
      <w:r>
        <w:t>2.5</w:t>
      </w:r>
      <w:r>
        <w:rPr>
          <w:rFonts w:hint="eastAsia"/>
        </w:rPr>
        <w:t>%，共得5分。</w:t>
      </w:r>
    </w:p>
    <w:p w14:paraId="77192F25">
      <w:pPr>
        <w:ind w:firstLine="420" w:firstLineChars="200"/>
      </w:pPr>
      <w:r>
        <w:rPr>
          <w:rFonts w:hint="eastAsia"/>
        </w:rPr>
        <w:t>（2）年度工程项目验收合格率。2020年度，莆田市闽中污水处理厂提标改造暨中水回用工程竣工验收合格，东圳水库水利枢纽引水配套工程、莆田湄洲湾石门澳污水处理厂一期工程分部分项验收全部合格。按照评分标准，目标完成比例100%，得满分</w:t>
      </w:r>
      <w:r>
        <w:t>8</w:t>
      </w:r>
      <w:r>
        <w:rPr>
          <w:rFonts w:hint="eastAsia"/>
        </w:rPr>
        <w:t>分。</w:t>
      </w:r>
    </w:p>
    <w:p w14:paraId="123216A6">
      <w:pPr>
        <w:ind w:firstLine="420" w:firstLineChars="200"/>
      </w:pPr>
      <w:r>
        <w:rPr>
          <w:rFonts w:hint="eastAsia"/>
        </w:rPr>
        <w:t>（3）年度工程项目成本控制情况。莆田市闽中污水处理厂提标改造暨中水回用工程财政结算审核完成，结算审核价178416715元，未超过预算190329094元（莆财建审结[2021]3号）。按照评分标准，目标完成比例100%，得满分</w:t>
      </w:r>
      <w:r>
        <w:t>8</w:t>
      </w:r>
      <w:r>
        <w:rPr>
          <w:rFonts w:hint="eastAsia"/>
        </w:rPr>
        <w:t>分。</w:t>
      </w:r>
    </w:p>
    <w:p w14:paraId="1B69D62E">
      <w:pPr>
        <w:ind w:firstLine="420" w:firstLineChars="200"/>
      </w:pPr>
      <w:r>
        <w:rPr>
          <w:rFonts w:hint="eastAsia"/>
        </w:rPr>
        <w:t>（4）集团经营成本控制情况。2020年水务集团利润总额为4122.77万元，成本费用为50413.81万元，利润总额/成本费用总额为8.18%。按照评分标准，目标完成比例</w:t>
      </w:r>
      <w:r>
        <w:t>54.53</w:t>
      </w:r>
      <w:r>
        <w:rPr>
          <w:rFonts w:hint="eastAsia"/>
        </w:rPr>
        <w:t>%，得1</w:t>
      </w:r>
      <w:r>
        <w:t>.09</w:t>
      </w:r>
      <w:r>
        <w:rPr>
          <w:rFonts w:hint="eastAsia"/>
        </w:rPr>
        <w:t>分。</w:t>
      </w:r>
    </w:p>
    <w:p w14:paraId="61CE25C9">
      <w:pPr>
        <w:ind w:firstLine="420" w:firstLineChars="200"/>
      </w:pPr>
      <w:r>
        <w:rPr>
          <w:rFonts w:hint="eastAsia"/>
        </w:rPr>
        <w:t>（5）年度工程项目按时完工率。西音水库工程、东圳水库水利枢纽引水配套工程、莆田市闽中污水处理厂提标改造暨中水回用工程、莆田湄洲湾石门澳污水处理厂一期工程4个项目年度计划投资额共26600万元，完成投资计划26886万元,其中西音水库工程、莆田湄洲湾石门澳污水处理厂一期工程投资计划没有完成。按照评分标准，目标完成比例</w:t>
      </w:r>
      <w:r>
        <w:t>50</w:t>
      </w:r>
      <w:r>
        <w:rPr>
          <w:rFonts w:hint="eastAsia"/>
        </w:rPr>
        <w:t>%，得</w:t>
      </w:r>
      <w:r>
        <w:t>2</w:t>
      </w:r>
      <w:r>
        <w:rPr>
          <w:rFonts w:hint="eastAsia"/>
        </w:rPr>
        <w:t>分。</w:t>
      </w:r>
    </w:p>
    <w:p w14:paraId="32D30EE7">
      <w:pPr>
        <w:ind w:firstLine="420" w:firstLineChars="200"/>
      </w:pPr>
      <w:bookmarkStart w:id="353" w:name="_Toc81257074"/>
      <w:r>
        <w:rPr>
          <w:rFonts w:hint="eastAsia"/>
        </w:rPr>
        <w:t>（三）国有资本经营预算效果（满分</w:t>
      </w:r>
      <w:r>
        <w:t>33</w:t>
      </w:r>
      <w:r>
        <w:rPr>
          <w:rFonts w:hint="eastAsia"/>
        </w:rPr>
        <w:t>分，得分</w:t>
      </w:r>
      <w:r>
        <w:t>31</w:t>
      </w:r>
      <w:r>
        <w:rPr>
          <w:rFonts w:hint="eastAsia"/>
        </w:rPr>
        <w:t>分）</w:t>
      </w:r>
      <w:bookmarkEnd w:id="353"/>
    </w:p>
    <w:p w14:paraId="18945741">
      <w:pPr>
        <w:ind w:firstLine="420" w:firstLineChars="200"/>
      </w:pPr>
      <w:r>
        <w:rPr>
          <w:rFonts w:hint="eastAsia"/>
        </w:rPr>
        <w:t>1、经济效益</w:t>
      </w:r>
    </w:p>
    <w:p w14:paraId="3C36D849">
      <w:pPr>
        <w:ind w:firstLine="420" w:firstLineChars="200"/>
      </w:pPr>
      <w:r>
        <w:rPr>
          <w:rFonts w:hint="eastAsia"/>
        </w:rPr>
        <w:t>（1）实际缴纳税金及附加（含所得税）增长情况。2</w:t>
      </w:r>
      <w:r>
        <w:t>0</w:t>
      </w:r>
      <w:r>
        <w:rPr>
          <w:rFonts w:hint="eastAsia"/>
        </w:rPr>
        <w:t>19年缴纳税金为2251.5万元，2</w:t>
      </w:r>
      <w:r>
        <w:t>0</w:t>
      </w:r>
      <w:r>
        <w:rPr>
          <w:rFonts w:hint="eastAsia"/>
        </w:rPr>
        <w:t>20年为2305.95万元，同比增加约2.42%。按照评分标准，目标完成比例100%，得满分</w:t>
      </w:r>
      <w:r>
        <w:t>4</w:t>
      </w:r>
      <w:r>
        <w:rPr>
          <w:rFonts w:hint="eastAsia"/>
        </w:rPr>
        <w:t>分。</w:t>
      </w:r>
    </w:p>
    <w:p w14:paraId="6CCBA743">
      <w:pPr>
        <w:ind w:firstLine="420" w:firstLineChars="200"/>
      </w:pPr>
      <w:r>
        <w:rPr>
          <w:rFonts w:hint="eastAsia"/>
        </w:rPr>
        <w:t>（2）集团净资产收益情况。2020年净利润2683.82万元，净资产572055.14万元，净资产收益率0.47%。按照评分标准，目标完成比例</w:t>
      </w:r>
      <w:r>
        <w:t>5</w:t>
      </w:r>
      <w:r>
        <w:rPr>
          <w:rFonts w:hint="eastAsia"/>
        </w:rPr>
        <w:t>0%，得</w:t>
      </w:r>
      <w:r>
        <w:t>1</w:t>
      </w:r>
      <w:r>
        <w:rPr>
          <w:rFonts w:hint="eastAsia"/>
        </w:rPr>
        <w:t>分。</w:t>
      </w:r>
    </w:p>
    <w:p w14:paraId="35AD8F1E">
      <w:pPr>
        <w:ind w:firstLine="420" w:firstLineChars="200"/>
      </w:pPr>
      <w:r>
        <w:rPr>
          <w:rFonts w:hint="eastAsia"/>
        </w:rPr>
        <w:t>（3）集团资产总额增长情况。2019年资产总额为101.45亿元，2020年为114.56亿元，同比增加约12.92%。按照评分标准，目标完成比例100%，得满分</w:t>
      </w:r>
      <w:r>
        <w:t>4</w:t>
      </w:r>
      <w:r>
        <w:rPr>
          <w:rFonts w:hint="eastAsia"/>
        </w:rPr>
        <w:t>分。</w:t>
      </w:r>
    </w:p>
    <w:p w14:paraId="4CEBD6C4">
      <w:pPr>
        <w:ind w:firstLine="420" w:firstLineChars="200"/>
      </w:pPr>
      <w:r>
        <w:rPr>
          <w:rFonts w:hint="eastAsia"/>
        </w:rPr>
        <w:t>2、社会效益</w:t>
      </w:r>
    </w:p>
    <w:p w14:paraId="00E69D88">
      <w:pPr>
        <w:ind w:firstLine="420" w:firstLineChars="200"/>
      </w:pPr>
      <w:r>
        <w:rPr>
          <w:rFonts w:hint="eastAsia"/>
        </w:rPr>
        <w:t>（1）新增就业人数。2020年共新增就业人数43人，按照评分标准，目标完成比例100%，得满分</w:t>
      </w:r>
      <w:r>
        <w:t>3</w:t>
      </w:r>
      <w:r>
        <w:rPr>
          <w:rFonts w:hint="eastAsia"/>
        </w:rPr>
        <w:t>分。</w:t>
      </w:r>
    </w:p>
    <w:p w14:paraId="2E857F40">
      <w:pPr>
        <w:ind w:firstLine="420" w:firstLineChars="200"/>
      </w:pPr>
      <w:r>
        <w:rPr>
          <w:rFonts w:hint="eastAsia"/>
        </w:rPr>
        <w:t>（2）有责投诉事件发生数。2020年度共收到信访件11件，均已及时办理并有效解决，办结率100%。按照评分标准，目标完成比例100%，得满分</w:t>
      </w:r>
      <w:r>
        <w:t>2</w:t>
      </w:r>
      <w:r>
        <w:rPr>
          <w:rFonts w:hint="eastAsia"/>
        </w:rPr>
        <w:t>分。</w:t>
      </w:r>
    </w:p>
    <w:p w14:paraId="3C7B00B7">
      <w:pPr>
        <w:ind w:firstLine="420" w:firstLineChars="200"/>
      </w:pPr>
      <w:r>
        <w:rPr>
          <w:rFonts w:hint="eastAsia"/>
        </w:rPr>
        <w:t>3、可持续效益</w:t>
      </w:r>
    </w:p>
    <w:p w14:paraId="3EDB8F2B">
      <w:pPr>
        <w:ind w:firstLine="420" w:firstLineChars="200"/>
      </w:pPr>
      <w:r>
        <w:rPr>
          <w:rFonts w:hint="eastAsia"/>
        </w:rPr>
        <w:t>（1）自来水产销差率。2019年产销差率为14.43%，2020年产销差为13.86%，下降了0.57%，按照评分标准，目标完成比例</w:t>
      </w:r>
      <w:r>
        <w:t>100</w:t>
      </w:r>
      <w:r>
        <w:rPr>
          <w:rFonts w:hint="eastAsia"/>
        </w:rPr>
        <w:t>%，得</w:t>
      </w:r>
      <w:r>
        <w:t>2</w:t>
      </w:r>
      <w:r>
        <w:rPr>
          <w:rFonts w:hint="eastAsia"/>
        </w:rPr>
        <w:t>分。</w:t>
      </w:r>
    </w:p>
    <w:p w14:paraId="6ABEAEF2">
      <w:pPr>
        <w:ind w:firstLine="420" w:firstLineChars="200"/>
      </w:pPr>
      <w:r>
        <w:rPr>
          <w:rFonts w:hint="eastAsia"/>
        </w:rPr>
        <w:t>（2）集团国有资本保值增值率。2020年净利润2683.82万元，期初权益604022.8万元，保值增值率2683.82/604022.8+1=100.44%，按照评分标准，目标完成比例</w:t>
      </w:r>
      <w:r>
        <w:t>75</w:t>
      </w:r>
      <w:r>
        <w:rPr>
          <w:rFonts w:hint="eastAsia"/>
        </w:rPr>
        <w:t>%，得3分。</w:t>
      </w:r>
    </w:p>
    <w:p w14:paraId="44670361">
      <w:pPr>
        <w:ind w:firstLine="420" w:firstLineChars="200"/>
      </w:pPr>
      <w:r>
        <w:rPr>
          <w:rFonts w:hint="eastAsia"/>
        </w:rPr>
        <w:t>（3）集团业绩连续性情况。2019年主营业务收入为3.21亿元，2020年为3.86亿元，同比增长20.25%。按照评分标准，目标完成比例100%，得满分</w:t>
      </w:r>
      <w:r>
        <w:t>4</w:t>
      </w:r>
      <w:r>
        <w:rPr>
          <w:rFonts w:hint="eastAsia"/>
        </w:rPr>
        <w:t>分。</w:t>
      </w:r>
    </w:p>
    <w:p w14:paraId="7D0CAC44">
      <w:pPr>
        <w:ind w:firstLine="420" w:firstLineChars="200"/>
      </w:pPr>
      <w:r>
        <w:rPr>
          <w:rFonts w:hint="eastAsia"/>
        </w:rPr>
        <w:t>4、生态效益</w:t>
      </w:r>
    </w:p>
    <w:p w14:paraId="6FC028AE">
      <w:pPr>
        <w:ind w:firstLine="420" w:firstLineChars="200"/>
      </w:pPr>
      <w:r>
        <w:rPr>
          <w:rFonts w:hint="eastAsia"/>
        </w:rPr>
        <w:t>污水处理量完成情况。2019年污水处理量为5979.32万吨，2020年为7055.43万吨，同比增长18%,1076.11万吨。按照评分标准，目标完成比例100%，得满分</w:t>
      </w:r>
      <w:r>
        <w:t>4</w:t>
      </w:r>
      <w:r>
        <w:rPr>
          <w:rFonts w:hint="eastAsia"/>
        </w:rPr>
        <w:t>分。</w:t>
      </w:r>
    </w:p>
    <w:p w14:paraId="7A91EDAA">
      <w:pPr>
        <w:ind w:firstLine="420" w:firstLineChars="200"/>
      </w:pPr>
      <w:r>
        <w:rPr>
          <w:rFonts w:hint="eastAsia"/>
        </w:rPr>
        <w:t>5、满意度</w:t>
      </w:r>
    </w:p>
    <w:p w14:paraId="67E7777C">
      <w:pPr>
        <w:ind w:firstLine="420" w:firstLineChars="200"/>
      </w:pPr>
      <w:r>
        <w:rPr>
          <w:rFonts w:hint="eastAsia"/>
        </w:rPr>
        <w:t>社会公众或服务对象对国有资本经营情况的满意程度。根据12345便民服务平台统计数据，20年投诉事件共2377件全部办结，办结率100%，满意率99.96%。按照评分标准，目标完成比例100%，得满分</w:t>
      </w:r>
      <w:r>
        <w:t>4</w:t>
      </w:r>
      <w:r>
        <w:rPr>
          <w:rFonts w:hint="eastAsia"/>
        </w:rPr>
        <w:t>分。</w:t>
      </w:r>
    </w:p>
    <w:p w14:paraId="48D7303E">
      <w:pPr>
        <w:ind w:firstLine="420" w:firstLineChars="200"/>
      </w:pPr>
      <w:bookmarkStart w:id="354" w:name="_Toc76291888"/>
      <w:bookmarkStart w:id="355" w:name="_Toc81257075"/>
      <w:bookmarkStart w:id="356" w:name="_Toc39608437"/>
      <w:r>
        <w:rPr>
          <w:rFonts w:hint="eastAsia"/>
        </w:rPr>
        <w:t>（四）绩效评价结论</w:t>
      </w:r>
      <w:bookmarkEnd w:id="354"/>
      <w:bookmarkEnd w:id="355"/>
      <w:bookmarkEnd w:id="356"/>
    </w:p>
    <w:p w14:paraId="4828F0D1">
      <w:pPr>
        <w:ind w:firstLine="420" w:firstLineChars="200"/>
      </w:pPr>
      <w:r>
        <w:t>参考</w:t>
      </w:r>
      <w:r>
        <w:rPr>
          <w:rFonts w:hint="eastAsia"/>
        </w:rPr>
        <w:t>《财政部项目支出绩效评价管理办法》（财预[2020]10 号），通过资料的审查、现场调研及相关人员访谈等评价程序，得出莆田市水务集团有限公司</w:t>
      </w:r>
      <w:r>
        <w:t>2020</w:t>
      </w:r>
      <w:r>
        <w:rPr>
          <w:rFonts w:hint="eastAsia"/>
        </w:rPr>
        <w:t>年度国有资本运营情况的绩效得分为</w:t>
      </w:r>
      <w:r>
        <w:t>91.67</w:t>
      </w:r>
      <w:r>
        <w:rPr>
          <w:rFonts w:hint="eastAsia"/>
        </w:rPr>
        <w:t>分，绩效评价等级为“优”。</w:t>
      </w:r>
    </w:p>
    <w:p w14:paraId="39CA3456">
      <w:pPr>
        <w:ind w:firstLine="420" w:firstLineChars="200"/>
      </w:pPr>
      <w:r>
        <w:rPr>
          <w:rFonts w:hint="eastAsia"/>
        </w:rPr>
        <w:t>通过分析相关资料，结合现场检查情况，评价组认为</w:t>
      </w:r>
      <w:r>
        <w:t>2020</w:t>
      </w:r>
      <w:r>
        <w:rPr>
          <w:rFonts w:hint="eastAsia"/>
        </w:rPr>
        <w:t>年度国有资本运营情况在已运营过程中效益较好，政策导向正确，资金使用较为规范，年度绩效目标的达成在一定程度上改善和提高环境质量水平，改善周边水域水质，发挥社会效益和经济效益。</w:t>
      </w:r>
    </w:p>
    <w:p w14:paraId="5D611938">
      <w:pPr>
        <w:ind w:firstLine="420" w:firstLineChars="200"/>
        <w:outlineLvl w:val="0"/>
      </w:pPr>
      <w:bookmarkStart w:id="357" w:name="_Toc39608438"/>
      <w:bookmarkStart w:id="358" w:name="_Toc76291889"/>
      <w:bookmarkStart w:id="359" w:name="_Toc25331"/>
      <w:bookmarkStart w:id="360" w:name="_Toc81257076"/>
      <w:r>
        <w:rPr>
          <w:rFonts w:hint="eastAsia"/>
        </w:rPr>
        <w:t>四、</w:t>
      </w:r>
      <w:r>
        <w:t>主要</w:t>
      </w:r>
      <w:bookmarkEnd w:id="357"/>
      <w:bookmarkEnd w:id="358"/>
      <w:r>
        <w:rPr>
          <w:rFonts w:hint="eastAsia"/>
        </w:rPr>
        <w:t>绩效</w:t>
      </w:r>
      <w:bookmarkEnd w:id="359"/>
      <w:bookmarkEnd w:id="360"/>
    </w:p>
    <w:p w14:paraId="78D396BC">
      <w:pPr>
        <w:ind w:firstLine="420" w:firstLineChars="200"/>
      </w:pPr>
      <w:bookmarkStart w:id="361" w:name="_Toc76291890"/>
      <w:bookmarkStart w:id="362" w:name="_Toc81257077"/>
      <w:r>
        <w:rPr>
          <w:rFonts w:hint="eastAsia"/>
        </w:rPr>
        <w:t>（一）</w:t>
      </w:r>
      <w:bookmarkEnd w:id="361"/>
      <w:r>
        <w:rPr>
          <w:rFonts w:hint="eastAsia"/>
        </w:rPr>
        <w:t>城乡供水一体化全面铺开</w:t>
      </w:r>
      <w:bookmarkEnd w:id="362"/>
    </w:p>
    <w:p w14:paraId="55A8373E">
      <w:pPr>
        <w:ind w:firstLine="420" w:firstLineChars="200"/>
      </w:pPr>
      <w:r>
        <w:rPr>
          <w:rFonts w:hint="eastAsia"/>
        </w:rPr>
        <w:t>围绕城乡供水“同网、同质、同价、同服务”一体化发展目标，按照“统一规划、统一标准、统一建设、统一管护”工作原则，根据不同地域供水实际，策划生成、扎实推进供水一体化一户一表改造、供水管网建设改造、大洋水厂建设等24个项目建设，总投资约52亿元，已完成投资约2.5亿元；促进供水管网互联互通和供水资源有效整合，强化对新接管的城厢龙桥水厂、华亭朝阳水厂及紫峰水厂等私营水厂管网技改，淘汰落后制水工艺，以“大水源、大水厂、大管网为主，简易自来水设施为辅”城乡供水保障体系基本形成。我市为城乡一体化工作全省的试点，为全省的城乡一体化工作起到示范作用。</w:t>
      </w:r>
    </w:p>
    <w:p w14:paraId="1844EF66">
      <w:pPr>
        <w:ind w:firstLine="420" w:firstLineChars="200"/>
      </w:pPr>
      <w:bookmarkStart w:id="363" w:name="_Toc76291891"/>
      <w:bookmarkStart w:id="364" w:name="_Toc81257078"/>
      <w:r>
        <w:rPr>
          <w:rFonts w:hint="eastAsia"/>
        </w:rPr>
        <w:t>（二）</w:t>
      </w:r>
      <w:bookmarkEnd w:id="363"/>
      <w:r>
        <w:rPr>
          <w:rFonts w:hint="eastAsia"/>
        </w:rPr>
        <w:t>城乡污水收集处理取得实效</w:t>
      </w:r>
      <w:bookmarkEnd w:id="364"/>
    </w:p>
    <w:p w14:paraId="6B85678D">
      <w:pPr>
        <w:ind w:firstLine="420" w:firstLineChars="200"/>
      </w:pPr>
      <w:r>
        <w:rPr>
          <w:rFonts w:hint="eastAsia"/>
        </w:rPr>
        <w:t>将集团下属7个污水处理企业整合重组成立了莆田市水质净化有限公司的基础上，推进北岸港城污水处理厂代管，接收北岸及秀屿等片区5座污水泵站，截止目前，已实现接管或代管除仙游县外市域污水处理厂5座、28座泵站、488公里污水主管网；推进推进荔城污水处理厂、秀屿污水处理厂提标改造和荔城污水处理厂扩容建设，出厂水由一级B提升到一级A标准，投资4000多万元推进辖区约174.49千米污水主次干管检测、清淤、疏通和修复，污水收集处理能力大幅提升，污水进厂水量明显增加，COD、BOD指标明显好转；设立23座污水泵站进厂水水质监测点，继续推进污水收集处理三年行动方案和环湄洲湾北岸尾水排海工程扫尾工作，实现污水设施常态化、专业化、规范化建设维护管理，污水处理设施日臻完善，城乡污水收集处理能力大大提升，全年日达标排放率达99.3%，顺利通过2020年度福建省城镇污水处理厂运行考核评估，城乡污水一体化雏形正在形成。</w:t>
      </w:r>
    </w:p>
    <w:p w14:paraId="7CBDC36D">
      <w:pPr>
        <w:ind w:firstLine="420" w:firstLineChars="200"/>
      </w:pPr>
      <w:bookmarkStart w:id="365" w:name="_Toc76291892"/>
      <w:bookmarkStart w:id="366" w:name="_Toc81257079"/>
      <w:r>
        <w:rPr>
          <w:rFonts w:hint="eastAsia"/>
        </w:rPr>
        <w:t>（三）</w:t>
      </w:r>
      <w:bookmarkEnd w:id="365"/>
      <w:r>
        <w:rPr>
          <w:rFonts w:hint="eastAsia"/>
        </w:rPr>
        <w:t>水生态投资成效不断提升</w:t>
      </w:r>
      <w:bookmarkEnd w:id="366"/>
    </w:p>
    <w:p w14:paraId="28878668">
      <w:pPr>
        <w:ind w:firstLine="420" w:firstLineChars="200"/>
      </w:pPr>
      <w:r>
        <w:rPr>
          <w:rFonts w:hint="eastAsia"/>
        </w:rPr>
        <w:t>贯彻落实习近平木兰溪治理理念，针对木兰溪流域水生态存在的薄弱环节，扎实推进木兰溪流域系统治理，有序推进十里河道玉湖与企溪水系连通工程、城涵河道综合整治工程、木兰溪城区段水生态修复综合整治工程北岸口袋公园一期工程、福建省木兰溪下游水生态综合修复与治理工程、木兰陂世界灌溉工程遗产景区项目等流域治理项目建设，着力建设“水清、岸绿、景美、河畅”的木兰溪水生态环境；着力推进乌溪水库和西音水库工程建设，乌溪水库已下闸蓄水，西音水库工程建设各项工作正有条不紊进行；进一步提升水资源利用效率，改善水生态环境。</w:t>
      </w:r>
    </w:p>
    <w:p w14:paraId="697A8292">
      <w:pPr>
        <w:ind w:firstLine="420" w:firstLineChars="200"/>
      </w:pPr>
      <w:bookmarkStart w:id="367" w:name="_Toc81257080"/>
      <w:r>
        <w:rPr>
          <w:rFonts w:hint="eastAsia"/>
        </w:rPr>
        <w:t>（四）国有资产安全生产成效显著</w:t>
      </w:r>
      <w:bookmarkEnd w:id="367"/>
    </w:p>
    <w:p w14:paraId="130295F7">
      <w:pPr>
        <w:ind w:firstLine="420" w:firstLineChars="200"/>
      </w:pPr>
      <w:r>
        <w:rPr>
          <w:rFonts w:hint="eastAsia"/>
        </w:rPr>
        <w:t>水务集团深入学习贯彻习近平总书记关于安全生产重要论述，贯彻落实上级党委政府关于安全生产重大决策部署，牢固树立安全发展理念，深刻汲取3·7泉州欣佳酒店坍塌事故经验教训，扎实推进新冠肺炎疫情常态化防控、打通“生命通道”集中治理、安全生产隐患大排查大整治、房屋结构安全隐患大排查大整治、“安全生产月”、安全生产专项整治三年行动、高温天气防暑降温、井盖整治“百日攻坚”、“119”消防宣传月及冬春火灾防控等各项活动，组织开展“妈祖救援在行动—2020”综合应急救援演练、消防及触电应急救援演练、供水管网爆管应急抢修演练、次氯酸钠泄漏事故应急救援预案演练、消防事故应急处置演练等安全生产应急演练共5场次，线上线下相结合开展安全生产知识培训235人次，开展安全生产大检查72次，排查安全生产隐患61个全部整改到位，有力推进安全生产标准化和平安企业建设，安全生产监管责任有效落实。</w:t>
      </w:r>
    </w:p>
    <w:p w14:paraId="48D49F06">
      <w:pPr>
        <w:ind w:firstLine="420" w:firstLineChars="200"/>
        <w:outlineLvl w:val="0"/>
      </w:pPr>
      <w:bookmarkStart w:id="368" w:name="_Toc25524"/>
      <w:bookmarkStart w:id="369" w:name="_Toc76291893"/>
      <w:bookmarkStart w:id="370" w:name="_Toc81257081"/>
      <w:bookmarkStart w:id="371" w:name="_Toc39608439"/>
      <w:r>
        <w:rPr>
          <w:rFonts w:hint="eastAsia"/>
        </w:rPr>
        <w:t>五、</w:t>
      </w:r>
      <w:r>
        <w:t>存在问题</w:t>
      </w:r>
      <w:bookmarkEnd w:id="368"/>
      <w:bookmarkEnd w:id="369"/>
      <w:bookmarkEnd w:id="370"/>
      <w:bookmarkEnd w:id="371"/>
    </w:p>
    <w:p w14:paraId="2AC22456">
      <w:pPr>
        <w:ind w:firstLine="420" w:firstLineChars="200"/>
      </w:pPr>
      <w:bookmarkStart w:id="372" w:name="_Toc76291894"/>
      <w:bookmarkStart w:id="373" w:name="_Toc81257082"/>
      <w:r>
        <w:rPr>
          <w:rFonts w:hint="eastAsia"/>
        </w:rPr>
        <w:t>（一）</w:t>
      </w:r>
      <w:bookmarkEnd w:id="372"/>
      <w:r>
        <w:rPr>
          <w:rFonts w:hint="eastAsia"/>
        </w:rPr>
        <w:t>国有资本运营收支压力较大</w:t>
      </w:r>
      <w:bookmarkEnd w:id="373"/>
    </w:p>
    <w:p w14:paraId="33D16C68">
      <w:pPr>
        <w:ind w:firstLine="420" w:firstLineChars="200"/>
      </w:pPr>
      <w:r>
        <w:rPr>
          <w:rFonts w:hint="eastAsia"/>
        </w:rPr>
        <w:t>1、城乡供水水价过低。莆田、涵江主城区供水原水每吨0.50元，供水基本价格每吨1.95元；壶山片区供水原水每吨1元，供水基本价格每吨2.30元；湄洲湾片区供水原水每吨0.85元，供水基本价格每吨2.60元；加上每年供水设施建设改造费用，城乡供水水价总体过低，造成供水企业微利经营甚至亏损经营，城乡供水发展后劲不足。</w:t>
      </w:r>
    </w:p>
    <w:p w14:paraId="27C63C3C">
      <w:pPr>
        <w:ind w:firstLine="420" w:firstLineChars="200"/>
      </w:pPr>
      <w:r>
        <w:rPr>
          <w:rFonts w:hint="eastAsia"/>
        </w:rPr>
        <w:t>2、山区供水资金缺口较大。经前期对各县（区）供水运营成本测算，城厢区供水运营成本12.77元/吨；涵江区供水运营成本17.29元/吨；荔城区供水运营成本22.60元/吨；仙游县供水运营成本8.18元/吨；湄洲岛供水运营成本6.32元/吨；南日岛供水运营成本10.43元/吨。按莆市价〔2016〕128号文件中居民生活用水收费标准1.95元/吨计算，涵江区、荔城区、城厢区山区片年售水收入约855.94万元，年供水成本与年售水收入之间约存在6290万元的资金缺口；仙游县山区片年售水收入约2499万元，年供水成本与年售水收入之间约存在7990万元的资金缺口，供水资金缺口较大，势必影响企业的良性发展。</w:t>
      </w:r>
    </w:p>
    <w:p w14:paraId="68B3CE51">
      <w:pPr>
        <w:ind w:firstLine="420" w:firstLineChars="200"/>
      </w:pPr>
      <w:r>
        <w:t>3</w:t>
      </w:r>
      <w:r>
        <w:rPr>
          <w:rFonts w:hint="eastAsia"/>
        </w:rPr>
        <w:t>、污水设施建设运营及维护资金存在缺口。污水设施属公益性项目，自身无法产生资金来源，目前尚未建立明确的污水设施建设运营管理保障机制，导致污水设施建设运营资金落实不到位存在大额缺口，市县区历史尚拖欠水务集团污水设施建设、运营维护款项约12亿元；年度污水设施运营维护资金没保障，现有的污水设施运营维护资金每年缺口约2.36亿元。</w:t>
      </w:r>
    </w:p>
    <w:p w14:paraId="5A53BB15">
      <w:pPr>
        <w:ind w:firstLine="420" w:firstLineChars="200"/>
      </w:pPr>
      <w:bookmarkStart w:id="374" w:name="_Toc76291895"/>
      <w:bookmarkStart w:id="375" w:name="_Toc81257083"/>
      <w:r>
        <w:rPr>
          <w:rFonts w:hint="eastAsia"/>
        </w:rPr>
        <w:t>（二）</w:t>
      </w:r>
      <w:bookmarkEnd w:id="374"/>
      <w:r>
        <w:rPr>
          <w:rFonts w:hint="eastAsia"/>
        </w:rPr>
        <w:t>国有资产建设存在协调问题</w:t>
      </w:r>
      <w:bookmarkEnd w:id="375"/>
    </w:p>
    <w:p w14:paraId="01071CFC">
      <w:pPr>
        <w:ind w:firstLine="420" w:firstLineChars="200"/>
      </w:pPr>
      <w:r>
        <w:rPr>
          <w:rFonts w:hint="eastAsia"/>
        </w:rPr>
        <w:t>1、全市排水缺乏统一规划。不同行政区之间、不同建设项目之间的雨污水管网的高程、管径不同，造成排水收集协调不畅，各区各自负责辖区范围内收集管的建设及泵站的接入，造成部分交叉或边界地段污水收集协调不畅，设施效用发挥不充分。</w:t>
      </w:r>
    </w:p>
    <w:p w14:paraId="374408A3">
      <w:pPr>
        <w:ind w:firstLine="420" w:firstLineChars="200"/>
      </w:pPr>
      <w:r>
        <w:rPr>
          <w:rFonts w:hint="eastAsia"/>
        </w:rPr>
        <w:t>2、城乡排水系统建设不协调。雨污错接混接、污水散排、漏排、混排现象依然存在；历史遗留下来不少合流制排水体系，包括内河沿线、城中村、城乡结合部，这三种片区普遍存在人口密度大，如不结合片区整体改造，难以系统推进雨污分流；片区建设与排水设施配套不同步，片区污水未能全部收集进入污水处理厂。</w:t>
      </w:r>
    </w:p>
    <w:p w14:paraId="6696EB9A">
      <w:pPr>
        <w:ind w:firstLine="420" w:firstLineChars="200"/>
      </w:pPr>
      <w:r>
        <w:rPr>
          <w:rFonts w:hint="eastAsia"/>
        </w:rPr>
        <w:t>3、污水处理的产权和运营权分别属于不同主体。现有的污水处理厂、管道、提升泵站等设施产权仍归各区、管委会所有，委托市水务集团运营、维护，难以从根本上解决维护管理常态化、高效率问题。</w:t>
      </w:r>
    </w:p>
    <w:p w14:paraId="23E5F324">
      <w:pPr>
        <w:ind w:firstLine="420" w:firstLineChars="200"/>
      </w:pPr>
      <w:r>
        <w:rPr>
          <w:rFonts w:hint="eastAsia"/>
        </w:rPr>
        <w:t>4、污水处理BOT形式运营引发污水厂运营监管缺失。闽中污水处理厂一期、二期以BOT形式交由普罗达克森公司运营，其日常管理严重违背《福建省城镇污水处理厂运行管理标准》要求，产生人员配备不足、无持证上岗、设备工艺老化和安全生产管理不到位、资金难以保障等系列问题，影响我集团污水提标处理（一级A）的稳定性，增加污水提标处理成本和稳定性。</w:t>
      </w:r>
    </w:p>
    <w:p w14:paraId="7461026F">
      <w:pPr>
        <w:ind w:firstLine="420" w:firstLineChars="200"/>
      </w:pPr>
      <w:r>
        <w:rPr>
          <w:rFonts w:hint="eastAsia"/>
        </w:rPr>
        <w:t>3、二次供水设施建设改造费用承担不明确。二次供水设施建设改造费用承担不明确，造成二次供水设施建设改造资金缺乏保障，制约二次供水设施建设改造正常推进。</w:t>
      </w:r>
    </w:p>
    <w:p w14:paraId="11E5BBF3">
      <w:pPr>
        <w:ind w:firstLine="420" w:firstLineChars="200"/>
      </w:pPr>
      <w:bookmarkStart w:id="376" w:name="_Toc76291896"/>
      <w:bookmarkStart w:id="377" w:name="_Toc81257084"/>
      <w:r>
        <w:rPr>
          <w:rFonts w:hint="eastAsia"/>
        </w:rPr>
        <w:t>（三）</w:t>
      </w:r>
      <w:bookmarkEnd w:id="376"/>
      <w:r>
        <w:rPr>
          <w:rFonts w:hint="eastAsia"/>
        </w:rPr>
        <w:t>木兰溪水生态治理进展缓慢</w:t>
      </w:r>
      <w:bookmarkEnd w:id="377"/>
    </w:p>
    <w:p w14:paraId="004012B3">
      <w:pPr>
        <w:ind w:firstLine="420" w:firstLineChars="200"/>
      </w:pPr>
      <w:r>
        <w:rPr>
          <w:rFonts w:hint="eastAsia"/>
        </w:rPr>
        <w:t>1、木兰溪水生态治理融资难且资源资金未能有效整合利用。一是木兰溪水生态治理涉及公园绿化步道、河道清淤修复、水生态修复保护等项目施工，基本属于公益性项目，建设资金主要来源于财政，当前我市财政资金紧张，财政资金</w:t>
      </w:r>
      <w:r>
        <w:rPr>
          <w:rFonts w:hint="eastAsia"/>
          <w:lang w:eastAsia="zh-CN"/>
        </w:rPr>
        <w:t>难以保障</w:t>
      </w:r>
      <w:r>
        <w:rPr>
          <w:rFonts w:hint="eastAsia"/>
        </w:rPr>
        <w:t>及时还本付息，流域治理资金缺口较大。二是市县区、部门流域开发建设治理资金各自为政，未能根据项目建设轻重缓急统筹协调使用，降低资金使用效率，影响流域项目建设进展及成效；三是除了政府财政资金、中央补助、地方政府专项债等常用资金来源外，股权融资、企业直接融资、企业间接融资、利用土地资源融资、水资源生态补偿收费等融资模式未得充分利用。</w:t>
      </w:r>
    </w:p>
    <w:p w14:paraId="4578E04B">
      <w:pPr>
        <w:ind w:firstLine="420" w:firstLineChars="200"/>
      </w:pPr>
      <w:r>
        <w:rPr>
          <w:rFonts w:hint="eastAsia"/>
        </w:rPr>
        <w:t>2、水资源水生态建设投资征迁难度大。集团水资源水生态建设投资项目线长面广，涉及征迁赔偿等难题，由于县区政府项目征迁缓慢，西音水库工程、十里河道玉湖与企溪水系连通工程、木兰陂世界灌溉工程遗产景区等多个项目建设无法正常推进，项目进展缓慢。</w:t>
      </w:r>
    </w:p>
    <w:p w14:paraId="4814D98D">
      <w:pPr>
        <w:ind w:firstLine="420" w:firstLineChars="200"/>
      </w:pPr>
      <w:bookmarkStart w:id="378" w:name="_Toc81257085"/>
      <w:r>
        <w:rPr>
          <w:rFonts w:hint="eastAsia"/>
        </w:rPr>
        <w:t>（四）资本运营做大缺乏机制保障</w:t>
      </w:r>
      <w:bookmarkEnd w:id="378"/>
    </w:p>
    <w:p w14:paraId="36283D6F">
      <w:pPr>
        <w:ind w:firstLine="420" w:firstLineChars="200"/>
      </w:pPr>
      <w:r>
        <w:rPr>
          <w:rFonts w:hint="eastAsia"/>
        </w:rPr>
        <w:t>1、缺少高度统一机制体制。木兰溪流域治理缺乏统一统筹协调机构，木兰溪流域水生态、雨污水治理在现有体制机制下，任务下达、规划、建设、运营、资金保障、监督等多方负责，协调量大难以理顺，无法形成有效合力。</w:t>
      </w:r>
    </w:p>
    <w:p w14:paraId="61983B98">
      <w:pPr>
        <w:ind w:firstLine="420" w:firstLineChars="200"/>
      </w:pPr>
      <w:r>
        <w:rPr>
          <w:rFonts w:hint="eastAsia"/>
        </w:rPr>
        <w:t>2、系统完整的水生态空间管控制度体系尚未建立。上下游各县区水量分配方案尚未确定，难以为水权确权登记提供基础支撑；水生态补偿制度尚在初步阶段，目前主要按照河段水质达标考核进行分配，缺少木兰溪流域生态补偿方案。</w:t>
      </w:r>
    </w:p>
    <w:p w14:paraId="7D422ED4">
      <w:pPr>
        <w:ind w:firstLine="420" w:firstLineChars="200"/>
        <w:outlineLvl w:val="0"/>
      </w:pPr>
      <w:bookmarkStart w:id="379" w:name="_Toc81257086"/>
      <w:bookmarkStart w:id="380" w:name="_Toc39608440"/>
      <w:bookmarkStart w:id="381" w:name="_Toc22226"/>
      <w:bookmarkStart w:id="382" w:name="_Toc76291897"/>
      <w:r>
        <w:rPr>
          <w:rFonts w:hint="eastAsia"/>
        </w:rPr>
        <w:t>六、</w:t>
      </w:r>
      <w:r>
        <w:t>相关建议</w:t>
      </w:r>
      <w:bookmarkEnd w:id="379"/>
      <w:bookmarkEnd w:id="380"/>
      <w:bookmarkEnd w:id="381"/>
      <w:bookmarkEnd w:id="382"/>
    </w:p>
    <w:p w14:paraId="4260E922">
      <w:pPr>
        <w:ind w:firstLine="420" w:firstLineChars="200"/>
      </w:pPr>
      <w:bookmarkStart w:id="383" w:name="_Toc76291898"/>
      <w:bookmarkStart w:id="384" w:name="_Toc81257087"/>
      <w:r>
        <w:rPr>
          <w:rFonts w:hint="eastAsia"/>
        </w:rPr>
        <w:t>（一）</w:t>
      </w:r>
      <w:bookmarkEnd w:id="383"/>
      <w:r>
        <w:rPr>
          <w:rFonts w:hint="eastAsia"/>
        </w:rPr>
        <w:t>加强融资能力建设，减轻财政压力</w:t>
      </w:r>
      <w:bookmarkEnd w:id="384"/>
    </w:p>
    <w:p w14:paraId="639C4192">
      <w:pPr>
        <w:ind w:firstLine="420" w:firstLineChars="200"/>
      </w:pPr>
      <w:r>
        <w:rPr>
          <w:rFonts w:hint="eastAsia"/>
        </w:rPr>
        <w:t>建议由市政府相关部门与水务集团签订政府购买服务协议，明确双方权利和义务，污水运营维护费用列入市财政预算。市水务集团利用政府购买服务预期收益权向金融机构进行质押，获得污水设施项目融资；增强经营理念，减轻财政一次性投资压力。将政府性、公益性项目，从规划设计开始，对照项目融资所需条件，提供经营性项目和经营性土地，通过土地拍卖收入和经营性收入来平衡项目投资和运营，以时间换空间，减轻财政和企业一次性投资压力。</w:t>
      </w:r>
    </w:p>
    <w:p w14:paraId="37EB0CEF">
      <w:pPr>
        <w:ind w:firstLine="420" w:firstLineChars="200"/>
      </w:pPr>
      <w:bookmarkStart w:id="385" w:name="_Toc76291899"/>
      <w:bookmarkStart w:id="386" w:name="_Toc81257088"/>
      <w:r>
        <w:rPr>
          <w:rFonts w:hint="eastAsia"/>
        </w:rPr>
        <w:t>（二）</w:t>
      </w:r>
      <w:bookmarkEnd w:id="385"/>
      <w:r>
        <w:rPr>
          <w:rFonts w:hint="eastAsia"/>
        </w:rPr>
        <w:t>做大做优国有资产，推进项目建设</w:t>
      </w:r>
      <w:bookmarkEnd w:id="386"/>
    </w:p>
    <w:p w14:paraId="38836128">
      <w:pPr>
        <w:ind w:firstLine="420" w:firstLineChars="200"/>
      </w:pPr>
      <w:r>
        <w:rPr>
          <w:rFonts w:hint="eastAsia"/>
        </w:rPr>
        <w:t>继续推2020年度尚未完工项目建设，策划生成新项目，重点推进第二水厂迁建工程、第三水厂扩建工程、污水厂及管道新建工程、木兰溪下游水生态综合治理与修复项目、东圳水利枢纽引水配套秀屿支线工程等，争取项目早日完成立项，计划完成投资约18亿元，做大做优国有资产。</w:t>
      </w:r>
    </w:p>
    <w:p w14:paraId="3143E8E7">
      <w:pPr>
        <w:ind w:firstLine="420" w:firstLineChars="200"/>
      </w:pPr>
      <w:r>
        <w:rPr>
          <w:rFonts w:hint="eastAsia"/>
        </w:rPr>
        <w:t>按照城乡供水一体化总体规划，继续推进莆田市第二水厂迁建工程、莆田市第五水厂建设工程及涵江乌溪水厂建设工程等项目前期工作；开展涵江东片区主干管改造项目、西片区主干管改造项目及南日镇老旧管网改造工程等老旧管网改造工程；推进城厢区常太片区供水工程（莒溪及党城片“一户一表”改造项目）、城厢区华亭镇一户一表改造项目、涵江区大洋乡一户一表改造项目、涵江区萩芦镇南下片区一户一表改造项目及南日镇一户一表改造工程等一户一表改造工程建设。</w:t>
      </w:r>
    </w:p>
    <w:p w14:paraId="78485842">
      <w:pPr>
        <w:ind w:firstLine="420" w:firstLineChars="200"/>
      </w:pPr>
      <w:r>
        <w:rPr>
          <w:rFonts w:hint="eastAsia"/>
        </w:rPr>
        <w:t>逐步推进城乡污水一体化，树立“全市一盘棋”思维，围绕全市污水处理“规划一体化、监管一体化、融资一体化、建设一体化、运营一体化、城乡一体化”六个一体化目标，继续推进污水设施产权、经营权整合，策划生成项目，加强污水厂、管网、泵站和其它污水设施的建设维护，完善污水收集处理相关管理制度。</w:t>
      </w:r>
    </w:p>
    <w:p w14:paraId="68691990">
      <w:pPr>
        <w:ind w:firstLine="420" w:firstLineChars="200"/>
      </w:pPr>
      <w:bookmarkStart w:id="387" w:name="_Toc81257089"/>
      <w:r>
        <w:rPr>
          <w:rFonts w:hint="eastAsia"/>
        </w:rPr>
        <w:t>（三）推进木兰溪系统治理，改善水生态</w:t>
      </w:r>
      <w:bookmarkEnd w:id="387"/>
    </w:p>
    <w:p w14:paraId="7538C311">
      <w:pPr>
        <w:ind w:firstLine="420" w:firstLineChars="200"/>
      </w:pPr>
      <w:r>
        <w:rPr>
          <w:rFonts w:hint="eastAsia"/>
        </w:rPr>
        <w:t>继续推进十里河道玉湖与企溪水系连通工程、城涵河道综合整治工程、下磨溪生态河道整治工程（学园中街-文献桥段）、乌溪水库工程、西音水库工程、木兰溪全流域系统治理规划工程、木兰溪下游水生态综合修复与治理工程、木兰陂世界灌溉工程遗产景区项目、市水生态科技中心项目等项目建设，全力修复木兰溪水生态，着力打造木兰溪“河畅、水清、岸绿、景美、人和”示范河湖，改善木兰溪流域水生态环境，促进人水和谐共生。</w:t>
      </w:r>
    </w:p>
    <w:p w14:paraId="355A358D">
      <w:pPr>
        <w:ind w:firstLine="420" w:firstLineChars="200"/>
      </w:pPr>
      <w:r>
        <w:rPr>
          <w:rFonts w:hint="eastAsia"/>
        </w:rPr>
        <w:t>加快木兰溪流域治理、木兰陂世遗公园和绿心工程建设以及木兰溪流域生态修复， 5年计划投资100亿元，使木兰溪水质得到提升，水质达到三类水标准项目；乌溪、西音水库完成投资并蓄水，南埔水库（1104万立方米库容）完成前期工作，实现涵江区供水双水源保障，金钟、东圳和萩芦溪“三水源”保障全市供水。</w:t>
      </w:r>
    </w:p>
    <w:p w14:paraId="2789E2F8">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B449E34">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4D5FB2CF">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3D9F5C7D">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682AD176">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42A8D017">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47BE01E">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D1AF7BF">
      <w:pPr>
        <w:pStyle w:val="2"/>
        <w:jc w:val="center"/>
        <w:rPr>
          <w:sz w:val="36"/>
          <w:szCs w:val="36"/>
        </w:rPr>
      </w:pPr>
      <w:bookmarkStart w:id="388" w:name="_Toc9540"/>
    </w:p>
    <w:p w14:paraId="69023DE8">
      <w:pPr>
        <w:pStyle w:val="2"/>
        <w:jc w:val="center"/>
        <w:rPr>
          <w:sz w:val="36"/>
          <w:szCs w:val="36"/>
        </w:rPr>
      </w:pPr>
      <w:r>
        <w:rPr>
          <w:rFonts w:hint="eastAsia"/>
          <w:sz w:val="36"/>
          <w:szCs w:val="36"/>
        </w:rPr>
        <w:t>莆田市林业局2020年度部门整体支出绩效评价报告</w:t>
      </w:r>
      <w:bookmarkEnd w:id="388"/>
    </w:p>
    <w:p w14:paraId="3A608C66">
      <w:pPr>
        <w:pStyle w:val="15"/>
        <w:ind w:firstLine="200"/>
      </w:pPr>
    </w:p>
    <w:p w14:paraId="549D7C7F">
      <w:pPr>
        <w:ind w:firstLine="420" w:firstLineChars="200"/>
      </w:pPr>
      <w:r>
        <w:rPr>
          <w:rFonts w:hint="eastAsia"/>
        </w:rPr>
        <w:t>莆田学院财政绩效管理研究中心接受莆田市财政局委托，依据《中华人民共和国预算法》、中共莆田市委、市政府印发的《关于全面实施预算绩效管理的实施意见》（莆委发[2019]2号）和《莆田市市级财政预算绩效评价管理暂行办法》（莆财绩[2019]11号）的要求，对莆田市林业局2020年度部门整体支出进行绩效评价。通过实地调研、收集、整理、汇总和分析相关绩效评价资料，对照评价指标和标准进行评议与打分，编写了莆田市林业局2020年度部门整体支出绩效评价报告。</w:t>
      </w:r>
    </w:p>
    <w:p w14:paraId="158B7064">
      <w:pPr>
        <w:ind w:firstLine="420" w:firstLineChars="200"/>
      </w:pPr>
      <w:r>
        <w:rPr>
          <w:rFonts w:hint="eastAsia"/>
        </w:rPr>
        <w:t>本研究中心对莆田市林业局2020年度部门整体支出情况实施了第三方绩效评价。经综合评价，该部门绩效评价得分为90.14分，绩效等级为“优秀”。</w:t>
      </w:r>
    </w:p>
    <w:p w14:paraId="495CCEAB">
      <w:pPr>
        <w:ind w:firstLine="420" w:firstLineChars="200"/>
      </w:pPr>
      <w:bookmarkStart w:id="389" w:name="_Toc19966"/>
      <w:r>
        <w:rPr>
          <w:rFonts w:hint="eastAsia"/>
        </w:rPr>
        <w:t>基本概况</w:t>
      </w:r>
      <w:bookmarkEnd w:id="389"/>
    </w:p>
    <w:p w14:paraId="7BB91C80">
      <w:pPr>
        <w:ind w:firstLine="420" w:firstLineChars="200"/>
      </w:pPr>
      <w:r>
        <w:rPr>
          <w:rFonts w:hint="eastAsia"/>
        </w:rPr>
        <w:t>根据《中共福建省委办公厅、福建省人民政府办公厅关于&lt;莆田市实行机构改革方案&gt;的通知》（闽委办发[2018]36号）和《中共莆田市委办公室、莆田市人民政府办公室关于印发&lt;莆田市市级机构改革实施方案&gt;的通知》（莆委办发[2018]20号），设立莆田市林业局，莆田市林业局是市政府工作部门，正处级，由莆田市自然资源局统一领导和管理。</w:t>
      </w:r>
    </w:p>
    <w:p w14:paraId="28E166C1">
      <w:pPr>
        <w:ind w:firstLine="420" w:firstLineChars="200"/>
      </w:pPr>
      <w:bookmarkStart w:id="390" w:name="_Toc9324"/>
      <w:r>
        <w:rPr>
          <w:rFonts w:hint="eastAsia"/>
        </w:rPr>
        <w:t>部门职责</w:t>
      </w:r>
      <w:bookmarkEnd w:id="390"/>
    </w:p>
    <w:p w14:paraId="36712AD0">
      <w:pPr>
        <w:ind w:firstLine="420" w:firstLineChars="200"/>
      </w:pPr>
      <w:r>
        <w:rPr>
          <w:rFonts w:hint="eastAsia"/>
        </w:rPr>
        <w:t>根据《莆田市林业局职能配置、内设机构和人员编制规定》（莆委办发[2019]24号），莆田市林业局的主要职能是：</w:t>
      </w:r>
    </w:p>
    <w:p w14:paraId="2CC36762">
      <w:pPr>
        <w:ind w:firstLine="420" w:firstLineChars="200"/>
      </w:pPr>
      <w:r>
        <w:rPr>
          <w:rFonts w:hint="eastAsia"/>
        </w:rPr>
        <w:t>（1）贯彻执行林业和草地及其生态保护修复政策、标准，拟订林业和草地发展相关规划。研究起草林业和草地及其生态保护修复的地方性法规、政府规章并组织实施。组织开展森林、草原、湿地和陆生野生动植物资源动态监测与评价。承担全市林业生态文明建设的有关工作。</w:t>
      </w:r>
    </w:p>
    <w:p w14:paraId="2C197540">
      <w:pPr>
        <w:ind w:firstLine="420" w:firstLineChars="200"/>
      </w:pPr>
      <w:r>
        <w:rPr>
          <w:rFonts w:hint="eastAsia"/>
        </w:rPr>
        <w:t>（2）组织、指导、监督造林绿化及林业和草地生态保护修复工作。拟订植树造林规划，组织实施林业和草地重点生态保护修复工程，指导公益林和商品林的培育，组织指导植树造林、封山育林、防沙治沙和以植树种草等生物措施防治水土流失，监督管理防治沙漠化、石漠化工作。组织、指导、监督全民义务植树、城乡绿化工作。组织、指导林木种苗工作，承担全市花卉管理工作，承担林业领域应对气候变化的相关工作。承担市绿化委员会的日常工作。</w:t>
      </w:r>
    </w:p>
    <w:p w14:paraId="48FE587A">
      <w:pPr>
        <w:ind w:firstLine="420" w:firstLineChars="200"/>
      </w:pPr>
      <w:r>
        <w:rPr>
          <w:rFonts w:hint="eastAsia"/>
        </w:rPr>
        <w:t>（3）负责森林、草地、湿地资源的监督管理。按规定负责森林采伐限额和森林经营方案编制的相关工作，并监督执行。负责林地管理，拟订林地保护利用规划并组织实施，指导各类公益林划定和管理工作，指导国家储备林建设，管理国有森林资源。负责湿地生态保护修复工作，拟订并组织实施湿地保护规划。负责湿地保护小区、湿地公园等保护管理工作，监督管理湿地的开发利用。指导林业基层工作机构建设和管理。</w:t>
      </w:r>
    </w:p>
    <w:p w14:paraId="50D2D09E">
      <w:pPr>
        <w:ind w:firstLine="420" w:firstLineChars="200"/>
      </w:pPr>
      <w:r>
        <w:rPr>
          <w:rFonts w:hint="eastAsia"/>
        </w:rPr>
        <w:t>（4）负责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14:paraId="29E7B603">
      <w:pPr>
        <w:ind w:firstLine="420" w:firstLineChars="200"/>
      </w:pPr>
      <w:r>
        <w:rPr>
          <w:rFonts w:hint="eastAsia"/>
        </w:rPr>
        <w:t>（5）负责自然保护地的监督管理。拟订并组织实施国家公园、自然保护区、风景名胜区、世界自然遗产、世界自然与文化双重遗产、地质遗迹、地质公园、海洋公园等各类自然保护地发展规划。负责国家公园建设和特许经营等工作。组织、指导各类自然保护地的建设和管理。提出新建、调整各类市级以上自然保护地的审核建议并按程序报批，组织审核莆田市世界自然遗产的申报，会同有关机构审核莆田市世界自然和文化双重遗产的申报。承担自然保护地评审机构相关工作。承担生物多样性保护相关工作。</w:t>
      </w:r>
    </w:p>
    <w:p w14:paraId="0277C52D">
      <w:pPr>
        <w:ind w:firstLine="420" w:firstLineChars="200"/>
      </w:pPr>
      <w:r>
        <w:rPr>
          <w:rFonts w:hint="eastAsia"/>
        </w:rPr>
        <w:t>（6）负责推进林业改革相关工作。拟订集体林权制度、国有林场等重大改革意见并监督实施。拟订农村林业发展、维护林业经营者合法权益的政策措施，指导农村林地承包经营工作和林权流转。指导建立新型林业经营主体（含家庭林场、农民林业专业合作社等）和发展林下经济。指导林地承包合同纠纷、调解和仲裁工作。组织开展退耕还林还草工作，负责天然林保护工作。</w:t>
      </w:r>
    </w:p>
    <w:p w14:paraId="54C011ED">
      <w:pPr>
        <w:ind w:firstLine="420" w:firstLineChars="200"/>
      </w:pPr>
      <w:r>
        <w:rPr>
          <w:rFonts w:hint="eastAsia"/>
        </w:rPr>
        <w:t>（7）贯彻实施林业资源优化配置及木材利用政策，监督实施有关林业标准，指导林业产业经济布局，编制林业和草原产业发展规划，指导林业企业的改革发展与林产品市场体系建设，组织、指导林产品质量监督，负责森林旅游相关工作，承担生态扶贫相关工作。</w:t>
      </w:r>
    </w:p>
    <w:p w14:paraId="781D746C">
      <w:pPr>
        <w:ind w:firstLine="420" w:firstLineChars="200"/>
      </w:pPr>
      <w:r>
        <w:rPr>
          <w:rFonts w:hint="eastAsia"/>
        </w:rPr>
        <w:t>（8）指导国有林场基本建设和发展，指导国有林场森林资源培育和保护利用，指导全市国有林场、苗圃、森林公园建设和管理，组织林木种质资源普查，组织建立种质资源库，管理林木种苗、草种生产经营行为，监管林木种苗质量，负责林木良种的引进、选育、认定和种质资源的管理。依法监督管理林业生物种质资源、转基因生物安全、植物新品种保护。</w:t>
      </w:r>
    </w:p>
    <w:p w14:paraId="1B862AD2">
      <w:pPr>
        <w:ind w:firstLine="420" w:firstLineChars="200"/>
      </w:pPr>
      <w:r>
        <w:rPr>
          <w:rFonts w:hint="eastAsia"/>
        </w:rPr>
        <w:t>（9）按照综合防灾减灾规划相关要求，组织编制森林和草原火灾防治规划和防护标准并指导实施，指导开展防火巡护、火源管理、防火设施建设、宣传教育、督促检查等防灾工作。组织、指导林业、草地有害生物的防治、检疫和预测预报工作。监督管理林业安全生产。</w:t>
      </w:r>
    </w:p>
    <w:p w14:paraId="1FCED0F5">
      <w:pPr>
        <w:ind w:firstLine="420" w:firstLineChars="200"/>
      </w:pPr>
      <w:r>
        <w:rPr>
          <w:rFonts w:hint="eastAsia"/>
        </w:rPr>
        <w:t>（10）监督管理林业市级资金和国有资产，提出林业预算内投资、市级财政性资金安排建议，按规定权限审核规划内和年度计划内投资项目，承担市级林业固定资产投资有关工作。参与拟订林业经济调节政策，组织实施林业和草原生态补偿工作。</w:t>
      </w:r>
    </w:p>
    <w:p w14:paraId="627B15CA">
      <w:pPr>
        <w:ind w:firstLine="420" w:firstLineChars="200"/>
      </w:pPr>
      <w:r>
        <w:rPr>
          <w:rFonts w:hint="eastAsia"/>
        </w:rPr>
        <w:t>（11）组织指导林业及其生态保护修复的科技和教育工作，管理林业和草原标准化工作，组织拟订和实施林业地方标准。指导林业人才队伍建设。</w:t>
      </w:r>
    </w:p>
    <w:p w14:paraId="2865715F">
      <w:pPr>
        <w:ind w:firstLine="420" w:firstLineChars="200"/>
      </w:pPr>
      <w:r>
        <w:rPr>
          <w:rFonts w:hint="eastAsia"/>
        </w:rPr>
        <w:t>（12）完成市委和市政府交办的其他任务事项。</w:t>
      </w:r>
    </w:p>
    <w:p w14:paraId="5AA1AABE">
      <w:pPr>
        <w:ind w:firstLine="420" w:firstLineChars="200"/>
      </w:pPr>
      <w:bookmarkStart w:id="391" w:name="_Toc3042"/>
      <w:r>
        <w:rPr>
          <w:rFonts w:hint="eastAsia"/>
        </w:rPr>
        <w:t>（二）机构设置与人员情况</w:t>
      </w:r>
      <w:bookmarkEnd w:id="391"/>
    </w:p>
    <w:p w14:paraId="5D4B12B6">
      <w:pPr>
        <w:ind w:firstLine="420" w:firstLineChars="200"/>
      </w:pPr>
      <w:r>
        <w:rPr>
          <w:rFonts w:hint="eastAsia"/>
        </w:rPr>
        <w:t>莆田市林业局包括局本级机关行政科室3个及下属单位8个。</w:t>
      </w:r>
    </w:p>
    <w:p w14:paraId="2FCAFEF8">
      <w:pPr>
        <w:ind w:firstLine="420" w:firstLineChars="200"/>
      </w:pPr>
      <w:r>
        <w:rPr>
          <w:rFonts w:hint="eastAsia"/>
        </w:rPr>
        <w:t>1.莆田市林业局本级机关行政科室</w:t>
      </w:r>
    </w:p>
    <w:p w14:paraId="3BC7969D">
      <w:pPr>
        <w:ind w:firstLine="420" w:firstLineChars="200"/>
      </w:pPr>
      <w:r>
        <w:rPr>
          <w:rFonts w:hint="eastAsia"/>
        </w:rPr>
        <w:t>（1）</w:t>
      </w:r>
      <w:r>
        <w:t>综合科</w:t>
      </w:r>
    </w:p>
    <w:p w14:paraId="14DFB40C">
      <w:pPr>
        <w:ind w:firstLine="420" w:firstLineChars="200"/>
      </w:pPr>
      <w:r>
        <w:t>负责综合协调局机关和直属单位工作</w:t>
      </w:r>
      <w:r>
        <w:rPr>
          <w:rFonts w:hint="eastAsia"/>
        </w:rPr>
        <w:t>，</w:t>
      </w:r>
      <w:r>
        <w:t>督促重大事项落实。负责局机关文电、会务、机要、保密、档案、宣传、信息、安全、信访和效能等工作。负责机关财务、国有资产管理和后勤保障工作。负责指导林业生态文明和生态文化建设相关工作。</w:t>
      </w:r>
    </w:p>
    <w:p w14:paraId="2723BDEB">
      <w:pPr>
        <w:ind w:firstLine="420" w:firstLineChars="200"/>
        <w:rPr>
          <w:lang w:val="zh-CN"/>
        </w:rPr>
      </w:pPr>
      <w:r>
        <w:t>拟订林业和草原发展有关规划和计划。参与拟订有关林业和草地及其生态保护修复的财政、金融、价格、贸易等经济调节政策。组织、指导林业和草地及其生态保护修复的生态补偿制度实施。依法征收森林植被恢复费。按规定编制本部门预算并组织实施</w:t>
      </w:r>
      <w:r>
        <w:rPr>
          <w:rFonts w:hint="eastAsia"/>
        </w:rPr>
        <w:t>，</w:t>
      </w:r>
      <w:r>
        <w:t>编制本部门决算</w:t>
      </w:r>
      <w:r>
        <w:rPr>
          <w:rFonts w:hint="eastAsia"/>
        </w:rPr>
        <w:t>，</w:t>
      </w:r>
      <w:r>
        <w:t>提出林业和草地专项转移支付等资金的预算建议。按权限监督管理市级林业和草地国有资产、林业和草地各项资金。按规定承担市级林</w:t>
      </w:r>
      <w:r>
        <w:rPr>
          <w:rFonts w:hint="eastAsia"/>
        </w:rPr>
        <w:t>业和草地预算内基本建设投资的有关工作。承担生态扶贫相关</w:t>
      </w:r>
      <w:r>
        <w:rPr>
          <w:rFonts w:hint="eastAsia"/>
          <w:lang w:val="zh-CN"/>
        </w:rPr>
        <w:t>工作。</w:t>
      </w:r>
    </w:p>
    <w:p w14:paraId="07AAC69F">
      <w:pPr>
        <w:ind w:firstLine="420" w:firstLineChars="200"/>
      </w:pPr>
      <w:r>
        <w:rPr>
          <w:rFonts w:hint="eastAsia"/>
        </w:rPr>
        <w:t>负责局机关和直属单位的机构编制、人事管理等工作；承担指导全市林业人才队伍建设有关工作。负责局机关离</w:t>
      </w:r>
      <w:r>
        <w:rPr>
          <w:rFonts w:hint="eastAsia"/>
          <w:lang w:eastAsia="zh-CN"/>
        </w:rPr>
        <w:t>退休</w:t>
      </w:r>
      <w:r>
        <w:rPr>
          <w:rFonts w:hint="eastAsia"/>
        </w:rPr>
        <w:t>干部管理及指导直属单位的离退休干部工作。</w:t>
      </w:r>
    </w:p>
    <w:p w14:paraId="1B05BDCF">
      <w:pPr>
        <w:ind w:firstLine="420" w:firstLineChars="200"/>
      </w:pPr>
      <w:r>
        <w:rPr>
          <w:rFonts w:hint="eastAsia"/>
        </w:rPr>
        <w:t>（2）林业法规科</w:t>
      </w:r>
    </w:p>
    <w:p w14:paraId="3021E27B">
      <w:pPr>
        <w:ind w:firstLine="420" w:firstLineChars="200"/>
      </w:pPr>
      <w:r>
        <w:rPr>
          <w:rFonts w:hint="eastAsia"/>
        </w:rPr>
        <w:t>组织起草并监督实施林业和草地及其生态保护修复的地方性法规、政府规章和有关政策。指导林业法制工作，承担机关重大行政执法事项法制审核工作，承办林业执法监督和听证有关工作。组织、协调林业行政执法重大问题和跨区域执法相关工作。承担机关有关规范性文件合法性审査、备案、清理相关工作。承担机关行政复议、行政诉讼相关工作。组织、指导和协调林业系统普法宣传和</w:t>
      </w:r>
      <w:r>
        <w:rPr>
          <w:rFonts w:hint="eastAsia"/>
          <w:lang w:val="zh-CN"/>
        </w:rPr>
        <w:t>“放</w:t>
      </w:r>
      <w:r>
        <w:rPr>
          <w:rFonts w:hint="eastAsia"/>
        </w:rPr>
        <w:t>管服”改革工作，承担行政审批制度改革相关工作。</w:t>
      </w:r>
    </w:p>
    <w:p w14:paraId="1C1C5310">
      <w:pPr>
        <w:ind w:firstLine="420" w:firstLineChars="200"/>
      </w:pPr>
      <w:r>
        <w:rPr>
          <w:rFonts w:hint="eastAsia"/>
        </w:rPr>
        <w:t>（3）</w:t>
      </w:r>
      <w:r>
        <w:t>造林绿化科</w:t>
      </w:r>
    </w:p>
    <w:p w14:paraId="4F981204">
      <w:pPr>
        <w:ind w:firstLine="420" w:firstLineChars="200"/>
      </w:pPr>
      <w:r>
        <w:t>负责拟订造林绿化、草地保护规划</w:t>
      </w:r>
      <w:r>
        <w:rPr>
          <w:rFonts w:hint="eastAsia"/>
        </w:rPr>
        <w:t>，</w:t>
      </w:r>
      <w:r>
        <w:t>负责林业和草原生态保护的监督管理及其重要生态保护修复工程的组织实施，组织、指导各类公益林、商品林和草原的培育。指导国家储备林建设。组织指导植树造林、封山育林、防沙治沙和以植树种草等生物措施防治水土流失，监督管理防治沙漠化、石漠化工作。承担林业应对气候变化的相关工作。指导国有林场（含县属国有林场）、森林公园基本建设和发展，指导国有林场森林资源培育和保护利用工作。承担花卉管理工作。负责林木种子、草种管理工作，组织良种</w:t>
      </w:r>
      <w:r>
        <w:rPr>
          <w:rFonts w:hint="eastAsia"/>
        </w:rPr>
        <w:t>选育、审定、示范、推广，指导良种基地与苗圃（含林草种子储备和保障性苗圃）建设和管理，监督管理林木种苗草种质量和生产经营行为。组织种质</w:t>
      </w:r>
      <w:r>
        <w:rPr>
          <w:rFonts w:hint="eastAsia"/>
          <w:lang w:eastAsia="zh-CN"/>
        </w:rPr>
        <w:t>资</w:t>
      </w:r>
      <w:r>
        <w:rPr>
          <w:rFonts w:hint="eastAsia"/>
        </w:rPr>
        <w:t>源普查、收集、评价、利用和种质资源库建设管理。</w:t>
      </w:r>
    </w:p>
    <w:p w14:paraId="2DF9B2CD">
      <w:pPr>
        <w:ind w:firstLine="420" w:firstLineChars="200"/>
      </w:pPr>
      <w:r>
        <w:rPr>
          <w:rFonts w:hint="eastAsia"/>
        </w:rPr>
        <w:t>负责拟订国土绿化规划。组织、协调、指导、督促开展全民义务植树、城乡绿化、部门绿化工作。负责城市规划区外古树名木的保护管理工作，协调、指导城市规划区内古树名木的保护管理工作。承担市绿化委员会日常工作。</w:t>
      </w:r>
    </w:p>
    <w:p w14:paraId="5610C127">
      <w:pPr>
        <w:ind w:firstLine="420" w:firstLineChars="200"/>
      </w:pPr>
      <w:r>
        <w:rPr>
          <w:rFonts w:hint="eastAsia"/>
        </w:rPr>
        <w:t>负责组织指导林业改革工作。研究提出集体林权制度改革、林业经济体制改革、农村林业发展、维护农民经营合法权益的政策措施并组织实施。依法指导林地、草地和林木承包经营、流转管理。指导建立新型林业经营主体（含家庭林场、林业专业合作社等）和发展林下经济。指导林地承包合同纠纷调解和仲裁工作。负责拟订并组织实施林业和草原产业发展规划。拟订林竹资源综合利用政策，指导林业和草原产业布局和森林资源开发利用，指导林业和草原外经贸和闽台林业交流合作。承担森林旅游相关工作。</w:t>
      </w:r>
    </w:p>
    <w:p w14:paraId="29D8254E">
      <w:pPr>
        <w:ind w:firstLine="420" w:firstLineChars="200"/>
      </w:pPr>
      <w:r>
        <w:rPr>
          <w:rFonts w:hint="eastAsia"/>
        </w:rPr>
        <w:t>负责组织开展林业和草地的科学研究、成果转化、技术推广。组织实施林业和草地重大科研攻关项目。管理林业和草地标准化工作。承担林产品质量检验、监测和有关知识产权保护工作。监督管理林业和草地生物种质资源、林业转基因生物安全。组织、协调林业先进技术及智力引进工作。</w:t>
      </w:r>
    </w:p>
    <w:p w14:paraId="0B076470">
      <w:pPr>
        <w:ind w:firstLine="420" w:firstLineChars="200"/>
      </w:pPr>
      <w:r>
        <w:rPr>
          <w:rFonts w:hint="eastAsia"/>
        </w:rPr>
        <w:t>负责拟定森林、草原、湿地资源保护发展的政策、规划、 技术标准和规范并组织实施，组织开展森林资源、陆生野生动植物资源、湿地资源的动态监测和评价。负责林地管理，拟订林地保护利用规划并组织实施。组织指导编制森林经营规划和森林经营方案并监督实施。依法承担公益林划定和管理相关工作。负责组织编制和审核森林采伐限额，依法监督管理林木凭证采伐、运输。负责集中统一行使市级林业行政许可职责。负责基层林业站建设和管理，负责天然林保护管理工作。组织监督指导湿地生态修复工作，建立湿地生态效益补偿机制。组织指导监督湿地保护小区、湿地公园等建 立与保护管理工作。监督管理全市陆生野生动植物保护工作。指导陆生野生动植物的救护繁育、栖息地恢复发展、疫源疫病监测，监督管理野生动植物猎捕或采集、驯养繁殖或培植、经营利用，按分工监督管理野生动植物进出口。</w:t>
      </w:r>
    </w:p>
    <w:p w14:paraId="605E2203">
      <w:pPr>
        <w:ind w:firstLine="420" w:firstLineChars="200"/>
      </w:pPr>
      <w:r>
        <w:rPr>
          <w:rFonts w:hint="eastAsia"/>
        </w:rPr>
        <w:t>负责承担国家公园、自然保护区、风景名胜区、世界自然遗产、世界自然与文化双重遗产、地质遗迹、地质公园、海洋公园等各类自然保护地的监督管理工作，拟订各类自然保护地发展规划。负责国家公园建设和特许经营等工作。依法组织指导各类自然保护地的建设和管理及生态修复工作。提出新建、调整各类市级以上自然保护地的审核建议并按程序报批。组织审核莆田市世界自然遗产的申报，会同有关机构审核世界自然和文化双重遗产的申报。负责生物多样性保护相关工作。</w:t>
      </w:r>
    </w:p>
    <w:p w14:paraId="4933F3B5">
      <w:pPr>
        <w:ind w:firstLine="420" w:firstLineChars="200"/>
      </w:pPr>
      <w:r>
        <w:rPr>
          <w:rFonts w:hint="eastAsia"/>
        </w:rPr>
        <w:t>负责组织森林防火法律法规的实施，贯彻落实综合防灾减灾规划相关要求，组织拟订森林和草原火灾防治政策、规划、防护标准并指导实施。指导开展防火巡护、火源管理、防火基础设施建设、宣传教育、督促检查和责任落实相关工作。组织指导林业、草地有害生物防治、检疫和预测预报工作。监督管理林业安全生产。</w:t>
      </w:r>
    </w:p>
    <w:p w14:paraId="7D217DC4">
      <w:pPr>
        <w:ind w:firstLine="420" w:firstLineChars="200"/>
      </w:pPr>
      <w:r>
        <w:rPr>
          <w:rFonts w:hint="eastAsia"/>
        </w:rPr>
        <w:t>2.莆田市林业局下属单位</w:t>
      </w:r>
    </w:p>
    <w:p w14:paraId="77065E84">
      <w:pPr>
        <w:ind w:firstLine="420" w:firstLineChars="200"/>
      </w:pPr>
      <w:r>
        <w:rPr>
          <w:rFonts w:hint="eastAsia"/>
        </w:rPr>
        <w:t>莆田市林业局有8个下属单位，包括莆田市营林技术指导站、莆田市林政管理站、莆田市国有林场管理处、莆田市林业执法支队、莆田市凤凰山风景名胜区管理处、莆田市森林公安局、莆田市森林公安局直属分局、莆田市公安局笏石森林派出所。</w:t>
      </w:r>
    </w:p>
    <w:p w14:paraId="5535850E">
      <w:pPr>
        <w:ind w:firstLine="420" w:firstLineChars="200"/>
      </w:pPr>
      <w:r>
        <w:rPr>
          <w:rFonts w:hint="eastAsia"/>
        </w:rPr>
        <w:t>3.莆田市林业局人员编制</w:t>
      </w:r>
    </w:p>
    <w:p w14:paraId="12F7606F">
      <w:pPr>
        <w:ind w:firstLine="420" w:firstLineChars="200"/>
      </w:pPr>
      <w:r>
        <w:rPr>
          <w:rFonts w:hint="eastAsia"/>
        </w:rPr>
        <w:t>表1  莆田市林业局2020年机构设置与人员情况</w:t>
      </w:r>
    </w:p>
    <w:tbl>
      <w:tblPr>
        <w:tblStyle w:val="17"/>
        <w:tblW w:w="0" w:type="auto"/>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24"/>
        <w:gridCol w:w="1540"/>
        <w:gridCol w:w="1385"/>
        <w:gridCol w:w="1570"/>
      </w:tblGrid>
      <w:tr w14:paraId="07F5A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14:paraId="007411A4">
            <w:r>
              <w:rPr>
                <w:rFonts w:hint="eastAsia"/>
              </w:rPr>
              <w:t>单位名称</w:t>
            </w:r>
          </w:p>
        </w:tc>
        <w:tc>
          <w:tcPr>
            <w:tcW w:w="1540" w:type="dxa"/>
            <w:shd w:val="solid" w:color="FFFFFF" w:fill="auto"/>
            <w:vAlign w:val="center"/>
          </w:tcPr>
          <w:p w14:paraId="7C998A53">
            <w:r>
              <w:rPr>
                <w:rFonts w:hint="eastAsia"/>
              </w:rPr>
              <w:t>经费性质</w:t>
            </w:r>
          </w:p>
        </w:tc>
        <w:tc>
          <w:tcPr>
            <w:tcW w:w="1385" w:type="dxa"/>
            <w:shd w:val="solid" w:color="FFFFFF" w:fill="auto"/>
            <w:vAlign w:val="center"/>
          </w:tcPr>
          <w:p w14:paraId="70048832">
            <w:r>
              <w:rPr>
                <w:rFonts w:hint="eastAsia"/>
              </w:rPr>
              <w:t>人员编制数</w:t>
            </w:r>
          </w:p>
        </w:tc>
        <w:tc>
          <w:tcPr>
            <w:tcW w:w="1570" w:type="dxa"/>
            <w:shd w:val="solid" w:color="FFFFFF" w:fill="auto"/>
            <w:vAlign w:val="center"/>
          </w:tcPr>
          <w:p w14:paraId="61694771">
            <w:r>
              <w:rPr>
                <w:rFonts w:hint="eastAsia"/>
              </w:rPr>
              <w:t>在职人数</w:t>
            </w:r>
          </w:p>
        </w:tc>
      </w:tr>
      <w:tr w14:paraId="03EC8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14:paraId="02C656FA">
            <w:r>
              <w:rPr>
                <w:rFonts w:hint="eastAsia"/>
              </w:rPr>
              <w:t>莆田市林业局（本级）</w:t>
            </w:r>
          </w:p>
        </w:tc>
        <w:tc>
          <w:tcPr>
            <w:tcW w:w="1540" w:type="dxa"/>
            <w:shd w:val="solid" w:color="FFFFFF" w:fill="auto"/>
          </w:tcPr>
          <w:p w14:paraId="1EF3558A">
            <w:r>
              <w:rPr>
                <w:rFonts w:hint="eastAsia"/>
              </w:rPr>
              <w:t>财政核拨</w:t>
            </w:r>
          </w:p>
        </w:tc>
        <w:tc>
          <w:tcPr>
            <w:tcW w:w="1385" w:type="dxa"/>
            <w:shd w:val="solid" w:color="FFFFFF" w:fill="auto"/>
            <w:vAlign w:val="center"/>
          </w:tcPr>
          <w:p w14:paraId="45839AC8">
            <w:r>
              <w:rPr>
                <w:rFonts w:hint="eastAsia"/>
              </w:rPr>
              <w:t>10</w:t>
            </w:r>
          </w:p>
        </w:tc>
        <w:tc>
          <w:tcPr>
            <w:tcW w:w="1570" w:type="dxa"/>
            <w:shd w:val="solid" w:color="FFFFFF" w:fill="auto"/>
            <w:vAlign w:val="center"/>
          </w:tcPr>
          <w:p w14:paraId="22C03A80">
            <w:r>
              <w:rPr>
                <w:rFonts w:hint="eastAsia"/>
              </w:rPr>
              <w:t>11</w:t>
            </w:r>
          </w:p>
        </w:tc>
      </w:tr>
      <w:tr w14:paraId="110678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14:paraId="5E23FEAE">
            <w:r>
              <w:rPr>
                <w:rFonts w:hint="eastAsia"/>
              </w:rPr>
              <w:t>莆田市营林技术指导站</w:t>
            </w:r>
          </w:p>
        </w:tc>
        <w:tc>
          <w:tcPr>
            <w:tcW w:w="1540" w:type="dxa"/>
            <w:shd w:val="solid" w:color="FFFFFF" w:fill="auto"/>
          </w:tcPr>
          <w:p w14:paraId="78FF8E10">
            <w:r>
              <w:rPr>
                <w:rFonts w:hint="eastAsia"/>
              </w:rPr>
              <w:t>财政核拨</w:t>
            </w:r>
          </w:p>
        </w:tc>
        <w:tc>
          <w:tcPr>
            <w:tcW w:w="1385" w:type="dxa"/>
            <w:shd w:val="solid" w:color="FFFFFF" w:fill="auto"/>
            <w:vAlign w:val="center"/>
          </w:tcPr>
          <w:p w14:paraId="66D502E6">
            <w:r>
              <w:rPr>
                <w:rFonts w:hint="eastAsia"/>
              </w:rPr>
              <w:t>8</w:t>
            </w:r>
          </w:p>
        </w:tc>
        <w:tc>
          <w:tcPr>
            <w:tcW w:w="1570" w:type="dxa"/>
            <w:shd w:val="solid" w:color="FFFFFF" w:fill="auto"/>
            <w:vAlign w:val="center"/>
          </w:tcPr>
          <w:p w14:paraId="732EBF99">
            <w:r>
              <w:rPr>
                <w:rFonts w:hint="eastAsia"/>
              </w:rPr>
              <w:t>7</w:t>
            </w:r>
          </w:p>
        </w:tc>
      </w:tr>
      <w:tr w14:paraId="1109C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14:paraId="0ECD0D52">
            <w:r>
              <w:rPr>
                <w:rFonts w:hint="eastAsia"/>
              </w:rPr>
              <w:t>莆田市林政管理站</w:t>
            </w:r>
          </w:p>
        </w:tc>
        <w:tc>
          <w:tcPr>
            <w:tcW w:w="1540" w:type="dxa"/>
            <w:shd w:val="solid" w:color="FFFFFF" w:fill="auto"/>
          </w:tcPr>
          <w:p w14:paraId="417269DA">
            <w:r>
              <w:rPr>
                <w:rFonts w:hint="eastAsia"/>
              </w:rPr>
              <w:t>财政核拨</w:t>
            </w:r>
          </w:p>
        </w:tc>
        <w:tc>
          <w:tcPr>
            <w:tcW w:w="1385" w:type="dxa"/>
            <w:shd w:val="solid" w:color="FFFFFF" w:fill="auto"/>
            <w:vAlign w:val="center"/>
          </w:tcPr>
          <w:p w14:paraId="27E65529">
            <w:r>
              <w:rPr>
                <w:rFonts w:hint="eastAsia"/>
              </w:rPr>
              <w:t>6</w:t>
            </w:r>
          </w:p>
        </w:tc>
        <w:tc>
          <w:tcPr>
            <w:tcW w:w="1570" w:type="dxa"/>
            <w:shd w:val="solid" w:color="FFFFFF" w:fill="auto"/>
            <w:vAlign w:val="center"/>
          </w:tcPr>
          <w:p w14:paraId="2DB36F74">
            <w:r>
              <w:rPr>
                <w:rFonts w:hint="eastAsia"/>
              </w:rPr>
              <w:t>5</w:t>
            </w:r>
          </w:p>
        </w:tc>
      </w:tr>
      <w:tr w14:paraId="18D26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14:paraId="5E67696E">
            <w:r>
              <w:rPr>
                <w:rFonts w:hint="eastAsia"/>
              </w:rPr>
              <w:t>莆田市国有林场管理处</w:t>
            </w:r>
          </w:p>
        </w:tc>
        <w:tc>
          <w:tcPr>
            <w:tcW w:w="1540" w:type="dxa"/>
            <w:shd w:val="solid" w:color="FFFFFF" w:fill="auto"/>
          </w:tcPr>
          <w:p w14:paraId="1D868CA7">
            <w:r>
              <w:rPr>
                <w:rFonts w:hint="eastAsia"/>
              </w:rPr>
              <w:t>财政核拨</w:t>
            </w:r>
          </w:p>
        </w:tc>
        <w:tc>
          <w:tcPr>
            <w:tcW w:w="1385" w:type="dxa"/>
            <w:shd w:val="solid" w:color="FFFFFF" w:fill="auto"/>
            <w:vAlign w:val="center"/>
          </w:tcPr>
          <w:p w14:paraId="4E5AC2E5">
            <w:r>
              <w:rPr>
                <w:rFonts w:hint="eastAsia"/>
              </w:rPr>
              <w:t>6</w:t>
            </w:r>
          </w:p>
        </w:tc>
        <w:tc>
          <w:tcPr>
            <w:tcW w:w="1570" w:type="dxa"/>
            <w:shd w:val="solid" w:color="FFFFFF" w:fill="auto"/>
            <w:vAlign w:val="center"/>
          </w:tcPr>
          <w:p w14:paraId="0C1DBBEE">
            <w:r>
              <w:rPr>
                <w:rFonts w:hint="eastAsia"/>
              </w:rPr>
              <w:t>5</w:t>
            </w:r>
          </w:p>
        </w:tc>
      </w:tr>
      <w:tr w14:paraId="279547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14:paraId="12FEEA67">
            <w:r>
              <w:rPr>
                <w:rFonts w:hint="eastAsia"/>
              </w:rPr>
              <w:t>莆田市林业执法支队</w:t>
            </w:r>
          </w:p>
        </w:tc>
        <w:tc>
          <w:tcPr>
            <w:tcW w:w="1540" w:type="dxa"/>
            <w:shd w:val="solid" w:color="FFFFFF" w:fill="auto"/>
          </w:tcPr>
          <w:p w14:paraId="2BE5494B">
            <w:r>
              <w:rPr>
                <w:rFonts w:hint="eastAsia"/>
              </w:rPr>
              <w:t>财政核拨</w:t>
            </w:r>
          </w:p>
        </w:tc>
        <w:tc>
          <w:tcPr>
            <w:tcW w:w="1385" w:type="dxa"/>
            <w:shd w:val="solid" w:color="FFFFFF" w:fill="auto"/>
            <w:vAlign w:val="center"/>
          </w:tcPr>
          <w:p w14:paraId="28736847">
            <w:r>
              <w:rPr>
                <w:rFonts w:hint="eastAsia"/>
              </w:rPr>
              <w:t>6</w:t>
            </w:r>
          </w:p>
        </w:tc>
        <w:tc>
          <w:tcPr>
            <w:tcW w:w="1570" w:type="dxa"/>
            <w:shd w:val="solid" w:color="FFFFFF" w:fill="auto"/>
            <w:vAlign w:val="center"/>
          </w:tcPr>
          <w:p w14:paraId="67E06A51">
            <w:r>
              <w:rPr>
                <w:rFonts w:hint="eastAsia"/>
              </w:rPr>
              <w:t>4</w:t>
            </w:r>
          </w:p>
        </w:tc>
      </w:tr>
      <w:tr w14:paraId="438A96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14:paraId="7526A7EB">
            <w:r>
              <w:rPr>
                <w:rFonts w:hint="eastAsia"/>
              </w:rPr>
              <w:t>莆田市凤凰山风景名胜区管理处</w:t>
            </w:r>
          </w:p>
        </w:tc>
        <w:tc>
          <w:tcPr>
            <w:tcW w:w="1540" w:type="dxa"/>
            <w:shd w:val="solid" w:color="FFFFFF" w:fill="auto"/>
          </w:tcPr>
          <w:p w14:paraId="2A68F8A9">
            <w:r>
              <w:rPr>
                <w:rFonts w:hint="eastAsia"/>
              </w:rPr>
              <w:t>财政核拨</w:t>
            </w:r>
          </w:p>
        </w:tc>
        <w:tc>
          <w:tcPr>
            <w:tcW w:w="1385" w:type="dxa"/>
            <w:shd w:val="solid" w:color="FFFFFF" w:fill="auto"/>
            <w:vAlign w:val="center"/>
          </w:tcPr>
          <w:p w14:paraId="166BC4F8">
            <w:r>
              <w:rPr>
                <w:rFonts w:hint="eastAsia"/>
              </w:rPr>
              <w:t>10</w:t>
            </w:r>
          </w:p>
        </w:tc>
        <w:tc>
          <w:tcPr>
            <w:tcW w:w="1570" w:type="dxa"/>
            <w:shd w:val="solid" w:color="FFFFFF" w:fill="auto"/>
            <w:vAlign w:val="center"/>
          </w:tcPr>
          <w:p w14:paraId="7A84742B">
            <w:r>
              <w:rPr>
                <w:rFonts w:hint="eastAsia"/>
              </w:rPr>
              <w:t>9</w:t>
            </w:r>
          </w:p>
        </w:tc>
      </w:tr>
      <w:tr w14:paraId="223D4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14:paraId="7C60AEA4">
            <w:r>
              <w:rPr>
                <w:rFonts w:hint="eastAsia"/>
              </w:rPr>
              <w:t>莆田市森林公安局</w:t>
            </w:r>
          </w:p>
        </w:tc>
        <w:tc>
          <w:tcPr>
            <w:tcW w:w="1540" w:type="dxa"/>
            <w:shd w:val="solid" w:color="FFFFFF" w:fill="auto"/>
          </w:tcPr>
          <w:p w14:paraId="3E7A3B36">
            <w:r>
              <w:rPr>
                <w:rFonts w:hint="eastAsia"/>
              </w:rPr>
              <w:t>财政核拨</w:t>
            </w:r>
          </w:p>
        </w:tc>
        <w:tc>
          <w:tcPr>
            <w:tcW w:w="1385" w:type="dxa"/>
            <w:shd w:val="solid" w:color="FFFFFF" w:fill="auto"/>
            <w:vAlign w:val="center"/>
          </w:tcPr>
          <w:p w14:paraId="268E1CC5">
            <w:r>
              <w:rPr>
                <w:rFonts w:hint="eastAsia"/>
              </w:rPr>
              <w:t>11</w:t>
            </w:r>
          </w:p>
        </w:tc>
        <w:tc>
          <w:tcPr>
            <w:tcW w:w="1570" w:type="dxa"/>
            <w:shd w:val="solid" w:color="FFFFFF" w:fill="auto"/>
            <w:vAlign w:val="center"/>
          </w:tcPr>
          <w:p w14:paraId="0E3C2359">
            <w:r>
              <w:rPr>
                <w:rFonts w:hint="eastAsia"/>
              </w:rPr>
              <w:t>9</w:t>
            </w:r>
          </w:p>
        </w:tc>
      </w:tr>
      <w:tr w14:paraId="33670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14:paraId="1CB0A017">
            <w:r>
              <w:rPr>
                <w:rFonts w:hint="eastAsia"/>
              </w:rPr>
              <w:t>莆田市森林公安局直属分局</w:t>
            </w:r>
          </w:p>
        </w:tc>
        <w:tc>
          <w:tcPr>
            <w:tcW w:w="1540" w:type="dxa"/>
            <w:shd w:val="solid" w:color="FFFFFF" w:fill="auto"/>
          </w:tcPr>
          <w:p w14:paraId="1061AC4A">
            <w:r>
              <w:rPr>
                <w:rFonts w:hint="eastAsia"/>
              </w:rPr>
              <w:t>财政核拨</w:t>
            </w:r>
          </w:p>
        </w:tc>
        <w:tc>
          <w:tcPr>
            <w:tcW w:w="1385" w:type="dxa"/>
            <w:shd w:val="solid" w:color="FFFFFF" w:fill="auto"/>
            <w:vAlign w:val="center"/>
          </w:tcPr>
          <w:p w14:paraId="0398162F">
            <w:r>
              <w:rPr>
                <w:rFonts w:hint="eastAsia"/>
              </w:rPr>
              <w:t>6</w:t>
            </w:r>
          </w:p>
        </w:tc>
        <w:tc>
          <w:tcPr>
            <w:tcW w:w="1570" w:type="dxa"/>
            <w:shd w:val="solid" w:color="FFFFFF" w:fill="auto"/>
            <w:vAlign w:val="center"/>
          </w:tcPr>
          <w:p w14:paraId="253BBE87">
            <w:r>
              <w:rPr>
                <w:rFonts w:hint="eastAsia"/>
              </w:rPr>
              <w:t>6</w:t>
            </w:r>
          </w:p>
        </w:tc>
      </w:tr>
      <w:tr w14:paraId="63A35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14:paraId="6692E635">
            <w:r>
              <w:rPr>
                <w:rFonts w:hint="eastAsia"/>
              </w:rPr>
              <w:t>莆田市公安局笏石森林派出所</w:t>
            </w:r>
          </w:p>
        </w:tc>
        <w:tc>
          <w:tcPr>
            <w:tcW w:w="1540" w:type="dxa"/>
            <w:shd w:val="solid" w:color="FFFFFF" w:fill="auto"/>
          </w:tcPr>
          <w:p w14:paraId="5F6DBB0E">
            <w:r>
              <w:rPr>
                <w:rFonts w:hint="eastAsia"/>
              </w:rPr>
              <w:t>财政核拨</w:t>
            </w:r>
          </w:p>
        </w:tc>
        <w:tc>
          <w:tcPr>
            <w:tcW w:w="1385" w:type="dxa"/>
            <w:shd w:val="solid" w:color="FFFFFF" w:fill="auto"/>
            <w:vAlign w:val="center"/>
          </w:tcPr>
          <w:p w14:paraId="64969124">
            <w:r>
              <w:rPr>
                <w:rFonts w:hint="eastAsia"/>
              </w:rPr>
              <w:t>9</w:t>
            </w:r>
          </w:p>
        </w:tc>
        <w:tc>
          <w:tcPr>
            <w:tcW w:w="1570" w:type="dxa"/>
            <w:shd w:val="solid" w:color="FFFFFF" w:fill="auto"/>
            <w:vAlign w:val="center"/>
          </w:tcPr>
          <w:p w14:paraId="18ECE84A">
            <w:r>
              <w:rPr>
                <w:rFonts w:hint="eastAsia"/>
              </w:rPr>
              <w:t>6</w:t>
            </w:r>
          </w:p>
        </w:tc>
      </w:tr>
      <w:tr w14:paraId="1A3EC2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14:paraId="645D9D60">
            <w:r>
              <w:rPr>
                <w:rFonts w:hint="eastAsia"/>
              </w:rPr>
              <w:t>合计</w:t>
            </w:r>
          </w:p>
        </w:tc>
        <w:tc>
          <w:tcPr>
            <w:tcW w:w="1540" w:type="dxa"/>
            <w:shd w:val="solid" w:color="FFFFFF" w:fill="auto"/>
          </w:tcPr>
          <w:p w14:paraId="738A76CF">
            <w:r>
              <w:rPr>
                <w:rFonts w:hint="eastAsia"/>
              </w:rPr>
              <w:t>——</w:t>
            </w:r>
          </w:p>
        </w:tc>
        <w:tc>
          <w:tcPr>
            <w:tcW w:w="1385" w:type="dxa"/>
            <w:shd w:val="solid" w:color="FFFFFF" w:fill="auto"/>
            <w:vAlign w:val="center"/>
          </w:tcPr>
          <w:p w14:paraId="6BE2D1FC">
            <w:r>
              <w:rPr>
                <w:rFonts w:hint="eastAsia"/>
              </w:rPr>
              <w:t>72</w:t>
            </w:r>
          </w:p>
        </w:tc>
        <w:tc>
          <w:tcPr>
            <w:tcW w:w="1570" w:type="dxa"/>
            <w:shd w:val="solid" w:color="FFFFFF" w:fill="auto"/>
            <w:vAlign w:val="center"/>
          </w:tcPr>
          <w:p w14:paraId="6B78DDC1">
            <w:r>
              <w:rPr>
                <w:rFonts w:hint="eastAsia"/>
              </w:rPr>
              <w:t>62</w:t>
            </w:r>
          </w:p>
        </w:tc>
      </w:tr>
    </w:tbl>
    <w:p w14:paraId="74F7E769">
      <w:pPr>
        <w:ind w:firstLine="420" w:firstLineChars="200"/>
      </w:pPr>
      <w:r>
        <w:rPr>
          <w:rFonts w:hint="eastAsia"/>
        </w:rPr>
        <w:t>说明：2019年下达的莆田市林业局三定方案中，莆田市林业局机关行政编制为9名，机关工勤人员事业编制1名，人员编制数合计为10名。2020年1月，刘伟明由部队转入市林业局，在职人数为11人。</w:t>
      </w:r>
    </w:p>
    <w:p w14:paraId="7385F92E">
      <w:pPr>
        <w:ind w:firstLine="420" w:firstLineChars="200"/>
      </w:pPr>
      <w:bookmarkStart w:id="392" w:name="_Toc10800"/>
      <w:r>
        <w:rPr>
          <w:rFonts w:hint="eastAsia"/>
        </w:rPr>
        <w:t>（三）年度重点工作任务</w:t>
      </w:r>
      <w:bookmarkEnd w:id="392"/>
    </w:p>
    <w:p w14:paraId="16974EF6">
      <w:pPr>
        <w:ind w:firstLine="420" w:firstLineChars="200"/>
      </w:pPr>
      <w:r>
        <w:rPr>
          <w:rFonts w:hint="eastAsia"/>
        </w:rPr>
        <w:t>莆田市林业局深入贯彻落实习近平新时代中国特色社会主义思想，牢固践行“绿水青山就是金山银山”等生态文明理念，围绕市委市政府中心工作，持续推进生态文明建设。2020年的主要任务如下：</w:t>
      </w:r>
    </w:p>
    <w:p w14:paraId="4B728952">
      <w:pPr>
        <w:ind w:firstLine="420" w:firstLineChars="200"/>
      </w:pPr>
      <w:r>
        <w:rPr>
          <w:rFonts w:hint="eastAsia"/>
        </w:rPr>
        <w:t>（1）加大造林绿化，推进生态建设</w:t>
      </w:r>
    </w:p>
    <w:p w14:paraId="07635E62">
      <w:pPr>
        <w:ind w:firstLine="420" w:firstLineChars="200"/>
      </w:pPr>
      <w:r>
        <w:rPr>
          <w:rFonts w:hint="eastAsia"/>
        </w:rPr>
        <w:t>2020年，全市计划完成植树造林和森林经营15万亩，其中：植树造林3.1万亩、森林抚育7万亩、封山育林5万亩。创建省级森林城镇1个，省级森林村庄5个。结合木兰溪流域系统治理，加强流域生态修复，大力推进“三沿一环”森林景观带、“两带一窗口”绿美示范工程建设，突出抓好乡村绿化、生物防火林带、珍贵树种造林，提倡不炼山造林。继续开展“大造阔叶树、绿化全莆田”三年行动，确保取得实效。</w:t>
      </w:r>
    </w:p>
    <w:p w14:paraId="3B3A77E7">
      <w:pPr>
        <w:ind w:firstLine="420" w:firstLineChars="200"/>
      </w:pPr>
      <w:r>
        <w:rPr>
          <w:rFonts w:hint="eastAsia"/>
        </w:rPr>
        <w:t>（2）探索发展新路，促进林农增收</w:t>
      </w:r>
    </w:p>
    <w:p w14:paraId="21B0B5DD">
      <w:pPr>
        <w:ind w:firstLine="420" w:firstLineChars="200"/>
      </w:pPr>
      <w:r>
        <w:rPr>
          <w:rFonts w:hint="eastAsia"/>
        </w:rPr>
        <w:t>探索林业经济发展新路子，大力发展林下经济、油茶、花卉苗木、珍贵树种等林业特色产业，促进绿色增长与农民增收。到2020年，全市林下经济发展面积达到20.2万亩。2020年，全市计划新增珍贵树种造林2000亩、新增油茶1500亩。</w:t>
      </w:r>
    </w:p>
    <w:p w14:paraId="42F37F2B">
      <w:pPr>
        <w:ind w:firstLine="420" w:firstLineChars="200"/>
      </w:pPr>
      <w:r>
        <w:rPr>
          <w:rFonts w:hint="eastAsia"/>
        </w:rPr>
        <w:t>（3）加强资源保护，确保生态安全</w:t>
      </w:r>
    </w:p>
    <w:p w14:paraId="1CDE9CF9">
      <w:pPr>
        <w:ind w:firstLine="420" w:firstLineChars="200"/>
      </w:pPr>
      <w:r>
        <w:rPr>
          <w:rFonts w:hint="eastAsia"/>
        </w:rPr>
        <w:t>全面贯彻落实保护发展森林资源目标责任制，将森林覆盖率、森林蓄积量、林地保有量、天然林保护情况等纳入各级党委、政府生态文明建设目标评价考核体系，建立健全领导干部保护发展森林资源长效机制。严格实行林地用途管制和定额管理，加强森林和湿地资源监测保护，严厉打击各种破坏森林资源的违法犯罪行为，加强重点林区监管，狠抓森林防火，加大重大林业有害生物防治力度，确保森林资源和生态安全。</w:t>
      </w:r>
    </w:p>
    <w:p w14:paraId="036BCEB9">
      <w:pPr>
        <w:ind w:firstLine="420" w:firstLineChars="200"/>
      </w:pPr>
      <w:r>
        <w:rPr>
          <w:rFonts w:hint="eastAsia"/>
        </w:rPr>
        <w:t>（4）强化机关建设，树好林业形象</w:t>
      </w:r>
    </w:p>
    <w:p w14:paraId="3452603F">
      <w:pPr>
        <w:ind w:firstLine="420" w:firstLineChars="200"/>
      </w:pPr>
      <w:r>
        <w:rPr>
          <w:rFonts w:hint="eastAsia"/>
        </w:rPr>
        <w:t>深入开展习近平新时代中国特色社会主义思想和党的十九大精神的学习、宣传、贯彻、落实，强化政治担当，提高政治站位。认真落实全面从严治党要求，持之以恒正风肃纪，推动党风政风持续向上向好。继续教育和引导广大干部职工立足本职工作，忠诚、干净、担当，勤勤恳恳做事，踏踏实实做人，全力提升林业队伍的自身素质、工作水平和整体战斗力。</w:t>
      </w:r>
    </w:p>
    <w:p w14:paraId="1EC9CCEF">
      <w:pPr>
        <w:ind w:firstLine="420" w:firstLineChars="200"/>
      </w:pPr>
      <w:bookmarkStart w:id="393" w:name="_Toc21097"/>
      <w:r>
        <w:rPr>
          <w:rFonts w:hint="eastAsia"/>
        </w:rPr>
        <w:t>（四）部门整体支出绩效目标</w:t>
      </w:r>
      <w:bookmarkEnd w:id="393"/>
    </w:p>
    <w:p w14:paraId="69D56D93">
      <w:pPr>
        <w:ind w:firstLine="420" w:firstLineChars="200"/>
      </w:pPr>
      <w:bookmarkStart w:id="394" w:name="_Toc43693236"/>
      <w:bookmarkStart w:id="395" w:name="_Toc49477519"/>
      <w:r>
        <w:rPr>
          <w:rFonts w:hint="eastAsia"/>
        </w:rPr>
        <w:t>1</w:t>
      </w:r>
      <w:bookmarkEnd w:id="394"/>
      <w:bookmarkEnd w:id="395"/>
      <w:r>
        <w:rPr>
          <w:rFonts w:hint="eastAsia"/>
        </w:rPr>
        <w:t>.整体绩效目标</w:t>
      </w:r>
    </w:p>
    <w:tbl>
      <w:tblPr>
        <w:tblStyle w:val="17"/>
        <w:tblW w:w="0" w:type="auto"/>
        <w:tblInd w:w="0" w:type="dxa"/>
        <w:tblLayout w:type="fixed"/>
        <w:tblCellMar>
          <w:top w:w="0" w:type="dxa"/>
          <w:left w:w="0" w:type="dxa"/>
          <w:bottom w:w="0" w:type="dxa"/>
          <w:right w:w="0" w:type="dxa"/>
        </w:tblCellMar>
      </w:tblPr>
      <w:tblGrid>
        <w:gridCol w:w="630"/>
        <w:gridCol w:w="1219"/>
        <w:gridCol w:w="1490"/>
        <w:gridCol w:w="3791"/>
        <w:gridCol w:w="780"/>
        <w:gridCol w:w="810"/>
      </w:tblGrid>
      <w:tr w14:paraId="37D465B3">
        <w:tblPrEx>
          <w:tblCellMar>
            <w:top w:w="0" w:type="dxa"/>
            <w:left w:w="0" w:type="dxa"/>
            <w:bottom w:w="0" w:type="dxa"/>
            <w:right w:w="0" w:type="dxa"/>
          </w:tblCellMar>
        </w:tblPrEx>
        <w:trPr>
          <w:trHeight w:val="321" w:hRule="atLeast"/>
        </w:trPr>
        <w:tc>
          <w:tcPr>
            <w:tcW w:w="8720" w:type="dxa"/>
            <w:gridSpan w:val="6"/>
            <w:tcBorders>
              <w:top w:val="nil"/>
              <w:left w:val="nil"/>
              <w:bottom w:val="nil"/>
              <w:right w:val="nil"/>
            </w:tcBorders>
            <w:noWrap/>
            <w:tcMar>
              <w:top w:w="10" w:type="dxa"/>
              <w:left w:w="10" w:type="dxa"/>
              <w:right w:w="10" w:type="dxa"/>
            </w:tcMar>
            <w:vAlign w:val="bottom"/>
          </w:tcPr>
          <w:p w14:paraId="740BD1C1">
            <w:r>
              <w:rPr>
                <w:rFonts w:hint="eastAsia"/>
              </w:rPr>
              <w:t>表2   莆田市林业局2020年度部门整体支出绩效目标指标体系</w:t>
            </w:r>
          </w:p>
        </w:tc>
      </w:tr>
      <w:tr w14:paraId="04642E6D">
        <w:tblPrEx>
          <w:tblCellMar>
            <w:top w:w="0" w:type="dxa"/>
            <w:left w:w="0" w:type="dxa"/>
            <w:bottom w:w="0" w:type="dxa"/>
            <w:right w:w="0" w:type="dxa"/>
          </w:tblCellMar>
        </w:tblPrEx>
        <w:trPr>
          <w:trHeight w:val="642" w:hRule="atLeast"/>
        </w:trPr>
        <w:tc>
          <w:tcPr>
            <w:tcW w:w="6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BC94DE">
            <w:r>
              <w:rPr>
                <w:rFonts w:hint="eastAsia"/>
              </w:rPr>
              <w:t>一级指标</w:t>
            </w:r>
          </w:p>
        </w:tc>
        <w:tc>
          <w:tcPr>
            <w:tcW w:w="12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AC4B87">
            <w:r>
              <w:rPr>
                <w:rFonts w:hint="eastAsia"/>
              </w:rPr>
              <w:t>二级指标</w:t>
            </w:r>
          </w:p>
        </w:tc>
        <w:tc>
          <w:tcPr>
            <w:tcW w:w="149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2E82473">
            <w:r>
              <w:rPr>
                <w:rFonts w:hint="eastAsia"/>
              </w:rPr>
              <w:t>三级指标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B2CEDB">
            <w:r>
              <w:rPr>
                <w:rFonts w:hint="eastAsia"/>
              </w:rPr>
              <w:t>指标说明</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FC8CD3">
            <w:pPr>
              <w:ind w:firstLine="420" w:firstLineChars="200"/>
            </w:pPr>
            <w:r>
              <w:rPr>
                <w:rFonts w:hint="eastAsia"/>
              </w:rPr>
              <w:t>上年</w:t>
            </w:r>
          </w:p>
          <w:p w14:paraId="5735DCD7">
            <w:pPr>
              <w:ind w:firstLine="420" w:firstLineChars="200"/>
            </w:pPr>
            <w:r>
              <w:rPr>
                <w:rFonts w:hint="eastAsia"/>
              </w:rPr>
              <w:t>实际值</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E364B3">
            <w:pPr>
              <w:ind w:firstLine="420" w:firstLineChars="200"/>
            </w:pPr>
            <w:r>
              <w:rPr>
                <w:rFonts w:hint="eastAsia"/>
              </w:rPr>
              <w:t>本年</w:t>
            </w:r>
          </w:p>
          <w:p w14:paraId="1D881B06">
            <w:pPr>
              <w:ind w:firstLine="420" w:firstLineChars="200"/>
            </w:pPr>
            <w:r>
              <w:rPr>
                <w:rFonts w:hint="eastAsia"/>
              </w:rPr>
              <w:t>目标值</w:t>
            </w:r>
          </w:p>
        </w:tc>
      </w:tr>
      <w:tr w14:paraId="2BAAFF6C">
        <w:tblPrEx>
          <w:tblCellMar>
            <w:top w:w="0" w:type="dxa"/>
            <w:left w:w="0" w:type="dxa"/>
            <w:bottom w:w="0" w:type="dxa"/>
            <w:right w:w="0" w:type="dxa"/>
          </w:tblCellMar>
        </w:tblPrEx>
        <w:trPr>
          <w:trHeight w:val="1011" w:hRule="atLeast"/>
        </w:trPr>
        <w:tc>
          <w:tcPr>
            <w:tcW w:w="6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0A74FF">
            <w:r>
              <w:rPr>
                <w:rFonts w:hint="eastAsia"/>
              </w:rPr>
              <w:t>投入</w:t>
            </w:r>
          </w:p>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D33884">
            <w:r>
              <w:rPr>
                <w:rFonts w:hint="eastAsia"/>
              </w:rPr>
              <w:t>预算配置</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5D3DA7">
            <w:r>
              <w:rPr>
                <w:rFonts w:hint="eastAsia"/>
              </w:rPr>
              <w:t>在职人员控制率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F01D68">
            <w:r>
              <w:rPr>
                <w:rFonts w:hint="eastAsia"/>
              </w:rPr>
              <w:t>在职人员控制率=（在职人员数/编制数）×100%在职人员数：部门实际在职人数编制数：机构编制部门核定的人员编制数</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4BA4AA">
            <w:r>
              <w:rPr>
                <w:rFonts w:hint="eastAsia"/>
              </w:rPr>
              <w:t>89.00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57B266">
            <w:r>
              <w:rPr>
                <w:rFonts w:hint="eastAsia"/>
              </w:rPr>
              <w:t>90.00</w:t>
            </w:r>
          </w:p>
        </w:tc>
      </w:tr>
      <w:tr w14:paraId="3E23AA95">
        <w:tblPrEx>
          <w:tblCellMar>
            <w:top w:w="0" w:type="dxa"/>
            <w:left w:w="0" w:type="dxa"/>
            <w:bottom w:w="0" w:type="dxa"/>
            <w:right w:w="0" w:type="dxa"/>
          </w:tblCellMar>
        </w:tblPrEx>
        <w:trPr>
          <w:trHeight w:val="90"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F56247"/>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F8575D"/>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3D2134">
            <w:r>
              <w:rPr>
                <w:rFonts w:hint="eastAsia"/>
              </w:rPr>
              <w:t>“三公经费”变动率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4466BC">
            <w:r>
              <w:rPr>
                <w:rFonts w:hint="eastAsia"/>
              </w:rPr>
              <w:t>“三公经费”变动率=[（本年度“三公经费”预算安排数-上年度“三公经费”预算安排数）/上年度“三公经费”预算安排数]×100%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E81333">
            <w:r>
              <w:rPr>
                <w:rFonts w:hint="eastAsia"/>
              </w:rPr>
              <w:t>-2.19</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FD5334">
            <w:r>
              <w:rPr>
                <w:rFonts w:hint="eastAsia"/>
              </w:rPr>
              <w:t>-6.15</w:t>
            </w:r>
          </w:p>
        </w:tc>
      </w:tr>
      <w:tr w14:paraId="460F2A16">
        <w:tblPrEx>
          <w:tblCellMar>
            <w:top w:w="0" w:type="dxa"/>
            <w:left w:w="0" w:type="dxa"/>
            <w:bottom w:w="0" w:type="dxa"/>
            <w:right w:w="0" w:type="dxa"/>
          </w:tblCellMar>
        </w:tblPrEx>
        <w:trPr>
          <w:trHeight w:val="464" w:hRule="atLeast"/>
        </w:trPr>
        <w:tc>
          <w:tcPr>
            <w:tcW w:w="6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B630BA">
            <w:r>
              <w:rPr>
                <w:rFonts w:hint="eastAsia"/>
              </w:rPr>
              <w:t>过程</w:t>
            </w:r>
          </w:p>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10E2CD">
            <w:r>
              <w:rPr>
                <w:rFonts w:hint="eastAsia"/>
              </w:rPr>
              <w:t>预算执行</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02DE90">
            <w:r>
              <w:rPr>
                <w:rFonts w:hint="eastAsia"/>
              </w:rPr>
              <w:t>公用经费控制率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EEE0CE">
            <w:r>
              <w:rPr>
                <w:rFonts w:hint="eastAsia"/>
              </w:rPr>
              <w:t>公用经费控制率=（实际支出公用经费总额/预算安排公用经费总额）×100%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A3EF62">
            <w:r>
              <w:rPr>
                <w:rFonts w:hint="eastAsia"/>
              </w:rPr>
              <w:t>42.76</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5E8A36">
            <w:r>
              <w:rPr>
                <w:rFonts w:hint="eastAsia"/>
              </w:rPr>
              <w:t>95.00</w:t>
            </w:r>
          </w:p>
        </w:tc>
      </w:tr>
      <w:tr w14:paraId="3C8B7DE7">
        <w:tblPrEx>
          <w:tblCellMar>
            <w:top w:w="0" w:type="dxa"/>
            <w:left w:w="0" w:type="dxa"/>
            <w:bottom w:w="0" w:type="dxa"/>
            <w:right w:w="0" w:type="dxa"/>
          </w:tblCellMar>
        </w:tblPrEx>
        <w:trPr>
          <w:trHeight w:val="825"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B0628F"/>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3A77DF"/>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179005">
            <w:r>
              <w:rPr>
                <w:rFonts w:hint="eastAsia"/>
              </w:rPr>
              <w:t>“三公经费”控制率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7D05A5">
            <w:r>
              <w:rPr>
                <w:rFonts w:hint="eastAsia"/>
              </w:rPr>
              <w:t>“三公经费”控制率=（“三公经费”实际支出数/“三公经费”预算支出控制数）×100%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BC1492">
            <w:r>
              <w:rPr>
                <w:rFonts w:hint="eastAsia"/>
              </w:rPr>
              <w:t>22.50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69C006">
            <w:r>
              <w:rPr>
                <w:rFonts w:hint="eastAsia"/>
              </w:rPr>
              <w:t>90.00</w:t>
            </w:r>
          </w:p>
        </w:tc>
      </w:tr>
      <w:tr w14:paraId="5B3B598A">
        <w:tblPrEx>
          <w:tblCellMar>
            <w:top w:w="0" w:type="dxa"/>
            <w:left w:w="0" w:type="dxa"/>
            <w:bottom w:w="0" w:type="dxa"/>
            <w:right w:w="0" w:type="dxa"/>
          </w:tblCellMar>
        </w:tblPrEx>
        <w:trPr>
          <w:trHeight w:val="41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8A75EC"/>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4ADCFC"/>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1C1146">
            <w:r>
              <w:rPr>
                <w:rFonts w:hint="eastAsia"/>
              </w:rPr>
              <w:t>固定资产利用率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6C6980">
            <w:r>
              <w:rPr>
                <w:rFonts w:hint="eastAsia"/>
              </w:rPr>
              <w:t>固定资产利用率=（实际在用固定资产总额/所有固定资产总额）×100%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B2775C">
            <w:r>
              <w:rPr>
                <w:rFonts w:hint="eastAsia"/>
              </w:rPr>
              <w:t>100.00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6AEA1F">
            <w:r>
              <w:rPr>
                <w:rFonts w:hint="eastAsia"/>
              </w:rPr>
              <w:t>100.00</w:t>
            </w:r>
          </w:p>
        </w:tc>
      </w:tr>
      <w:tr w14:paraId="19C30A72">
        <w:tblPrEx>
          <w:tblCellMar>
            <w:top w:w="0" w:type="dxa"/>
            <w:left w:w="0" w:type="dxa"/>
            <w:bottom w:w="0" w:type="dxa"/>
            <w:right w:w="0" w:type="dxa"/>
          </w:tblCellMar>
        </w:tblPrEx>
        <w:trPr>
          <w:trHeight w:val="50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80BC73"/>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943B25"/>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34D7E6">
            <w:r>
              <w:rPr>
                <w:rFonts w:hint="eastAsia"/>
              </w:rPr>
              <w:t>预算执行率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90FF0F">
            <w:r>
              <w:rPr>
                <w:rFonts w:hint="eastAsia"/>
              </w:rPr>
              <w:t>预算执行率=预算实际支出数/（预算总额−本级预算专项转移补助县区）×100%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E3087E">
            <w:r>
              <w:rPr>
                <w:rFonts w:hint="eastAsia"/>
              </w:rPr>
              <w:t>97.00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9D84C8">
            <w:r>
              <w:rPr>
                <w:rFonts w:hint="eastAsia"/>
              </w:rPr>
              <w:t>95.00</w:t>
            </w:r>
          </w:p>
        </w:tc>
      </w:tr>
      <w:tr w14:paraId="7232CC31">
        <w:tblPrEx>
          <w:tblCellMar>
            <w:top w:w="0" w:type="dxa"/>
            <w:left w:w="0" w:type="dxa"/>
            <w:bottom w:w="0" w:type="dxa"/>
            <w:right w:w="0" w:type="dxa"/>
          </w:tblCellMar>
        </w:tblPrEx>
        <w:trPr>
          <w:trHeight w:val="1350" w:hRule="atLeast"/>
        </w:trPr>
        <w:tc>
          <w:tcPr>
            <w:tcW w:w="6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C3A178">
            <w:r>
              <w:rPr>
                <w:rFonts w:hint="eastAsia"/>
              </w:rPr>
              <w:t>产出和效益指标</w:t>
            </w:r>
          </w:p>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09FD5F">
            <w:r>
              <w:rPr>
                <w:rFonts w:hint="eastAsia"/>
              </w:rPr>
              <w:t>履职情况</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75089A">
            <w:r>
              <w:rPr>
                <w:rFonts w:hint="eastAsia"/>
              </w:rPr>
              <w:t>财政支出项目完成率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C309D1">
            <w:r>
              <w:rPr>
                <w:rFonts w:hint="eastAsia"/>
              </w:rPr>
              <w:t>财政支出项目完成率=（实际完成计划项目数/计划项目数）×100%实际完成计划项目数：部门在年度内实际完成的原计划项目数量计划项目数：财政部门批复的年度部门预算中的财政支出专项数量</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C58841">
            <w:r>
              <w:rPr>
                <w:rFonts w:hint="eastAsia"/>
              </w:rPr>
              <w:t>100.00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0535E0">
            <w:r>
              <w:rPr>
                <w:rFonts w:hint="eastAsia"/>
              </w:rPr>
              <w:t>100.00</w:t>
            </w:r>
          </w:p>
        </w:tc>
      </w:tr>
      <w:tr w14:paraId="44F83C32">
        <w:tblPrEx>
          <w:tblCellMar>
            <w:top w:w="0" w:type="dxa"/>
            <w:left w:w="0" w:type="dxa"/>
            <w:bottom w:w="0" w:type="dxa"/>
            <w:right w:w="0" w:type="dxa"/>
          </w:tblCellMar>
        </w:tblPrEx>
        <w:trPr>
          <w:trHeight w:val="973"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21E631"/>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78A538"/>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191243">
            <w:r>
              <w:rPr>
                <w:rFonts w:hint="eastAsia"/>
              </w:rPr>
              <w:t>重点工作办结率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FDEB50">
            <w:r>
              <w:rPr>
                <w:rFonts w:hint="eastAsia"/>
              </w:rPr>
              <w:t>重点工作办结率=（重点工作实际完成数/上级交办或下达数）重点工作：党委、政府、人大及相关部门交办或下达的工作任务</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2E70A3">
            <w:r>
              <w:rPr>
                <w:rFonts w:hint="eastAsia"/>
              </w:rPr>
              <w:t>100.00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0F3C34">
            <w:r>
              <w:rPr>
                <w:rFonts w:hint="eastAsia"/>
              </w:rPr>
              <w:t>100.00</w:t>
            </w:r>
          </w:p>
        </w:tc>
      </w:tr>
      <w:tr w14:paraId="721EC900">
        <w:tblPrEx>
          <w:tblCellMar>
            <w:top w:w="0" w:type="dxa"/>
            <w:left w:w="0" w:type="dxa"/>
            <w:bottom w:w="0" w:type="dxa"/>
            <w:right w:w="0" w:type="dxa"/>
          </w:tblCellMar>
        </w:tblPrEx>
        <w:trPr>
          <w:trHeight w:val="54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D9802D"/>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12E4B5">
            <w:r>
              <w:rPr>
                <w:rFonts w:hint="eastAsia"/>
              </w:rPr>
              <w:t>履职效益-经济效益目标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614AD6">
            <w:r>
              <w:rPr>
                <w:rFonts w:hint="eastAsia"/>
              </w:rPr>
              <w:t>造林带动就业人数</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E74FE7">
            <w:r>
              <w:rPr>
                <w:rFonts w:hint="eastAsia"/>
              </w:rPr>
              <w:t>造林创造的就业岗位</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AC1EF8">
            <w:r>
              <w:rPr>
                <w:rFonts w:hint="eastAsia"/>
              </w:rPr>
              <w:t>2000.00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C405ED">
            <w:r>
              <w:rPr>
                <w:rFonts w:hint="eastAsia"/>
              </w:rPr>
              <w:t>5000.00</w:t>
            </w:r>
          </w:p>
        </w:tc>
      </w:tr>
      <w:tr w14:paraId="1F787316">
        <w:tblPrEx>
          <w:tblCellMar>
            <w:top w:w="0" w:type="dxa"/>
            <w:left w:w="0" w:type="dxa"/>
            <w:bottom w:w="0" w:type="dxa"/>
            <w:right w:w="0" w:type="dxa"/>
          </w:tblCellMar>
        </w:tblPrEx>
        <w:trPr>
          <w:trHeight w:val="85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50E1C2"/>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DEF3E7"/>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41552B">
            <w:r>
              <w:rPr>
                <w:rFonts w:hint="eastAsia"/>
              </w:rPr>
              <w:t>生态效益补偿促进林农和村集体增收</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40B468">
            <w:r>
              <w:rPr>
                <w:rFonts w:hint="eastAsia"/>
              </w:rPr>
              <w:t>生态效益补偿促进林农和村集体增收205万元</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343DDE">
            <w:r>
              <w:rPr>
                <w:rFonts w:hint="eastAsia"/>
              </w:rPr>
              <w:t>205.00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7AFE7A">
            <w:r>
              <w:rPr>
                <w:rFonts w:hint="eastAsia"/>
              </w:rPr>
              <w:t>205.00</w:t>
            </w:r>
          </w:p>
        </w:tc>
      </w:tr>
      <w:tr w14:paraId="2900AD3D">
        <w:tblPrEx>
          <w:tblCellMar>
            <w:top w:w="0" w:type="dxa"/>
            <w:left w:w="0" w:type="dxa"/>
            <w:bottom w:w="0" w:type="dxa"/>
            <w:right w:w="0" w:type="dxa"/>
          </w:tblCellMar>
        </w:tblPrEx>
        <w:trPr>
          <w:trHeight w:val="30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4D8BE2"/>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0AC9E7">
            <w:r>
              <w:rPr>
                <w:rFonts w:hint="eastAsia"/>
              </w:rPr>
              <w:t>履职效益-社会效益目标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7DBB45">
            <w:r>
              <w:rPr>
                <w:rFonts w:hint="eastAsia"/>
              </w:rPr>
              <w:t>森林火灾受害率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A19A32">
            <w:r>
              <w:rPr>
                <w:rFonts w:hint="eastAsia"/>
              </w:rPr>
              <w:t>控制在0.8‰之内</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83F371">
            <w:r>
              <w:rPr>
                <w:rFonts w:hint="eastAsia"/>
              </w:rPr>
              <w:t>0.80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0641D4">
            <w:r>
              <w:rPr>
                <w:rFonts w:hint="eastAsia"/>
              </w:rPr>
              <w:t>0.80</w:t>
            </w:r>
          </w:p>
        </w:tc>
      </w:tr>
      <w:tr w14:paraId="7403190F">
        <w:tblPrEx>
          <w:tblCellMar>
            <w:top w:w="0" w:type="dxa"/>
            <w:left w:w="0" w:type="dxa"/>
            <w:bottom w:w="0" w:type="dxa"/>
            <w:right w:w="0" w:type="dxa"/>
          </w:tblCellMar>
        </w:tblPrEx>
        <w:trPr>
          <w:trHeight w:val="417"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09F0E1"/>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A2CFD2"/>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6CAEA6">
            <w:r>
              <w:rPr>
                <w:rFonts w:hint="eastAsia"/>
              </w:rPr>
              <w:t>促进林区干群关系和谐</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6D7978">
            <w:r>
              <w:rPr>
                <w:rFonts w:hint="eastAsia"/>
              </w:rPr>
              <w:t>促进林区干群关系和谐占比达98%</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06FA4B">
            <w:r>
              <w:rPr>
                <w:rFonts w:hint="eastAsia"/>
              </w:rPr>
              <w:t>98.00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BC06B2">
            <w:r>
              <w:rPr>
                <w:rFonts w:hint="eastAsia"/>
              </w:rPr>
              <w:t>98.00</w:t>
            </w:r>
          </w:p>
        </w:tc>
      </w:tr>
      <w:tr w14:paraId="6485E30E">
        <w:tblPrEx>
          <w:tblCellMar>
            <w:top w:w="0" w:type="dxa"/>
            <w:left w:w="0" w:type="dxa"/>
            <w:bottom w:w="0" w:type="dxa"/>
            <w:right w:w="0" w:type="dxa"/>
          </w:tblCellMar>
        </w:tblPrEx>
        <w:trPr>
          <w:trHeight w:val="59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644B81"/>
        </w:tc>
        <w:tc>
          <w:tcPr>
            <w:tcW w:w="12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612E13">
            <w:r>
              <w:rPr>
                <w:rFonts w:hint="eastAsia"/>
              </w:rPr>
              <w:t>履职效益-环境效益目标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4C2C0B">
            <w:r>
              <w:rPr>
                <w:rFonts w:hint="eastAsia"/>
              </w:rPr>
              <w:t>森林质量</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989DA0">
            <w:r>
              <w:rPr>
                <w:rFonts w:hint="eastAsia"/>
              </w:rPr>
              <w:t>全市森林覆盖率稳定在59.74%。</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AC276D">
            <w:r>
              <w:rPr>
                <w:rFonts w:hint="eastAsia"/>
              </w:rPr>
              <w:t>60.17</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A95CFC">
            <w:r>
              <w:rPr>
                <w:rFonts w:hint="eastAsia"/>
              </w:rPr>
              <w:t>59.74</w:t>
            </w:r>
          </w:p>
        </w:tc>
      </w:tr>
      <w:tr w14:paraId="6497E37E">
        <w:tblPrEx>
          <w:tblCellMar>
            <w:top w:w="0" w:type="dxa"/>
            <w:left w:w="0" w:type="dxa"/>
            <w:bottom w:w="0" w:type="dxa"/>
            <w:right w:w="0" w:type="dxa"/>
          </w:tblCellMar>
        </w:tblPrEx>
        <w:trPr>
          <w:trHeight w:val="953"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4B2CDC"/>
        </w:tc>
        <w:tc>
          <w:tcPr>
            <w:tcW w:w="12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F327EA">
            <w:r>
              <w:rPr>
                <w:rFonts w:hint="eastAsia"/>
              </w:rPr>
              <w:t>履职效益-可持续影响目标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21FFF1">
            <w:r>
              <w:rPr>
                <w:rFonts w:hint="eastAsia"/>
              </w:rPr>
              <w:t>森林林分质量</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6EEF1E">
            <w:r>
              <w:rPr>
                <w:rFonts w:hint="eastAsia"/>
              </w:rPr>
              <w:t>全市森林蓄积量达到1119万立方米以上。</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FB33CB">
            <w:r>
              <w:rPr>
                <w:rFonts w:hint="eastAsia"/>
              </w:rPr>
              <w:t>1387.00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0039EB">
            <w:r>
              <w:rPr>
                <w:rFonts w:hint="eastAsia"/>
              </w:rPr>
              <w:t>1119.00</w:t>
            </w:r>
          </w:p>
        </w:tc>
      </w:tr>
      <w:tr w14:paraId="687BD25C">
        <w:tblPrEx>
          <w:tblCellMar>
            <w:top w:w="0" w:type="dxa"/>
            <w:left w:w="0" w:type="dxa"/>
            <w:bottom w:w="0" w:type="dxa"/>
            <w:right w:w="0" w:type="dxa"/>
          </w:tblCellMar>
        </w:tblPrEx>
        <w:trPr>
          <w:trHeight w:val="66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EB2BD3"/>
        </w:tc>
        <w:tc>
          <w:tcPr>
            <w:tcW w:w="12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1F90A1">
            <w:r>
              <w:rPr>
                <w:rFonts w:hint="eastAsia"/>
              </w:rPr>
              <w:t>履职效益-服务对象满意度目标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E5F0E8">
            <w:r>
              <w:rPr>
                <w:rFonts w:hint="eastAsia"/>
              </w:rPr>
              <w:t>林业工作者和林区群众满意度</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0E6365">
            <w:r>
              <w:rPr>
                <w:rFonts w:hint="eastAsia"/>
              </w:rPr>
              <w:t>群众满意度90%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894920">
            <w:r>
              <w:rPr>
                <w:rFonts w:hint="eastAsia"/>
              </w:rPr>
              <w:t>90.00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13A908">
            <w:r>
              <w:rPr>
                <w:rFonts w:hint="eastAsia"/>
              </w:rPr>
              <w:t>90.00</w:t>
            </w:r>
          </w:p>
        </w:tc>
      </w:tr>
    </w:tbl>
    <w:p w14:paraId="57D5E103">
      <w:pPr>
        <w:ind w:firstLine="420" w:firstLineChars="200"/>
      </w:pPr>
      <w:r>
        <w:rPr>
          <w:rFonts w:hint="eastAsia"/>
        </w:rPr>
        <w:t>2.部门业务费绩效目标</w:t>
      </w:r>
    </w:p>
    <w:p w14:paraId="2BC38FC5">
      <w:pPr>
        <w:ind w:firstLine="420" w:firstLineChars="200"/>
      </w:pPr>
      <w:r>
        <w:rPr>
          <w:rFonts w:hint="eastAsia"/>
        </w:rPr>
        <w:t>表3  莆田市林业局2020年部门业务费绩效目标表     单位：万元</w:t>
      </w:r>
    </w:p>
    <w:tbl>
      <w:tblPr>
        <w:tblStyle w:val="17"/>
        <w:tblW w:w="0" w:type="auto"/>
        <w:tblInd w:w="0" w:type="dxa"/>
        <w:tblLayout w:type="fixed"/>
        <w:tblCellMar>
          <w:top w:w="0" w:type="dxa"/>
          <w:left w:w="0" w:type="dxa"/>
          <w:bottom w:w="0" w:type="dxa"/>
          <w:right w:w="0" w:type="dxa"/>
        </w:tblCellMar>
      </w:tblPr>
      <w:tblGrid>
        <w:gridCol w:w="589"/>
        <w:gridCol w:w="595"/>
        <w:gridCol w:w="995"/>
        <w:gridCol w:w="840"/>
        <w:gridCol w:w="771"/>
        <w:gridCol w:w="5007"/>
      </w:tblGrid>
      <w:tr w14:paraId="52626222">
        <w:tblPrEx>
          <w:tblCellMar>
            <w:top w:w="0" w:type="dxa"/>
            <w:left w:w="0" w:type="dxa"/>
            <w:bottom w:w="0" w:type="dxa"/>
            <w:right w:w="0" w:type="dxa"/>
          </w:tblCellMar>
        </w:tblPrEx>
        <w:trPr>
          <w:trHeight w:val="576" w:hRule="atLeast"/>
        </w:trPr>
        <w:tc>
          <w:tcPr>
            <w:tcW w:w="5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10C4A8">
            <w:r>
              <w:rPr>
                <w:rFonts w:hint="eastAsia"/>
              </w:rPr>
              <w:t>序号</w:t>
            </w:r>
          </w:p>
        </w:tc>
        <w:tc>
          <w:tcPr>
            <w:tcW w:w="5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D99E90">
            <w:pPr>
              <w:ind w:firstLine="420" w:firstLineChars="200"/>
            </w:pPr>
            <w:r>
              <w:rPr>
                <w:rFonts w:hint="eastAsia"/>
              </w:rPr>
              <w:t>预算</w:t>
            </w:r>
          </w:p>
          <w:p w14:paraId="459613C2">
            <w:pPr>
              <w:ind w:firstLine="420" w:firstLineChars="200"/>
            </w:pPr>
            <w:r>
              <w:rPr>
                <w:rFonts w:hint="eastAsia"/>
              </w:rPr>
              <w:t>单位</w:t>
            </w:r>
          </w:p>
        </w:tc>
        <w:tc>
          <w:tcPr>
            <w:tcW w:w="9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473AE8">
            <w:pPr>
              <w:ind w:firstLine="420" w:firstLineChars="200"/>
            </w:pPr>
            <w:r>
              <w:rPr>
                <w:rFonts w:hint="eastAsia"/>
              </w:rPr>
              <w:t>项目</w:t>
            </w:r>
          </w:p>
          <w:p w14:paraId="7D5F68F9">
            <w:pPr>
              <w:ind w:firstLine="420" w:firstLineChars="200"/>
            </w:pPr>
            <w:r>
              <w:rPr>
                <w:rFonts w:hint="eastAsia"/>
              </w:rPr>
              <w:t>名称</w:t>
            </w:r>
          </w:p>
        </w:tc>
        <w:tc>
          <w:tcPr>
            <w:tcW w:w="8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6CDDDE">
            <w:pPr>
              <w:ind w:firstLine="420" w:firstLineChars="200"/>
            </w:pPr>
            <w:r>
              <w:rPr>
                <w:rFonts w:hint="eastAsia"/>
              </w:rPr>
              <w:t>项目</w:t>
            </w:r>
          </w:p>
          <w:p w14:paraId="25D59865">
            <w:pPr>
              <w:ind w:firstLine="420" w:firstLineChars="200"/>
            </w:pPr>
            <w:r>
              <w:rPr>
                <w:rFonts w:hint="eastAsia"/>
              </w:rPr>
              <w:t>类别</w:t>
            </w:r>
          </w:p>
        </w:tc>
        <w:tc>
          <w:tcPr>
            <w:tcW w:w="7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1C72E5">
            <w:pPr>
              <w:ind w:firstLine="420" w:firstLineChars="200"/>
            </w:pPr>
            <w:r>
              <w:rPr>
                <w:rFonts w:hint="eastAsia"/>
              </w:rPr>
              <w:t>预算</w:t>
            </w:r>
          </w:p>
          <w:p w14:paraId="048BBDEE">
            <w:pPr>
              <w:ind w:firstLine="420" w:firstLineChars="200"/>
            </w:pPr>
            <w:r>
              <w:rPr>
                <w:rFonts w:hint="eastAsia"/>
              </w:rPr>
              <w:t>总额</w:t>
            </w:r>
          </w:p>
        </w:tc>
        <w:tc>
          <w:tcPr>
            <w:tcW w:w="50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1950D6">
            <w:r>
              <w:rPr>
                <w:rFonts w:hint="eastAsia"/>
              </w:rPr>
              <w:t>预期目标</w:t>
            </w:r>
          </w:p>
        </w:tc>
      </w:tr>
      <w:tr w14:paraId="48DAE559">
        <w:tblPrEx>
          <w:tblCellMar>
            <w:top w:w="0" w:type="dxa"/>
            <w:left w:w="0" w:type="dxa"/>
            <w:bottom w:w="0" w:type="dxa"/>
            <w:right w:w="0" w:type="dxa"/>
          </w:tblCellMar>
        </w:tblPrEx>
        <w:trPr>
          <w:trHeight w:val="968" w:hRule="atLeast"/>
        </w:trPr>
        <w:tc>
          <w:tcPr>
            <w:tcW w:w="5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BAF04D">
            <w:r>
              <w:rPr>
                <w:rFonts w:hint="eastAsia"/>
              </w:rPr>
              <w:t>1</w:t>
            </w:r>
          </w:p>
        </w:tc>
        <w:tc>
          <w:tcPr>
            <w:tcW w:w="5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C0E638">
            <w:r>
              <w:rPr>
                <w:rFonts w:hint="eastAsia"/>
              </w:rPr>
              <w:t>莆田市林业局本级</w:t>
            </w:r>
          </w:p>
        </w:tc>
        <w:tc>
          <w:tcPr>
            <w:tcW w:w="9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185068">
            <w:r>
              <w:rPr>
                <w:rFonts w:hint="eastAsia"/>
              </w:rPr>
              <w:t>造林绿化工作经费</w:t>
            </w:r>
          </w:p>
        </w:tc>
        <w:tc>
          <w:tcPr>
            <w:tcW w:w="8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D2A176">
            <w:r>
              <w:rPr>
                <w:rFonts w:hint="eastAsia"/>
              </w:rPr>
              <w:t>部门业务费</w:t>
            </w:r>
          </w:p>
        </w:tc>
        <w:tc>
          <w:tcPr>
            <w:tcW w:w="7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4B979C">
            <w:r>
              <w:rPr>
                <w:rFonts w:hint="eastAsia"/>
              </w:rPr>
              <w:t>26</w:t>
            </w:r>
          </w:p>
        </w:tc>
        <w:tc>
          <w:tcPr>
            <w:tcW w:w="50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4D81C2">
            <w:r>
              <w:rPr>
                <w:rFonts w:hint="eastAsia"/>
              </w:rPr>
              <w:t>根据省财政厅《关于下达中央财政育林基金减收补助资金的通知》（闽财预〔2012〕168号），每年下达市本级育林基金减收补助资金36万元用于弥补基层林业部门行政事业经费不足等相关支出，转为造林绿化工作经费使用，确保完成省政府下达造林绿化和森林经营任务。</w:t>
            </w:r>
          </w:p>
        </w:tc>
      </w:tr>
      <w:tr w14:paraId="616EE866">
        <w:tblPrEx>
          <w:tblCellMar>
            <w:top w:w="0" w:type="dxa"/>
            <w:left w:w="0" w:type="dxa"/>
            <w:bottom w:w="0" w:type="dxa"/>
            <w:right w:w="0" w:type="dxa"/>
          </w:tblCellMar>
        </w:tblPrEx>
        <w:trPr>
          <w:trHeight w:val="968" w:hRule="atLeast"/>
        </w:trPr>
        <w:tc>
          <w:tcPr>
            <w:tcW w:w="58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EAB4D1">
            <w:r>
              <w:rPr>
                <w:rFonts w:hint="eastAsia"/>
              </w:rPr>
              <w:t>2</w:t>
            </w:r>
          </w:p>
        </w:tc>
        <w:tc>
          <w:tcPr>
            <w:tcW w:w="5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0211A3">
            <w:r>
              <w:rPr>
                <w:rFonts w:hint="eastAsia"/>
              </w:rPr>
              <w:t>莆田市林业局本级</w:t>
            </w:r>
          </w:p>
        </w:tc>
        <w:tc>
          <w:tcPr>
            <w:tcW w:w="9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AE6F3B">
            <w:r>
              <w:rPr>
                <w:rFonts w:hint="eastAsia"/>
              </w:rPr>
              <w:t>森林火灾扑救及防火业务经费</w:t>
            </w:r>
          </w:p>
        </w:tc>
        <w:tc>
          <w:tcPr>
            <w:tcW w:w="84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EA4BAD">
            <w:r>
              <w:rPr>
                <w:rFonts w:hint="eastAsia"/>
              </w:rPr>
              <w:t>部门业务费</w:t>
            </w:r>
          </w:p>
        </w:tc>
        <w:tc>
          <w:tcPr>
            <w:tcW w:w="77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02C98B">
            <w:r>
              <w:rPr>
                <w:rFonts w:hint="eastAsia"/>
              </w:rPr>
              <w:t>60</w:t>
            </w:r>
          </w:p>
        </w:tc>
        <w:tc>
          <w:tcPr>
            <w:tcW w:w="500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686240">
            <w:r>
              <w:rPr>
                <w:rFonts w:hint="eastAsia"/>
              </w:rPr>
              <w:t>加强森林消防队伍建设，提高扑救森林火灾扑救能力，督促检查森林防火责任制执行情况、落实森林防火宣传教育和值班值守工作。森林防火宣传督查工作2次，全市全年森林火灾发生率控制在0.8‰以下，全民森林防火知晓率达80%。</w:t>
            </w:r>
          </w:p>
        </w:tc>
      </w:tr>
      <w:tr w14:paraId="09E4E62D">
        <w:tblPrEx>
          <w:tblCellMar>
            <w:top w:w="0" w:type="dxa"/>
            <w:left w:w="0" w:type="dxa"/>
            <w:bottom w:w="0" w:type="dxa"/>
            <w:right w:w="0" w:type="dxa"/>
          </w:tblCellMar>
        </w:tblPrEx>
        <w:trPr>
          <w:trHeight w:val="359" w:hRule="atLeast"/>
        </w:trPr>
        <w:tc>
          <w:tcPr>
            <w:tcW w:w="58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B87459"/>
        </w:tc>
        <w:tc>
          <w:tcPr>
            <w:tcW w:w="5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9CFB88"/>
        </w:tc>
        <w:tc>
          <w:tcPr>
            <w:tcW w:w="9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F5D306"/>
        </w:tc>
        <w:tc>
          <w:tcPr>
            <w:tcW w:w="8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289258"/>
        </w:tc>
        <w:tc>
          <w:tcPr>
            <w:tcW w:w="7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010CA7"/>
        </w:tc>
        <w:tc>
          <w:tcPr>
            <w:tcW w:w="500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850239"/>
        </w:tc>
      </w:tr>
      <w:tr w14:paraId="07F8AAA2">
        <w:tblPrEx>
          <w:tblCellMar>
            <w:top w:w="0" w:type="dxa"/>
            <w:left w:w="0" w:type="dxa"/>
            <w:bottom w:w="0" w:type="dxa"/>
            <w:right w:w="0" w:type="dxa"/>
          </w:tblCellMar>
        </w:tblPrEx>
        <w:trPr>
          <w:trHeight w:val="444" w:hRule="atLeast"/>
        </w:trPr>
        <w:tc>
          <w:tcPr>
            <w:tcW w:w="589"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14:paraId="1E4D044F">
            <w:r>
              <w:rPr>
                <w:rFonts w:hint="eastAsia"/>
              </w:rPr>
              <w:t>3</w:t>
            </w:r>
          </w:p>
        </w:tc>
        <w:tc>
          <w:tcPr>
            <w:tcW w:w="595"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14:paraId="3C27D1E9">
            <w:r>
              <w:rPr>
                <w:rFonts w:hint="eastAsia"/>
              </w:rPr>
              <w:t>莆田市林业局本级</w:t>
            </w:r>
          </w:p>
        </w:tc>
        <w:tc>
          <w:tcPr>
            <w:tcW w:w="995"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14:paraId="1E113DAE">
            <w:r>
              <w:rPr>
                <w:rFonts w:hint="eastAsia"/>
              </w:rPr>
              <w:t>森林资源监测管理经费</w:t>
            </w:r>
          </w:p>
        </w:tc>
        <w:tc>
          <w:tcPr>
            <w:tcW w:w="84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813969">
            <w:r>
              <w:rPr>
                <w:rFonts w:hint="eastAsia"/>
              </w:rPr>
              <w:t>部门业务费</w:t>
            </w:r>
          </w:p>
        </w:tc>
        <w:tc>
          <w:tcPr>
            <w:tcW w:w="77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2F0801">
            <w:r>
              <w:rPr>
                <w:rFonts w:hint="eastAsia"/>
              </w:rPr>
              <w:t>20.86</w:t>
            </w:r>
          </w:p>
        </w:tc>
        <w:tc>
          <w:tcPr>
            <w:tcW w:w="500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6F7445">
            <w:r>
              <w:rPr>
                <w:rFonts w:hint="eastAsia"/>
              </w:rPr>
              <w:t>组织对县（区）政府（管委会）森林资源目标责任制考核评估和通报、年度森林资源数据更新（二类调查）和林地变更调查市级检查、森林督查市级检查、“十四五”期间森林采伐限额编制、集体林地承包经营纠纷调处、“多规合一”资源数据整理和地国服务发布等相关工作。完成全市第四次二类调查工作，市级质量检查经费和工作经费由市级财政预算安排，质量检查采用购买服务形式，委托中介组织实施；约束性指标纳入各级政府任期目标考核，对指标完成情况，实行年度抽查通报，考核采用政府购买服务形式，委托中介组织实施。全市森林覆盖率达59.74%以上。</w:t>
            </w:r>
          </w:p>
        </w:tc>
      </w:tr>
      <w:tr w14:paraId="05CDFC9F">
        <w:tblPrEx>
          <w:tblCellMar>
            <w:top w:w="0" w:type="dxa"/>
            <w:left w:w="0" w:type="dxa"/>
            <w:bottom w:w="0" w:type="dxa"/>
            <w:right w:w="0" w:type="dxa"/>
          </w:tblCellMar>
        </w:tblPrEx>
        <w:trPr>
          <w:trHeight w:val="790" w:hRule="atLeast"/>
        </w:trPr>
        <w:tc>
          <w:tcPr>
            <w:tcW w:w="589"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14:paraId="4DEBDBC9"/>
        </w:tc>
        <w:tc>
          <w:tcPr>
            <w:tcW w:w="59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14:paraId="1D2008A8"/>
        </w:tc>
        <w:tc>
          <w:tcPr>
            <w:tcW w:w="99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14:paraId="32F2E6B1"/>
        </w:tc>
        <w:tc>
          <w:tcPr>
            <w:tcW w:w="8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9A54ED"/>
        </w:tc>
        <w:tc>
          <w:tcPr>
            <w:tcW w:w="7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5F2BFA"/>
        </w:tc>
        <w:tc>
          <w:tcPr>
            <w:tcW w:w="500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9B82EC"/>
        </w:tc>
      </w:tr>
      <w:tr w14:paraId="6C3A9F9A">
        <w:tblPrEx>
          <w:tblCellMar>
            <w:top w:w="0" w:type="dxa"/>
            <w:left w:w="0" w:type="dxa"/>
            <w:bottom w:w="0" w:type="dxa"/>
            <w:right w:w="0" w:type="dxa"/>
          </w:tblCellMar>
        </w:tblPrEx>
        <w:trPr>
          <w:trHeight w:val="2112" w:hRule="atLeast"/>
        </w:trPr>
        <w:tc>
          <w:tcPr>
            <w:tcW w:w="589"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14:paraId="1FD00266"/>
        </w:tc>
        <w:tc>
          <w:tcPr>
            <w:tcW w:w="59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14:paraId="7B2E1C57"/>
        </w:tc>
        <w:tc>
          <w:tcPr>
            <w:tcW w:w="99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14:paraId="73F74643"/>
        </w:tc>
        <w:tc>
          <w:tcPr>
            <w:tcW w:w="8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300F1B"/>
        </w:tc>
        <w:tc>
          <w:tcPr>
            <w:tcW w:w="7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03BC55"/>
        </w:tc>
        <w:tc>
          <w:tcPr>
            <w:tcW w:w="500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5D7E01"/>
        </w:tc>
      </w:tr>
      <w:tr w14:paraId="5E6CE172">
        <w:tblPrEx>
          <w:tblCellMar>
            <w:top w:w="0" w:type="dxa"/>
            <w:left w:w="0" w:type="dxa"/>
            <w:bottom w:w="0" w:type="dxa"/>
            <w:right w:w="0" w:type="dxa"/>
          </w:tblCellMar>
        </w:tblPrEx>
        <w:trPr>
          <w:trHeight w:val="410" w:hRule="atLeast"/>
        </w:trPr>
        <w:tc>
          <w:tcPr>
            <w:tcW w:w="58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BCE51F">
            <w:r>
              <w:rPr>
                <w:rFonts w:hint="eastAsia"/>
              </w:rPr>
              <w:t>4</w:t>
            </w:r>
          </w:p>
        </w:tc>
        <w:tc>
          <w:tcPr>
            <w:tcW w:w="5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28EC56">
            <w:r>
              <w:rPr>
                <w:rFonts w:hint="eastAsia"/>
              </w:rPr>
              <w:t>莆田市森林公安局</w:t>
            </w:r>
          </w:p>
        </w:tc>
        <w:tc>
          <w:tcPr>
            <w:tcW w:w="9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2EAB39">
            <w:r>
              <w:rPr>
                <w:rFonts w:hint="eastAsia"/>
              </w:rPr>
              <w:t>队伍规范化建设经费</w:t>
            </w:r>
          </w:p>
        </w:tc>
        <w:tc>
          <w:tcPr>
            <w:tcW w:w="84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3CB9A8">
            <w:r>
              <w:rPr>
                <w:rFonts w:hint="eastAsia"/>
              </w:rPr>
              <w:t>部门业务费</w:t>
            </w:r>
          </w:p>
        </w:tc>
        <w:tc>
          <w:tcPr>
            <w:tcW w:w="77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D3D574">
            <w:r>
              <w:rPr>
                <w:rFonts w:hint="eastAsia"/>
              </w:rPr>
              <w:t>51</w:t>
            </w:r>
          </w:p>
        </w:tc>
        <w:tc>
          <w:tcPr>
            <w:tcW w:w="500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92AF4E">
            <w:r>
              <w:rPr>
                <w:rFonts w:hint="eastAsia"/>
              </w:rPr>
              <w:t>落实暖警工程，按时发放在职民警岗位津补贴及协勤人员工资待遇，提高队伍工作积极性；加强业务及警务技能培训，提高队伍整体素质；及时发放年度立功受奖奖金，加强党建及队伍教育整顿工作，开展警营文化建设，确保队伍稳定，促进队伍正规化建设。</w:t>
            </w:r>
          </w:p>
        </w:tc>
      </w:tr>
      <w:tr w14:paraId="57F7E24A">
        <w:tblPrEx>
          <w:tblCellMar>
            <w:top w:w="0" w:type="dxa"/>
            <w:left w:w="0" w:type="dxa"/>
            <w:bottom w:w="0" w:type="dxa"/>
            <w:right w:w="0" w:type="dxa"/>
          </w:tblCellMar>
        </w:tblPrEx>
        <w:trPr>
          <w:trHeight w:val="331" w:hRule="atLeast"/>
        </w:trPr>
        <w:tc>
          <w:tcPr>
            <w:tcW w:w="58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83DFBB"/>
        </w:tc>
        <w:tc>
          <w:tcPr>
            <w:tcW w:w="5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500163"/>
        </w:tc>
        <w:tc>
          <w:tcPr>
            <w:tcW w:w="9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7E32D6"/>
        </w:tc>
        <w:tc>
          <w:tcPr>
            <w:tcW w:w="8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A9263F"/>
        </w:tc>
        <w:tc>
          <w:tcPr>
            <w:tcW w:w="7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A61DC1"/>
        </w:tc>
        <w:tc>
          <w:tcPr>
            <w:tcW w:w="500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26A92F"/>
        </w:tc>
      </w:tr>
      <w:tr w14:paraId="66883093">
        <w:tblPrEx>
          <w:tblCellMar>
            <w:top w:w="0" w:type="dxa"/>
            <w:left w:w="0" w:type="dxa"/>
            <w:bottom w:w="0" w:type="dxa"/>
            <w:right w:w="0" w:type="dxa"/>
          </w:tblCellMar>
        </w:tblPrEx>
        <w:trPr>
          <w:trHeight w:val="437" w:hRule="atLeast"/>
        </w:trPr>
        <w:tc>
          <w:tcPr>
            <w:tcW w:w="58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2D97C5"/>
        </w:tc>
        <w:tc>
          <w:tcPr>
            <w:tcW w:w="5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CEEBB6"/>
        </w:tc>
        <w:tc>
          <w:tcPr>
            <w:tcW w:w="9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E5372D"/>
        </w:tc>
        <w:tc>
          <w:tcPr>
            <w:tcW w:w="8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25D9A4"/>
        </w:tc>
        <w:tc>
          <w:tcPr>
            <w:tcW w:w="7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001646"/>
        </w:tc>
        <w:tc>
          <w:tcPr>
            <w:tcW w:w="500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5C150B"/>
        </w:tc>
      </w:tr>
      <w:tr w14:paraId="171A2F90">
        <w:tblPrEx>
          <w:tblCellMar>
            <w:top w:w="0" w:type="dxa"/>
            <w:left w:w="0" w:type="dxa"/>
            <w:bottom w:w="0" w:type="dxa"/>
            <w:right w:w="0" w:type="dxa"/>
          </w:tblCellMar>
        </w:tblPrEx>
        <w:trPr>
          <w:trHeight w:val="550" w:hRule="atLeast"/>
        </w:trPr>
        <w:tc>
          <w:tcPr>
            <w:tcW w:w="58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5199E3">
            <w:r>
              <w:rPr>
                <w:rFonts w:hint="eastAsia"/>
              </w:rPr>
              <w:t>5</w:t>
            </w:r>
          </w:p>
        </w:tc>
        <w:tc>
          <w:tcPr>
            <w:tcW w:w="5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354E08">
            <w:r>
              <w:rPr>
                <w:rFonts w:hint="eastAsia"/>
              </w:rPr>
              <w:t>莆田市森林公安局</w:t>
            </w:r>
          </w:p>
        </w:tc>
        <w:tc>
          <w:tcPr>
            <w:tcW w:w="9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4463AB">
            <w:r>
              <w:rPr>
                <w:rFonts w:hint="eastAsia"/>
              </w:rPr>
              <w:t>办案专项经费</w:t>
            </w:r>
          </w:p>
        </w:tc>
        <w:tc>
          <w:tcPr>
            <w:tcW w:w="84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843371">
            <w:r>
              <w:rPr>
                <w:rFonts w:hint="eastAsia"/>
              </w:rPr>
              <w:t>部门业务费</w:t>
            </w:r>
          </w:p>
        </w:tc>
        <w:tc>
          <w:tcPr>
            <w:tcW w:w="77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02BA40">
            <w:r>
              <w:rPr>
                <w:rFonts w:hint="eastAsia"/>
              </w:rPr>
              <w:t>15</w:t>
            </w:r>
          </w:p>
        </w:tc>
        <w:tc>
          <w:tcPr>
            <w:tcW w:w="500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18F792">
            <w:r>
              <w:rPr>
                <w:rFonts w:hint="eastAsia"/>
              </w:rPr>
              <w:t>年内开展不低于6次的集中专项行动，集中解决涉林犯罪突出问题；开展追逃行动，争取在逃人数下降50%；加强与兄弟单位警务合作工作，做到信息研判互通，形成打击合力；认真细致做好涉林信访工作，信访件办结率达90%以上。确保林区治安稳定，生态环境持续好转，促进莆田林业经济发展。</w:t>
            </w:r>
          </w:p>
        </w:tc>
      </w:tr>
      <w:tr w14:paraId="37D1FBA9">
        <w:tblPrEx>
          <w:tblCellMar>
            <w:top w:w="0" w:type="dxa"/>
            <w:left w:w="0" w:type="dxa"/>
            <w:bottom w:w="0" w:type="dxa"/>
            <w:right w:w="0" w:type="dxa"/>
          </w:tblCellMar>
        </w:tblPrEx>
        <w:trPr>
          <w:trHeight w:val="375" w:hRule="atLeast"/>
        </w:trPr>
        <w:tc>
          <w:tcPr>
            <w:tcW w:w="58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C1ECFD"/>
        </w:tc>
        <w:tc>
          <w:tcPr>
            <w:tcW w:w="5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D1CBC7"/>
        </w:tc>
        <w:tc>
          <w:tcPr>
            <w:tcW w:w="9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D693F7"/>
        </w:tc>
        <w:tc>
          <w:tcPr>
            <w:tcW w:w="8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86BEFB"/>
        </w:tc>
        <w:tc>
          <w:tcPr>
            <w:tcW w:w="7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8B7A83"/>
        </w:tc>
        <w:tc>
          <w:tcPr>
            <w:tcW w:w="500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AD1EEF"/>
        </w:tc>
      </w:tr>
      <w:tr w14:paraId="6F557CA6">
        <w:tblPrEx>
          <w:tblCellMar>
            <w:top w:w="0" w:type="dxa"/>
            <w:left w:w="0" w:type="dxa"/>
            <w:bottom w:w="0" w:type="dxa"/>
            <w:right w:w="0" w:type="dxa"/>
          </w:tblCellMar>
        </w:tblPrEx>
        <w:trPr>
          <w:trHeight w:val="684" w:hRule="atLeast"/>
        </w:trPr>
        <w:tc>
          <w:tcPr>
            <w:tcW w:w="58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97AF15"/>
        </w:tc>
        <w:tc>
          <w:tcPr>
            <w:tcW w:w="5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8726A6"/>
        </w:tc>
        <w:tc>
          <w:tcPr>
            <w:tcW w:w="9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2A90FF"/>
        </w:tc>
        <w:tc>
          <w:tcPr>
            <w:tcW w:w="8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CD7DD5"/>
        </w:tc>
        <w:tc>
          <w:tcPr>
            <w:tcW w:w="7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31C5FD"/>
        </w:tc>
        <w:tc>
          <w:tcPr>
            <w:tcW w:w="500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AE9C08"/>
        </w:tc>
      </w:tr>
      <w:tr w14:paraId="7DF62CC8">
        <w:tblPrEx>
          <w:tblCellMar>
            <w:top w:w="0" w:type="dxa"/>
            <w:left w:w="0" w:type="dxa"/>
            <w:bottom w:w="0" w:type="dxa"/>
            <w:right w:w="0" w:type="dxa"/>
          </w:tblCellMar>
        </w:tblPrEx>
        <w:trPr>
          <w:trHeight w:val="420" w:hRule="atLeast"/>
        </w:trPr>
        <w:tc>
          <w:tcPr>
            <w:tcW w:w="5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BEE1E4">
            <w:r>
              <w:rPr>
                <w:rFonts w:hint="eastAsia"/>
              </w:rPr>
              <w:t>6</w:t>
            </w:r>
          </w:p>
        </w:tc>
        <w:tc>
          <w:tcPr>
            <w:tcW w:w="5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1AB70D">
            <w:r>
              <w:rPr>
                <w:rFonts w:hint="eastAsia"/>
              </w:rPr>
              <w:t>莆田市森林公安局</w:t>
            </w:r>
          </w:p>
        </w:tc>
        <w:tc>
          <w:tcPr>
            <w:tcW w:w="9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EC2DD7">
            <w:r>
              <w:rPr>
                <w:rFonts w:hint="eastAsia"/>
              </w:rPr>
              <w:t>象牙保管经费</w:t>
            </w:r>
          </w:p>
        </w:tc>
        <w:tc>
          <w:tcPr>
            <w:tcW w:w="8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6E2440">
            <w:r>
              <w:rPr>
                <w:rFonts w:hint="eastAsia"/>
              </w:rPr>
              <w:t>部门业务费</w:t>
            </w:r>
          </w:p>
        </w:tc>
        <w:tc>
          <w:tcPr>
            <w:tcW w:w="7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5301B8">
            <w:r>
              <w:rPr>
                <w:rFonts w:hint="eastAsia"/>
              </w:rPr>
              <w:t>10</w:t>
            </w:r>
          </w:p>
        </w:tc>
        <w:tc>
          <w:tcPr>
            <w:tcW w:w="50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64C7B2">
            <w:r>
              <w:rPr>
                <w:rFonts w:hint="eastAsia"/>
              </w:rPr>
              <w:t>案件查没及暂扣象牙及其制品完好无损，确保上缴国库涉案财物不遗失、不损坏；规范森林公安执法行为。</w:t>
            </w:r>
          </w:p>
        </w:tc>
      </w:tr>
      <w:tr w14:paraId="0E259B12">
        <w:tblPrEx>
          <w:tblCellMar>
            <w:top w:w="0" w:type="dxa"/>
            <w:left w:w="0" w:type="dxa"/>
            <w:bottom w:w="0" w:type="dxa"/>
            <w:right w:w="0" w:type="dxa"/>
          </w:tblCellMar>
        </w:tblPrEx>
        <w:trPr>
          <w:trHeight w:val="90" w:hRule="atLeast"/>
        </w:trPr>
        <w:tc>
          <w:tcPr>
            <w:tcW w:w="58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58258DF">
            <w:r>
              <w:rPr>
                <w:rFonts w:hint="eastAsia"/>
              </w:rPr>
              <w:t>7</w:t>
            </w:r>
          </w:p>
        </w:tc>
        <w:tc>
          <w:tcPr>
            <w:tcW w:w="5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0F71E94">
            <w:r>
              <w:rPr>
                <w:rFonts w:hint="eastAsia"/>
              </w:rPr>
              <w:t>莆田市林业局本级</w:t>
            </w:r>
          </w:p>
        </w:tc>
        <w:tc>
          <w:tcPr>
            <w:tcW w:w="9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82B62DB">
            <w:r>
              <w:rPr>
                <w:rFonts w:hint="eastAsia"/>
              </w:rPr>
              <w:t>林木种质资源普查市级配套经费</w:t>
            </w:r>
          </w:p>
        </w:tc>
        <w:tc>
          <w:tcPr>
            <w:tcW w:w="8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5FF7885">
            <w:r>
              <w:rPr>
                <w:rFonts w:hint="eastAsia"/>
              </w:rPr>
              <w:t>部门业务费</w:t>
            </w:r>
          </w:p>
        </w:tc>
        <w:tc>
          <w:tcPr>
            <w:tcW w:w="7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EC3F5A0">
            <w:r>
              <w:rPr>
                <w:rFonts w:hint="eastAsia"/>
              </w:rPr>
              <w:t>73</w:t>
            </w:r>
          </w:p>
        </w:tc>
        <w:tc>
          <w:tcPr>
            <w:tcW w:w="500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254D013">
            <w:r>
              <w:rPr>
                <w:rFonts w:hint="eastAsia"/>
              </w:rPr>
              <w:t>查清区域内林业植物资源种类、数量分布等情况。</w:t>
            </w:r>
          </w:p>
        </w:tc>
      </w:tr>
      <w:tr w14:paraId="32CDE494">
        <w:tblPrEx>
          <w:tblCellMar>
            <w:top w:w="0" w:type="dxa"/>
            <w:left w:w="0" w:type="dxa"/>
            <w:bottom w:w="0" w:type="dxa"/>
            <w:right w:w="0" w:type="dxa"/>
          </w:tblCellMar>
        </w:tblPrEx>
        <w:trPr>
          <w:trHeight w:val="90" w:hRule="atLeast"/>
        </w:trPr>
        <w:tc>
          <w:tcPr>
            <w:tcW w:w="58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44E2EC9">
            <w:r>
              <w:rPr>
                <w:rFonts w:hint="eastAsia"/>
              </w:rPr>
              <w:t>8</w:t>
            </w:r>
          </w:p>
        </w:tc>
        <w:tc>
          <w:tcPr>
            <w:tcW w:w="5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8503044">
            <w:r>
              <w:rPr>
                <w:rFonts w:hint="eastAsia"/>
              </w:rPr>
              <w:t>莆田市林业局本级</w:t>
            </w:r>
          </w:p>
        </w:tc>
        <w:tc>
          <w:tcPr>
            <w:tcW w:w="9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632D351">
            <w:r>
              <w:rPr>
                <w:rFonts w:hint="eastAsia"/>
              </w:rPr>
              <w:t>景观带及凤凰山景区运行整治费</w:t>
            </w:r>
          </w:p>
        </w:tc>
        <w:tc>
          <w:tcPr>
            <w:tcW w:w="8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9C9488F">
            <w:r>
              <w:rPr>
                <w:rFonts w:hint="eastAsia"/>
              </w:rPr>
              <w:t>部门业务费</w:t>
            </w:r>
          </w:p>
        </w:tc>
        <w:tc>
          <w:tcPr>
            <w:tcW w:w="7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E3F5CC7">
            <w:r>
              <w:rPr>
                <w:rFonts w:hint="eastAsia"/>
              </w:rPr>
              <w:t>25</w:t>
            </w:r>
          </w:p>
        </w:tc>
        <w:tc>
          <w:tcPr>
            <w:tcW w:w="500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500F0D2">
            <w:r>
              <w:rPr>
                <w:rFonts w:hint="eastAsia"/>
              </w:rPr>
              <w:t>景观带及凤凰山景区运行整治费主要用于： 1、景区整治维护修缮等费用； 2、景区警示、宣传标语等制作安装； 3、景区巡查； 4、景区安全生产月活动、法律法规宣传活动等；全年完成开展景区安全检查10次以上，景区配套设施建设和维护8平方公里，景区病虫害防治面积4.5平方公里，全年开展景区安全法律法规宣传6场。</w:t>
            </w:r>
          </w:p>
        </w:tc>
      </w:tr>
      <w:tr w14:paraId="6E83F6DD">
        <w:tblPrEx>
          <w:tblCellMar>
            <w:top w:w="0" w:type="dxa"/>
            <w:left w:w="0" w:type="dxa"/>
            <w:bottom w:w="0" w:type="dxa"/>
            <w:right w:w="0" w:type="dxa"/>
          </w:tblCellMar>
        </w:tblPrEx>
        <w:trPr>
          <w:trHeight w:val="90" w:hRule="atLeast"/>
        </w:trPr>
        <w:tc>
          <w:tcPr>
            <w:tcW w:w="58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ED4B024">
            <w:r>
              <w:rPr>
                <w:rFonts w:hint="eastAsia"/>
              </w:rPr>
              <w:t>合计</w:t>
            </w:r>
          </w:p>
        </w:tc>
        <w:tc>
          <w:tcPr>
            <w:tcW w:w="5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15F547F">
            <w:r>
              <w:rPr>
                <w:rFonts w:hint="eastAsia"/>
              </w:rPr>
              <w:t>——</w:t>
            </w:r>
          </w:p>
        </w:tc>
        <w:tc>
          <w:tcPr>
            <w:tcW w:w="9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CA0853F">
            <w:r>
              <w:rPr>
                <w:rFonts w:hint="eastAsia"/>
              </w:rPr>
              <w:t>——</w:t>
            </w:r>
          </w:p>
        </w:tc>
        <w:tc>
          <w:tcPr>
            <w:tcW w:w="8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E180AFB">
            <w:r>
              <w:rPr>
                <w:rFonts w:hint="eastAsia"/>
              </w:rPr>
              <w:t>——</w:t>
            </w:r>
          </w:p>
        </w:tc>
        <w:tc>
          <w:tcPr>
            <w:tcW w:w="7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C07B172">
            <w:r>
              <w:rPr>
                <w:rFonts w:hint="eastAsia"/>
              </w:rPr>
              <w:t>280.86</w:t>
            </w:r>
          </w:p>
        </w:tc>
        <w:tc>
          <w:tcPr>
            <w:tcW w:w="500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6485D2A">
            <w:r>
              <w:rPr>
                <w:rFonts w:hint="eastAsia"/>
              </w:rPr>
              <w:t>——</w:t>
            </w:r>
          </w:p>
        </w:tc>
      </w:tr>
    </w:tbl>
    <w:p w14:paraId="62C5FFB6">
      <w:pPr>
        <w:ind w:firstLine="420" w:firstLineChars="200"/>
      </w:pPr>
      <w:r>
        <w:rPr>
          <w:rFonts w:hint="eastAsia"/>
        </w:rPr>
        <w:t>3.部门项目资金绩效目标</w:t>
      </w:r>
    </w:p>
    <w:tbl>
      <w:tblPr>
        <w:tblStyle w:val="17"/>
        <w:tblW w:w="0" w:type="auto"/>
        <w:tblInd w:w="0" w:type="dxa"/>
        <w:tblLayout w:type="fixed"/>
        <w:tblCellMar>
          <w:top w:w="0" w:type="dxa"/>
          <w:left w:w="0" w:type="dxa"/>
          <w:bottom w:w="0" w:type="dxa"/>
          <w:right w:w="0" w:type="dxa"/>
        </w:tblCellMar>
      </w:tblPr>
      <w:tblGrid>
        <w:gridCol w:w="815"/>
        <w:gridCol w:w="784"/>
        <w:gridCol w:w="1263"/>
        <w:gridCol w:w="1138"/>
        <w:gridCol w:w="1206"/>
        <w:gridCol w:w="3632"/>
      </w:tblGrid>
      <w:tr w14:paraId="7DF89C1F">
        <w:tblPrEx>
          <w:tblCellMar>
            <w:top w:w="0" w:type="dxa"/>
            <w:left w:w="0" w:type="dxa"/>
            <w:bottom w:w="0" w:type="dxa"/>
            <w:right w:w="0" w:type="dxa"/>
          </w:tblCellMar>
        </w:tblPrEx>
        <w:trPr>
          <w:trHeight w:val="321" w:hRule="atLeast"/>
        </w:trPr>
        <w:tc>
          <w:tcPr>
            <w:tcW w:w="8838" w:type="dxa"/>
            <w:gridSpan w:val="6"/>
            <w:tcBorders>
              <w:top w:val="nil"/>
              <w:left w:val="nil"/>
              <w:bottom w:val="nil"/>
              <w:right w:val="nil"/>
            </w:tcBorders>
            <w:noWrap/>
            <w:tcMar>
              <w:top w:w="10" w:type="dxa"/>
              <w:left w:w="10" w:type="dxa"/>
              <w:right w:w="10" w:type="dxa"/>
            </w:tcMar>
            <w:vAlign w:val="center"/>
          </w:tcPr>
          <w:p w14:paraId="41FCDB58">
            <w:r>
              <w:rPr>
                <w:rFonts w:hint="eastAsia"/>
              </w:rPr>
              <w:t>表4 莆田市林业局2020年项目绩效评价明细表          单位：万元</w:t>
            </w:r>
          </w:p>
        </w:tc>
      </w:tr>
      <w:tr w14:paraId="365D6907">
        <w:tblPrEx>
          <w:tblCellMar>
            <w:top w:w="0" w:type="dxa"/>
            <w:left w:w="0" w:type="dxa"/>
            <w:bottom w:w="0" w:type="dxa"/>
            <w:right w:w="0" w:type="dxa"/>
          </w:tblCellMar>
        </w:tblPrEx>
        <w:trPr>
          <w:trHeight w:val="552"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C350C9">
            <w:r>
              <w:rPr>
                <w:rFonts w:hint="eastAsia"/>
              </w:rPr>
              <w:t>序号</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1767D4">
            <w:pPr>
              <w:ind w:firstLine="420" w:firstLineChars="200"/>
            </w:pPr>
            <w:r>
              <w:rPr>
                <w:rFonts w:hint="eastAsia"/>
              </w:rPr>
              <w:t>预算</w:t>
            </w:r>
          </w:p>
          <w:p w14:paraId="5982A13D">
            <w:pPr>
              <w:ind w:firstLine="420" w:firstLineChars="200"/>
            </w:pPr>
            <w:r>
              <w:rPr>
                <w:rFonts w:hint="eastAsia"/>
              </w:rPr>
              <w:t>单位</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6F3EAF">
            <w:r>
              <w:rPr>
                <w:rFonts w:hint="eastAsia"/>
              </w:rPr>
              <w:t>项目名称</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C79181">
            <w:r>
              <w:rPr>
                <w:rFonts w:hint="eastAsia"/>
              </w:rPr>
              <w:t>项目类别</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E067EE">
            <w:pPr>
              <w:ind w:firstLine="420" w:firstLineChars="200"/>
            </w:pPr>
            <w:r>
              <w:rPr>
                <w:rFonts w:hint="eastAsia"/>
              </w:rPr>
              <w:t>预算</w:t>
            </w:r>
          </w:p>
          <w:p w14:paraId="5326049F">
            <w:pPr>
              <w:ind w:firstLine="420" w:firstLineChars="200"/>
            </w:pPr>
            <w:r>
              <w:rPr>
                <w:rFonts w:hint="eastAsia"/>
              </w:rPr>
              <w:t>总额</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E8C645">
            <w:r>
              <w:rPr>
                <w:rFonts w:hint="eastAsia"/>
              </w:rPr>
              <w:t>预期目标</w:t>
            </w:r>
          </w:p>
        </w:tc>
      </w:tr>
      <w:tr w14:paraId="4EFEA31E">
        <w:tblPrEx>
          <w:tblCellMar>
            <w:top w:w="0" w:type="dxa"/>
            <w:left w:w="0" w:type="dxa"/>
            <w:bottom w:w="0" w:type="dxa"/>
            <w:right w:w="0" w:type="dxa"/>
          </w:tblCellMar>
        </w:tblPrEx>
        <w:trPr>
          <w:trHeight w:val="312"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AB1E6B"/>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415A89"/>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2F1725"/>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BC0CC3"/>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E28617"/>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C7F64D"/>
        </w:tc>
      </w:tr>
      <w:tr w14:paraId="11718942">
        <w:tblPrEx>
          <w:tblCellMar>
            <w:top w:w="0" w:type="dxa"/>
            <w:left w:w="0" w:type="dxa"/>
            <w:bottom w:w="0" w:type="dxa"/>
            <w:right w:w="0" w:type="dxa"/>
          </w:tblCellMar>
        </w:tblPrEx>
        <w:trPr>
          <w:trHeight w:val="704"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4F7C58">
            <w:r>
              <w:rPr>
                <w:rFonts w:hint="eastAsia"/>
              </w:rPr>
              <w:t>1</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95C3C4">
            <w:r>
              <w:rPr>
                <w:rFonts w:hint="eastAsia"/>
              </w:rPr>
              <w:t>莆田市林业局本级</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14FBD9">
            <w:r>
              <w:rPr>
                <w:rFonts w:hint="eastAsia"/>
              </w:rPr>
              <w:t>林业有害生物防控经费</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62AAF1">
            <w:r>
              <w:rPr>
                <w:rFonts w:hint="eastAsia"/>
              </w:rPr>
              <w:t>市级财政专项资金</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49CE86">
            <w:r>
              <w:rPr>
                <w:rFonts w:hint="eastAsia"/>
              </w:rPr>
              <w:t>355</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7C5E02">
            <w:r>
              <w:rPr>
                <w:rFonts w:hint="eastAsia"/>
              </w:rPr>
              <w:t>通过开展林业植物检疫执法和督查检查，督促全市各地对松材线虫病等重大林业有害生物的防控，切实完成省级下达的年度防控目标任务。</w:t>
            </w:r>
          </w:p>
        </w:tc>
      </w:tr>
      <w:tr w14:paraId="0D4B63BF">
        <w:tblPrEx>
          <w:tblCellMar>
            <w:top w:w="0" w:type="dxa"/>
            <w:left w:w="0" w:type="dxa"/>
            <w:bottom w:w="0" w:type="dxa"/>
            <w:right w:w="0" w:type="dxa"/>
          </w:tblCellMar>
        </w:tblPrEx>
        <w:trPr>
          <w:trHeight w:val="312"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55D5EC"/>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A5262A"/>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2EA23E"/>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1CD810"/>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0D8914"/>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A4F715"/>
        </w:tc>
      </w:tr>
      <w:tr w14:paraId="6E88E46C">
        <w:tblPrEx>
          <w:tblCellMar>
            <w:top w:w="0" w:type="dxa"/>
            <w:left w:w="0" w:type="dxa"/>
            <w:bottom w:w="0" w:type="dxa"/>
            <w:right w:w="0" w:type="dxa"/>
          </w:tblCellMar>
        </w:tblPrEx>
        <w:trPr>
          <w:trHeight w:val="704"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C1FF42">
            <w:r>
              <w:rPr>
                <w:rFonts w:hint="eastAsia"/>
              </w:rPr>
              <w:t>2</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F2AE8A">
            <w:r>
              <w:rPr>
                <w:rFonts w:hint="eastAsia"/>
              </w:rPr>
              <w:t>莆田市林业局本级</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0A766F">
            <w:r>
              <w:rPr>
                <w:rFonts w:hint="eastAsia"/>
              </w:rPr>
              <w:t>生态公益林市级补偿资金</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B0BAB8">
            <w:r>
              <w:rPr>
                <w:rFonts w:hint="eastAsia"/>
              </w:rPr>
              <w:t>市级财政专项资金</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E9EDFA">
            <w:r>
              <w:rPr>
                <w:rFonts w:hint="eastAsia"/>
              </w:rPr>
              <w:t>210</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596B36">
            <w:r>
              <w:rPr>
                <w:rFonts w:hint="eastAsia"/>
              </w:rPr>
              <w:t>1、内容：提高全市现有的国家级、省级补偿标准，同时，对市级生态公益林进行补偿；2、目的：强化生态公益林保护管理，巩固生态公益林保护成果；3、范围：全市；4、时间：2020年全年。</w:t>
            </w:r>
          </w:p>
        </w:tc>
      </w:tr>
      <w:tr w14:paraId="797DB855">
        <w:tblPrEx>
          <w:tblCellMar>
            <w:top w:w="0" w:type="dxa"/>
            <w:left w:w="0" w:type="dxa"/>
            <w:bottom w:w="0" w:type="dxa"/>
            <w:right w:w="0" w:type="dxa"/>
          </w:tblCellMar>
        </w:tblPrEx>
        <w:trPr>
          <w:trHeight w:val="605"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9470CC"/>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636E5D"/>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0E85D0"/>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73465A"/>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5392CB"/>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77B5C5"/>
        </w:tc>
      </w:tr>
      <w:tr w14:paraId="4E9CA238">
        <w:tblPrEx>
          <w:tblCellMar>
            <w:top w:w="0" w:type="dxa"/>
            <w:left w:w="0" w:type="dxa"/>
            <w:bottom w:w="0" w:type="dxa"/>
            <w:right w:w="0" w:type="dxa"/>
          </w:tblCellMar>
        </w:tblPrEx>
        <w:trPr>
          <w:trHeight w:val="704"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6B8C38">
            <w:r>
              <w:rPr>
                <w:rFonts w:hint="eastAsia"/>
              </w:rPr>
              <w:t>3</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A9B807">
            <w:r>
              <w:rPr>
                <w:rFonts w:hint="eastAsia"/>
              </w:rPr>
              <w:t>莆田市林业局本级</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57E9EA">
            <w:r>
              <w:rPr>
                <w:rFonts w:hint="eastAsia"/>
              </w:rPr>
              <w:t>深化林权制度改革专项资金</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E93567">
            <w:r>
              <w:rPr>
                <w:rFonts w:hint="eastAsia"/>
              </w:rPr>
              <w:t>市级财政专项资金</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DA0DB7">
            <w:r>
              <w:rPr>
                <w:rFonts w:hint="eastAsia"/>
              </w:rPr>
              <w:t>300</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FA85DA">
            <w:r>
              <w:rPr>
                <w:rFonts w:hint="eastAsia"/>
              </w:rPr>
              <w:t>1、建立重点区位商品林赎买机制，2020年完成3500亩赎买任务；2、建设六大基地，到2020年，全市完成基地建设12.8万亩。3、推进乡村绿化美化，2018-2020年，市级每年开展10个行政村绿化美化美化工程，市财政按照每个行政村10万元预算安排补助资金。</w:t>
            </w:r>
          </w:p>
        </w:tc>
      </w:tr>
      <w:tr w14:paraId="33D9417E">
        <w:tblPrEx>
          <w:tblCellMar>
            <w:top w:w="0" w:type="dxa"/>
            <w:left w:w="0" w:type="dxa"/>
            <w:bottom w:w="0" w:type="dxa"/>
            <w:right w:w="0" w:type="dxa"/>
          </w:tblCellMar>
        </w:tblPrEx>
        <w:trPr>
          <w:trHeight w:val="704"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F1C24D"/>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44D1B0"/>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36BEF2"/>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24F826"/>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809D83"/>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F5A8FD"/>
        </w:tc>
      </w:tr>
      <w:tr w14:paraId="56ED9714">
        <w:tblPrEx>
          <w:tblCellMar>
            <w:top w:w="0" w:type="dxa"/>
            <w:left w:w="0" w:type="dxa"/>
            <w:bottom w:w="0" w:type="dxa"/>
            <w:right w:w="0" w:type="dxa"/>
          </w:tblCellMar>
        </w:tblPrEx>
        <w:trPr>
          <w:trHeight w:val="444"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85C923"/>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84256F"/>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A14AC9"/>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6C515C"/>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0BB7A1"/>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7E1E25"/>
        </w:tc>
      </w:tr>
      <w:tr w14:paraId="5BDAAA00">
        <w:tblPrEx>
          <w:tblCellMar>
            <w:top w:w="0" w:type="dxa"/>
            <w:left w:w="0" w:type="dxa"/>
            <w:bottom w:w="0" w:type="dxa"/>
            <w:right w:w="0" w:type="dxa"/>
          </w:tblCellMar>
        </w:tblPrEx>
        <w:trPr>
          <w:trHeight w:val="1270" w:hRule="atLeast"/>
        </w:trPr>
        <w:tc>
          <w:tcPr>
            <w:tcW w:w="81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472272">
            <w:r>
              <w:rPr>
                <w:rFonts w:hint="eastAsia"/>
              </w:rPr>
              <w:t>4</w:t>
            </w:r>
          </w:p>
        </w:tc>
        <w:tc>
          <w:tcPr>
            <w:tcW w:w="7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A3E008">
            <w:r>
              <w:rPr>
                <w:rFonts w:hint="eastAsia"/>
              </w:rPr>
              <w:t>莆田市林业局本级</w:t>
            </w:r>
          </w:p>
        </w:tc>
        <w:tc>
          <w:tcPr>
            <w:tcW w:w="12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6A21FC">
            <w:r>
              <w:rPr>
                <w:rFonts w:hint="eastAsia"/>
              </w:rPr>
              <w:t>2020年市级财政野生动物养殖场退养转产奖补资金</w:t>
            </w:r>
          </w:p>
        </w:tc>
        <w:tc>
          <w:tcPr>
            <w:tcW w:w="11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6BB73C">
            <w:r>
              <w:rPr>
                <w:rFonts w:hint="eastAsia"/>
              </w:rPr>
              <w:t>市级财政专项资金</w:t>
            </w:r>
          </w:p>
        </w:tc>
        <w:tc>
          <w:tcPr>
            <w:tcW w:w="12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460A90">
            <w:r>
              <w:rPr>
                <w:rFonts w:hint="eastAsia"/>
              </w:rPr>
              <w:t>97.77</w:t>
            </w:r>
          </w:p>
        </w:tc>
        <w:tc>
          <w:tcPr>
            <w:tcW w:w="36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2AAACC">
            <w:pPr>
              <w:rPr>
                <w:rFonts w:hint="eastAsia" w:eastAsiaTheme="minorEastAsia"/>
                <w:lang w:eastAsia="zh-CN"/>
              </w:rPr>
            </w:pPr>
            <w:r>
              <w:rPr>
                <w:rFonts w:hint="eastAsia"/>
              </w:rPr>
              <w:t>1.完成仙游县、秀屿区4家蛇类养殖场退出以食用为目的的养殖；</w:t>
            </w:r>
          </w:p>
          <w:p w14:paraId="2239A319">
            <w:r>
              <w:rPr>
                <w:rFonts w:hint="eastAsia"/>
              </w:rPr>
              <w:t>2.做好仙游县、秀屿区4家蛇类养殖场退养转产转岗工作。</w:t>
            </w:r>
          </w:p>
        </w:tc>
      </w:tr>
      <w:tr w14:paraId="1170C2F5">
        <w:tblPrEx>
          <w:tblCellMar>
            <w:top w:w="0" w:type="dxa"/>
            <w:left w:w="0" w:type="dxa"/>
            <w:bottom w:w="0" w:type="dxa"/>
            <w:right w:w="0" w:type="dxa"/>
          </w:tblCellMar>
        </w:tblPrEx>
        <w:trPr>
          <w:trHeight w:val="704"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9A3BCB">
            <w:r>
              <w:rPr>
                <w:rFonts w:hint="eastAsia"/>
              </w:rPr>
              <w:t>5</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68A84F">
            <w:r>
              <w:rPr>
                <w:rFonts w:hint="eastAsia"/>
              </w:rPr>
              <w:t>莆田市林业局本级</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DEAB31">
            <w:r>
              <w:rPr>
                <w:rFonts w:hint="eastAsia"/>
              </w:rPr>
              <w:t>2020年造林绿化省级补助资金</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2CEE8A">
            <w:r>
              <w:rPr>
                <w:rFonts w:hint="eastAsia"/>
              </w:rPr>
              <w:t>发展性项目资金</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CE8589">
            <w:r>
              <w:rPr>
                <w:rFonts w:hint="eastAsia"/>
              </w:rPr>
              <w:t>1814</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E0E825">
            <w:r>
              <w:rPr>
                <w:rFonts w:hint="eastAsia"/>
              </w:rPr>
              <w:t>全市完成植树造林29000亩，其中：“三沿一环”森林景观带造林4400亩，“两带一窗口”绿美示范工程750亩，乡村绿化700亩，创建省级森林城镇1个，省级森林村庄10个，生物防火林带造林150亩，珍贵用材林树种造林1600亩，林分修复1500亩，其它造林更新19900亩。完成森林抚育70000亩，封山育林50000亩。成活率达标，通过省验收。</w:t>
            </w:r>
          </w:p>
        </w:tc>
      </w:tr>
      <w:tr w14:paraId="16BBE8BD">
        <w:tblPrEx>
          <w:tblCellMar>
            <w:top w:w="0" w:type="dxa"/>
            <w:left w:w="0" w:type="dxa"/>
            <w:bottom w:w="0" w:type="dxa"/>
            <w:right w:w="0" w:type="dxa"/>
          </w:tblCellMar>
        </w:tblPrEx>
        <w:trPr>
          <w:trHeight w:val="704"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C8C4A2"/>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D19075"/>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7A5080"/>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397B98"/>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0FF18E"/>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8773A5"/>
        </w:tc>
      </w:tr>
      <w:tr w14:paraId="5E62D180">
        <w:tblPrEx>
          <w:tblCellMar>
            <w:top w:w="0" w:type="dxa"/>
            <w:left w:w="0" w:type="dxa"/>
            <w:bottom w:w="0" w:type="dxa"/>
            <w:right w:w="0" w:type="dxa"/>
          </w:tblCellMar>
        </w:tblPrEx>
        <w:trPr>
          <w:trHeight w:val="312"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E24904"/>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0D7C5F"/>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E4BB12"/>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8CDB10"/>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BD5250"/>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70CFB3"/>
        </w:tc>
      </w:tr>
      <w:tr w14:paraId="53697856">
        <w:tblPrEx>
          <w:tblCellMar>
            <w:top w:w="0" w:type="dxa"/>
            <w:left w:w="0" w:type="dxa"/>
            <w:bottom w:w="0" w:type="dxa"/>
            <w:right w:w="0" w:type="dxa"/>
          </w:tblCellMar>
        </w:tblPrEx>
        <w:trPr>
          <w:trHeight w:val="951"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5DA6F6">
            <w:r>
              <w:rPr>
                <w:rFonts w:hint="eastAsia"/>
              </w:rPr>
              <w:t>6</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CD3DFB">
            <w:r>
              <w:rPr>
                <w:rFonts w:hint="eastAsia"/>
              </w:rPr>
              <w:t>莆田市林业局本级</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617EC9">
            <w:r>
              <w:rPr>
                <w:rFonts w:hint="eastAsia"/>
              </w:rPr>
              <w:t>2020年省级林业专项资金林业有害防治补助资金</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FDDCB4">
            <w:r>
              <w:rPr>
                <w:rFonts w:hint="eastAsia"/>
              </w:rPr>
              <w:t>发展性项目资金</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D5ED87">
            <w:r>
              <w:rPr>
                <w:rFonts w:hint="eastAsia"/>
              </w:rPr>
              <w:t>93</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8F5F52">
            <w:r>
              <w:rPr>
                <w:rFonts w:hint="eastAsia"/>
              </w:rPr>
              <w:t>通过开展林业植物检疫执法和督查检查，督促全市各地对松材线虫病等重大林业有害生物的防控，切实完成省级下达的年度防控目标任务，争取至2020年城厢区实现无疫情，仙游、涵江至少1个发生乡镇无疫情，同时完成省下达的相关防控任务。</w:t>
            </w:r>
          </w:p>
        </w:tc>
      </w:tr>
      <w:tr w14:paraId="57197B94">
        <w:tblPrEx>
          <w:tblCellMar>
            <w:top w:w="0" w:type="dxa"/>
            <w:left w:w="0" w:type="dxa"/>
            <w:bottom w:w="0" w:type="dxa"/>
            <w:right w:w="0" w:type="dxa"/>
          </w:tblCellMar>
        </w:tblPrEx>
        <w:trPr>
          <w:trHeight w:val="671"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396996"/>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FE0495"/>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9C769F"/>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AB5C79"/>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FDEB22"/>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BD116A"/>
        </w:tc>
      </w:tr>
      <w:tr w14:paraId="5BC28DFE">
        <w:tblPrEx>
          <w:tblCellMar>
            <w:top w:w="0" w:type="dxa"/>
            <w:left w:w="0" w:type="dxa"/>
            <w:bottom w:w="0" w:type="dxa"/>
            <w:right w:w="0" w:type="dxa"/>
          </w:tblCellMar>
        </w:tblPrEx>
        <w:trPr>
          <w:trHeight w:val="704"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4A63BB">
            <w:r>
              <w:rPr>
                <w:rFonts w:hint="eastAsia"/>
              </w:rPr>
              <w:t>7</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9B6DBD">
            <w:r>
              <w:rPr>
                <w:rFonts w:hint="eastAsia"/>
              </w:rPr>
              <w:t>莆田市森林公安局</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335AA6">
            <w:r>
              <w:rPr>
                <w:rFonts w:hint="eastAsia"/>
              </w:rPr>
              <w:t>警务信息技术装备建设经费</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C69315">
            <w:r>
              <w:rPr>
                <w:rFonts w:hint="eastAsia"/>
              </w:rPr>
              <w:t>发展性项目资金</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17C65D">
            <w:r>
              <w:rPr>
                <w:rFonts w:hint="eastAsia"/>
              </w:rPr>
              <w:t>31.99</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C8136F">
            <w:r>
              <w:rPr>
                <w:rFonts w:hint="eastAsia"/>
              </w:rPr>
              <w:t>确保森林公安网络系统正常运转，确保政令警令畅通，节约办公资源，促进执法规范化建设；提高刑侦勘查技术水平，提升森林火灾案件破获率；直属分局添置执法执勤车辆一部，提高接处警速度。</w:t>
            </w:r>
          </w:p>
        </w:tc>
      </w:tr>
      <w:tr w14:paraId="26EABF5D">
        <w:tblPrEx>
          <w:tblCellMar>
            <w:top w:w="0" w:type="dxa"/>
            <w:left w:w="0" w:type="dxa"/>
            <w:bottom w:w="0" w:type="dxa"/>
            <w:right w:w="0" w:type="dxa"/>
          </w:tblCellMar>
        </w:tblPrEx>
        <w:trPr>
          <w:trHeight w:val="704"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9D6CDA"/>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E57F07"/>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F2780B"/>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7D3117"/>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FC2213"/>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C8E482"/>
        </w:tc>
      </w:tr>
      <w:tr w14:paraId="59037911">
        <w:tblPrEx>
          <w:tblCellMar>
            <w:top w:w="0" w:type="dxa"/>
            <w:left w:w="0" w:type="dxa"/>
            <w:bottom w:w="0" w:type="dxa"/>
            <w:right w:w="0" w:type="dxa"/>
          </w:tblCellMar>
        </w:tblPrEx>
        <w:trPr>
          <w:trHeight w:val="312"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56C529"/>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4C6DF4"/>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5D5A84"/>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2422F5"/>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A1093B"/>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C2A0FC"/>
        </w:tc>
      </w:tr>
      <w:tr w14:paraId="0D823C87">
        <w:tblPrEx>
          <w:tblCellMar>
            <w:top w:w="0" w:type="dxa"/>
            <w:left w:w="0" w:type="dxa"/>
            <w:bottom w:w="0" w:type="dxa"/>
            <w:right w:w="0" w:type="dxa"/>
          </w:tblCellMar>
        </w:tblPrEx>
        <w:trPr>
          <w:trHeight w:val="981" w:hRule="atLeast"/>
        </w:trPr>
        <w:tc>
          <w:tcPr>
            <w:tcW w:w="81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350AB2">
            <w:r>
              <w:rPr>
                <w:rFonts w:hint="eastAsia"/>
              </w:rPr>
              <w:t>8</w:t>
            </w:r>
          </w:p>
        </w:tc>
        <w:tc>
          <w:tcPr>
            <w:tcW w:w="7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4264E1">
            <w:r>
              <w:rPr>
                <w:rFonts w:hint="eastAsia"/>
              </w:rPr>
              <w:t>莆田市森林公安局</w:t>
            </w:r>
          </w:p>
        </w:tc>
        <w:tc>
          <w:tcPr>
            <w:tcW w:w="12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E6E1BA">
            <w:r>
              <w:rPr>
                <w:rFonts w:hint="eastAsia"/>
              </w:rPr>
              <w:t>直属分局执法办公场所修缮经费</w:t>
            </w:r>
          </w:p>
        </w:tc>
        <w:tc>
          <w:tcPr>
            <w:tcW w:w="11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2279F6">
            <w:r>
              <w:rPr>
                <w:rFonts w:hint="eastAsia"/>
              </w:rPr>
              <w:t>发展性项目资金</w:t>
            </w:r>
          </w:p>
        </w:tc>
        <w:tc>
          <w:tcPr>
            <w:tcW w:w="12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CF16ED">
            <w:r>
              <w:rPr>
                <w:rFonts w:hint="eastAsia"/>
              </w:rPr>
              <w:t>12</w:t>
            </w:r>
          </w:p>
        </w:tc>
        <w:tc>
          <w:tcPr>
            <w:tcW w:w="36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76A149">
            <w:r>
              <w:rPr>
                <w:rFonts w:hint="eastAsia"/>
              </w:rPr>
              <w:t>完成附属楼等零星工程修缮，规范建立直属分局办案区、办公区、生活区、活动区，促进森林公安执法规范化建设。</w:t>
            </w:r>
          </w:p>
        </w:tc>
      </w:tr>
      <w:tr w14:paraId="27BF0955">
        <w:tblPrEx>
          <w:tblCellMar>
            <w:top w:w="0" w:type="dxa"/>
            <w:left w:w="0" w:type="dxa"/>
            <w:bottom w:w="0" w:type="dxa"/>
            <w:right w:w="0" w:type="dxa"/>
          </w:tblCellMar>
        </w:tblPrEx>
        <w:trPr>
          <w:trHeight w:val="928" w:hRule="atLeast"/>
        </w:trPr>
        <w:tc>
          <w:tcPr>
            <w:tcW w:w="81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7D0328">
            <w:r>
              <w:rPr>
                <w:rFonts w:hint="eastAsia"/>
              </w:rPr>
              <w:t>9</w:t>
            </w:r>
          </w:p>
        </w:tc>
        <w:tc>
          <w:tcPr>
            <w:tcW w:w="7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7CA372">
            <w:r>
              <w:rPr>
                <w:rFonts w:hint="eastAsia"/>
              </w:rPr>
              <w:t>莆田市森林公安局</w:t>
            </w:r>
          </w:p>
        </w:tc>
        <w:tc>
          <w:tcPr>
            <w:tcW w:w="12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22B3C0">
            <w:r>
              <w:rPr>
                <w:rFonts w:hint="eastAsia"/>
              </w:rPr>
              <w:t>林业执法体系建设</w:t>
            </w:r>
          </w:p>
        </w:tc>
        <w:tc>
          <w:tcPr>
            <w:tcW w:w="11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1B7A16">
            <w:r>
              <w:rPr>
                <w:rFonts w:hint="eastAsia"/>
              </w:rPr>
              <w:t>发展性项目资金</w:t>
            </w:r>
          </w:p>
        </w:tc>
        <w:tc>
          <w:tcPr>
            <w:tcW w:w="12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548D6E">
            <w:r>
              <w:rPr>
                <w:rFonts w:hint="eastAsia"/>
              </w:rPr>
              <w:t>13</w:t>
            </w:r>
          </w:p>
        </w:tc>
        <w:tc>
          <w:tcPr>
            <w:tcW w:w="36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7B175D">
            <w:r>
              <w:rPr>
                <w:rFonts w:hint="eastAsia"/>
              </w:rPr>
              <w:t>及时汇缴全市森林公安2020年度被装经费，确保全市森林公安民警按时换装，严肃警容风纪，树立人民警察良好形象，促进我市森林公安机关队伍正规化建设。</w:t>
            </w:r>
          </w:p>
        </w:tc>
      </w:tr>
      <w:tr w14:paraId="7D71DD50">
        <w:tblPrEx>
          <w:tblCellMar>
            <w:top w:w="0" w:type="dxa"/>
            <w:left w:w="0" w:type="dxa"/>
            <w:bottom w:w="0" w:type="dxa"/>
            <w:right w:w="0" w:type="dxa"/>
          </w:tblCellMar>
        </w:tblPrEx>
        <w:trPr>
          <w:trHeight w:val="395"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0EBE2B">
            <w:r>
              <w:rPr>
                <w:rFonts w:hint="eastAsia"/>
              </w:rPr>
              <w:t>10</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AEBD9E">
            <w:r>
              <w:rPr>
                <w:rFonts w:hint="eastAsia"/>
              </w:rPr>
              <w:t>莆田市林业局本级</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66BDB4">
            <w:r>
              <w:rPr>
                <w:rFonts w:hint="eastAsia"/>
              </w:rPr>
              <w:t>大造阔叶树“以奖代补”补助经费</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F201FA">
            <w:r>
              <w:rPr>
                <w:rFonts w:hint="eastAsia"/>
              </w:rPr>
              <w:t>发展性项目资金</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17233F">
            <w:r>
              <w:rPr>
                <w:rFonts w:hint="eastAsia"/>
              </w:rPr>
              <w:t>1710</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37C18C">
            <w:r>
              <w:rPr>
                <w:rFonts w:hint="eastAsia"/>
              </w:rPr>
              <w:t>1、现有桉树林改造，每年至少完成2万亩；2、低效针叶林等林分改造，每年至少完成2万亩；3、石头山改造，每年至少完成2000亩；4、花化彩化提升，每年至少完成2000亩。</w:t>
            </w:r>
          </w:p>
        </w:tc>
      </w:tr>
      <w:tr w14:paraId="1B59F755">
        <w:tblPrEx>
          <w:tblCellMar>
            <w:top w:w="0" w:type="dxa"/>
            <w:left w:w="0" w:type="dxa"/>
            <w:bottom w:w="0" w:type="dxa"/>
            <w:right w:w="0" w:type="dxa"/>
          </w:tblCellMar>
        </w:tblPrEx>
        <w:trPr>
          <w:trHeight w:val="331"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D58F06"/>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5D395A"/>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82252C"/>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A57E8B"/>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3EAD71"/>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4180C8"/>
        </w:tc>
      </w:tr>
      <w:tr w14:paraId="192D4211">
        <w:tblPrEx>
          <w:tblCellMar>
            <w:top w:w="0" w:type="dxa"/>
            <w:left w:w="0" w:type="dxa"/>
            <w:bottom w:w="0" w:type="dxa"/>
            <w:right w:w="0" w:type="dxa"/>
          </w:tblCellMar>
        </w:tblPrEx>
        <w:trPr>
          <w:trHeight w:val="331"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87192C"/>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60A87E"/>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E18970"/>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637EAE"/>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CC68C1"/>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FD8453"/>
        </w:tc>
      </w:tr>
      <w:tr w14:paraId="135600B6">
        <w:tblPrEx>
          <w:tblCellMar>
            <w:top w:w="0" w:type="dxa"/>
            <w:left w:w="0" w:type="dxa"/>
            <w:bottom w:w="0" w:type="dxa"/>
            <w:right w:w="0" w:type="dxa"/>
          </w:tblCellMar>
        </w:tblPrEx>
        <w:trPr>
          <w:trHeight w:val="312"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5651B3"/>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838E4F"/>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5759FD"/>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91C5FF"/>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8A4759"/>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1A798F"/>
        </w:tc>
      </w:tr>
      <w:tr w14:paraId="38C19DA3">
        <w:tblPrEx>
          <w:tblCellMar>
            <w:top w:w="0" w:type="dxa"/>
            <w:left w:w="0" w:type="dxa"/>
            <w:bottom w:w="0" w:type="dxa"/>
            <w:right w:w="0" w:type="dxa"/>
          </w:tblCellMar>
        </w:tblPrEx>
        <w:trPr>
          <w:trHeight w:val="704"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20DCFF">
            <w:r>
              <w:rPr>
                <w:rFonts w:hint="eastAsia"/>
              </w:rPr>
              <w:t>11</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CD02C8">
            <w:r>
              <w:rPr>
                <w:rFonts w:hint="eastAsia"/>
              </w:rPr>
              <w:t>莆田市林业局本级</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AE73F5">
            <w:r>
              <w:rPr>
                <w:rFonts w:hint="eastAsia"/>
              </w:rPr>
              <w:t>义务植树经费</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B8CDCB">
            <w:r>
              <w:rPr>
                <w:rFonts w:hint="eastAsia"/>
              </w:rPr>
              <w:t>发展性项目</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B2604B">
            <w:r>
              <w:rPr>
                <w:rFonts w:hint="eastAsia"/>
              </w:rPr>
              <w:t>60</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E708EB">
            <w:r>
              <w:rPr>
                <w:rFonts w:hint="eastAsia"/>
              </w:rPr>
              <w:t>根据全国人大颁布&lt;关于开展全民义务植树运动的决议&gt;,义务植树节组织莆田市军政民义务植树活动，提升义务植树基地森林生态景观提升。</w:t>
            </w:r>
          </w:p>
        </w:tc>
      </w:tr>
      <w:tr w14:paraId="7EBF5E51">
        <w:tblPrEx>
          <w:tblCellMar>
            <w:top w:w="0" w:type="dxa"/>
            <w:left w:w="0" w:type="dxa"/>
            <w:bottom w:w="0" w:type="dxa"/>
            <w:right w:w="0" w:type="dxa"/>
          </w:tblCellMar>
        </w:tblPrEx>
        <w:trPr>
          <w:trHeight w:val="443"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19AC87"/>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7C4478"/>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E6E82C"/>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87242D"/>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16868A"/>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9C8A12"/>
        </w:tc>
      </w:tr>
      <w:tr w14:paraId="4AFD4BFE">
        <w:tblPrEx>
          <w:tblCellMar>
            <w:top w:w="0" w:type="dxa"/>
            <w:left w:w="0" w:type="dxa"/>
            <w:bottom w:w="0" w:type="dxa"/>
            <w:right w:w="0" w:type="dxa"/>
          </w:tblCellMar>
        </w:tblPrEx>
        <w:trPr>
          <w:trHeight w:val="795" w:hRule="atLeast"/>
        </w:trPr>
        <w:tc>
          <w:tcPr>
            <w:tcW w:w="81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3C24CA">
            <w:r>
              <w:rPr>
                <w:rFonts w:hint="eastAsia"/>
              </w:rPr>
              <w:t>12</w:t>
            </w:r>
          </w:p>
        </w:tc>
        <w:tc>
          <w:tcPr>
            <w:tcW w:w="7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F00C1F">
            <w:r>
              <w:rPr>
                <w:rFonts w:hint="eastAsia"/>
              </w:rPr>
              <w:t>莆田市林业局本级</w:t>
            </w:r>
          </w:p>
        </w:tc>
        <w:tc>
          <w:tcPr>
            <w:tcW w:w="12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44160A">
            <w:r>
              <w:rPr>
                <w:rFonts w:hint="eastAsia"/>
              </w:rPr>
              <w:t>“百城千村”宜居工程经费</w:t>
            </w:r>
          </w:p>
        </w:tc>
        <w:tc>
          <w:tcPr>
            <w:tcW w:w="11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69DF55">
            <w:r>
              <w:rPr>
                <w:rFonts w:hint="eastAsia"/>
              </w:rPr>
              <w:t>发展性项目资金</w:t>
            </w:r>
          </w:p>
        </w:tc>
        <w:tc>
          <w:tcPr>
            <w:tcW w:w="12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CEDED3">
            <w:r>
              <w:rPr>
                <w:rFonts w:hint="eastAsia"/>
              </w:rPr>
              <w:t>50</w:t>
            </w:r>
          </w:p>
        </w:tc>
        <w:tc>
          <w:tcPr>
            <w:tcW w:w="36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28B8AA">
            <w:r>
              <w:rPr>
                <w:rFonts w:hint="eastAsia"/>
              </w:rPr>
              <w:t>要求2019年创建“福建省森林村庄”5个，拟对创建村庄实行“以奖代补”，每个村庄10万元。</w:t>
            </w:r>
          </w:p>
        </w:tc>
      </w:tr>
      <w:tr w14:paraId="6685FB20">
        <w:tblPrEx>
          <w:tblCellMar>
            <w:top w:w="0" w:type="dxa"/>
            <w:left w:w="0" w:type="dxa"/>
            <w:bottom w:w="0" w:type="dxa"/>
            <w:right w:w="0" w:type="dxa"/>
          </w:tblCellMar>
        </w:tblPrEx>
        <w:trPr>
          <w:trHeight w:val="341" w:hRule="atLeast"/>
        </w:trPr>
        <w:tc>
          <w:tcPr>
            <w:tcW w:w="8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B45A4B2">
            <w:r>
              <w:rPr>
                <w:rFonts w:hint="eastAsia"/>
              </w:rPr>
              <w:t>合计</w:t>
            </w:r>
          </w:p>
        </w:tc>
        <w:tc>
          <w:tcPr>
            <w:tcW w:w="7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6F38546">
            <w:r>
              <w:rPr>
                <w:rFonts w:hint="eastAsia"/>
              </w:rPr>
              <w:t>——</w:t>
            </w:r>
          </w:p>
        </w:tc>
        <w:tc>
          <w:tcPr>
            <w:tcW w:w="126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3B2AA3B">
            <w:r>
              <w:rPr>
                <w:rFonts w:hint="eastAsia"/>
              </w:rPr>
              <w:t>——</w:t>
            </w:r>
          </w:p>
        </w:tc>
        <w:tc>
          <w:tcPr>
            <w:tcW w:w="113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E74C26F">
            <w:r>
              <w:rPr>
                <w:rFonts w:hint="eastAsia"/>
              </w:rPr>
              <w:t>——</w:t>
            </w:r>
          </w:p>
        </w:tc>
        <w:tc>
          <w:tcPr>
            <w:tcW w:w="120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6BD6D06">
            <w:r>
              <w:rPr>
                <w:rFonts w:hint="eastAsia"/>
              </w:rPr>
              <w:t>962.77</w:t>
            </w:r>
          </w:p>
        </w:tc>
        <w:tc>
          <w:tcPr>
            <w:tcW w:w="363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F6542FB">
            <w:r>
              <w:rPr>
                <w:rFonts w:hint="eastAsia"/>
              </w:rPr>
              <w:t>——</w:t>
            </w:r>
          </w:p>
        </w:tc>
      </w:tr>
    </w:tbl>
    <w:p w14:paraId="05858479">
      <w:pPr>
        <w:ind w:firstLine="420" w:firstLineChars="200"/>
      </w:pPr>
      <w:bookmarkStart w:id="396" w:name="_Toc3265"/>
      <w:bookmarkStart w:id="397" w:name="_Toc78184421"/>
      <w:r>
        <w:rPr>
          <w:rFonts w:hint="eastAsia"/>
        </w:rPr>
        <w:t>（五）部门整体支出情况</w:t>
      </w:r>
      <w:bookmarkEnd w:id="396"/>
      <w:bookmarkEnd w:id="397"/>
    </w:p>
    <w:p w14:paraId="3EC62539">
      <w:pPr>
        <w:ind w:firstLine="420" w:firstLineChars="200"/>
      </w:pPr>
      <w:r>
        <w:rPr>
          <w:rFonts w:hint="eastAsia"/>
        </w:rPr>
        <w:t>1.部门整体支出年初预算安排</w:t>
      </w:r>
    </w:p>
    <w:p w14:paraId="5596A643">
      <w:pPr>
        <w:ind w:firstLine="420" w:firstLineChars="200"/>
      </w:pPr>
      <w:r>
        <w:rPr>
          <w:rFonts w:hint="eastAsia"/>
        </w:rPr>
        <w:t>按照综合预算原则，莆田市林业局部门所有收入和支出均纳入部门预算管理。2020年市林业局部门收入预算5646万元，比上年增加1572.85万元，主要原因是2020年省财政提前下达转移支付补助1920万元，政府基金预算减少687万元。其中：一般公共预算拨款3528万元，基金预算财政拨款2118万元。相应安排支出预算5646万元，比上年增加1572.85 万元，其中：人员支出1072.35万元，对个人和家庭补助支出8.59万元，公用支出127.21万元，项目支出4437.85万元。</w:t>
      </w:r>
    </w:p>
    <w:p w14:paraId="70665649">
      <w:pPr>
        <w:ind w:firstLine="420" w:firstLineChars="200"/>
      </w:pPr>
      <w:r>
        <w:rPr>
          <w:rFonts w:hint="eastAsia"/>
        </w:rPr>
        <w:t>2.部门整体实际支出</w:t>
      </w:r>
    </w:p>
    <w:p w14:paraId="147826F5">
      <w:pPr>
        <w:ind w:firstLine="420" w:firstLineChars="200"/>
      </w:pPr>
      <w:r>
        <w:rPr>
          <w:rFonts w:hint="eastAsia"/>
        </w:rPr>
        <w:t>2020年莆田市林业局年初结转和结余379.26万元，本年收入1651.23万元，本年支出1682.12万元，事业基金弥补收支差额0万元，结余分配 0万元，年末结转和结余348.37万元。2020年人员支出经费决算数为1340.75万元，公用支出经费决算数为43.75万元，项目支出决算数为297.62万元。按功能分类一般公共服务支出为1.99万元，社会保障和就业支出为76.66万元，卫生健康支出为53.03万元，城乡社区支出为212.01万元，农林水支出为 1338.43万元。</w:t>
      </w:r>
    </w:p>
    <w:p w14:paraId="13594833">
      <w:pPr>
        <w:ind w:firstLine="420" w:firstLineChars="200"/>
      </w:pPr>
      <w:bookmarkStart w:id="398" w:name="_Toc20322"/>
      <w:r>
        <w:rPr>
          <w:rFonts w:hint="eastAsia"/>
        </w:rPr>
        <w:t>绩效评价工作情况</w:t>
      </w:r>
      <w:bookmarkEnd w:id="398"/>
    </w:p>
    <w:p w14:paraId="6E2C2717">
      <w:pPr>
        <w:ind w:firstLine="420" w:firstLineChars="200"/>
      </w:pPr>
      <w:bookmarkStart w:id="399" w:name="_Toc21113"/>
      <w:r>
        <w:t>（一）绩效评价目的</w:t>
      </w:r>
      <w:bookmarkEnd w:id="399"/>
    </w:p>
    <w:p w14:paraId="4B1C35D2">
      <w:pPr>
        <w:ind w:firstLine="420" w:firstLineChars="200"/>
      </w:pPr>
      <w:r>
        <w:rPr>
          <w:rFonts w:hint="eastAsia"/>
        </w:rPr>
        <w:t>根据财政支出项目设定的预期目标，选择合适的评价指标和标准，运用科学的评价方法，对资金使用全过程及其支出的产出效益和满意度等进行客观公正的综合评价，以衡量财政资金的使用绩效，分析检验支出项目是否达到预期目标。通过对莆田市林业局2020年度部门整体支出绩效实施评价，分析存在的问题及原因，有针对性地提出有效措施进一步改进和加强财政资金管理，不断提升财政资金科学化、精细化管理水平，提高单位行政效能和用财水平，提升财政资金使用效益。</w:t>
      </w:r>
    </w:p>
    <w:p w14:paraId="0CB44E85">
      <w:pPr>
        <w:ind w:firstLine="420" w:firstLineChars="200"/>
      </w:pPr>
      <w:bookmarkStart w:id="400" w:name="_Toc18548"/>
      <w:r>
        <w:t>（二）绩效评价对象</w:t>
      </w:r>
      <w:bookmarkEnd w:id="400"/>
    </w:p>
    <w:p w14:paraId="57365613">
      <w:pPr>
        <w:ind w:firstLine="420" w:firstLineChars="200"/>
      </w:pPr>
      <w:r>
        <w:t>本绩效评价对象为</w:t>
      </w:r>
      <w:r>
        <w:rPr>
          <w:rFonts w:hint="eastAsia"/>
        </w:rPr>
        <w:t>莆田市林业局2020年度部门整体支出。</w:t>
      </w:r>
    </w:p>
    <w:p w14:paraId="76B689C3">
      <w:pPr>
        <w:ind w:firstLine="420" w:firstLineChars="200"/>
      </w:pPr>
      <w:bookmarkStart w:id="401" w:name="_Toc2095"/>
      <w:r>
        <w:rPr>
          <w:rFonts w:hint="eastAsia"/>
        </w:rPr>
        <w:t>（三）评价依据</w:t>
      </w:r>
      <w:bookmarkEnd w:id="401"/>
    </w:p>
    <w:p w14:paraId="77E05A61">
      <w:pPr>
        <w:ind w:firstLine="420" w:firstLineChars="200"/>
      </w:pPr>
      <w:r>
        <w:rPr>
          <w:rFonts w:hint="eastAsia"/>
        </w:rPr>
        <w:t>1.《中华人民共和国预算法》</w:t>
      </w:r>
    </w:p>
    <w:p w14:paraId="6C56AC03">
      <w:pPr>
        <w:ind w:firstLine="420" w:firstLineChars="200"/>
      </w:pPr>
      <w:r>
        <w:rPr>
          <w:rFonts w:hint="eastAsia"/>
        </w:rPr>
        <w:t>2.《项目支出绩效评价管理办法》（财预[2020]10号）</w:t>
      </w:r>
    </w:p>
    <w:p w14:paraId="14F9ED49">
      <w:pPr>
        <w:ind w:firstLine="420" w:firstLineChars="200"/>
      </w:pPr>
      <w:r>
        <w:rPr>
          <w:rFonts w:hint="eastAsia"/>
        </w:rPr>
        <w:t>3.《福建省财政厅关于印发财政支出绩效评价管理办法》（闽财绩[2015]4号）</w:t>
      </w:r>
    </w:p>
    <w:p w14:paraId="4F11436A">
      <w:pPr>
        <w:ind w:firstLine="420" w:firstLineChars="200"/>
      </w:pPr>
      <w:r>
        <w:rPr>
          <w:rFonts w:hint="eastAsia"/>
        </w:rPr>
        <w:t>4.《福建省财政厅关于加强和改进绩效管理有关工作的通知》（闽财绩[2017]4号）</w:t>
      </w:r>
    </w:p>
    <w:p w14:paraId="7870D071">
      <w:pPr>
        <w:ind w:firstLine="420" w:firstLineChars="200"/>
      </w:pPr>
      <w:r>
        <w:rPr>
          <w:rFonts w:hint="eastAsia"/>
        </w:rPr>
        <w:t>5.《关于财政资金绩效管理覆盖率考核事项的通知》（闽财绩[2018]1号）</w:t>
      </w:r>
    </w:p>
    <w:p w14:paraId="287ED7FF">
      <w:pPr>
        <w:ind w:firstLine="420" w:firstLineChars="200"/>
      </w:pPr>
      <w:r>
        <w:rPr>
          <w:rFonts w:hint="eastAsia"/>
        </w:rPr>
        <w:t>6.《莆田市市级财政预算绩效目标管理暂行办法》(莆财绩[2019]8号)</w:t>
      </w:r>
    </w:p>
    <w:p w14:paraId="3C024A34">
      <w:pPr>
        <w:ind w:firstLine="420" w:firstLineChars="200"/>
      </w:pPr>
      <w:r>
        <w:rPr>
          <w:rFonts w:hint="eastAsia"/>
        </w:rPr>
        <w:t>7.《福建省财政支出绩效评价管理办法》（闽财绩[2015]4号）</w:t>
      </w:r>
    </w:p>
    <w:p w14:paraId="0B27BD5B">
      <w:pPr>
        <w:ind w:firstLine="420" w:firstLineChars="200"/>
      </w:pPr>
      <w:r>
        <w:rPr>
          <w:rFonts w:hint="eastAsia"/>
        </w:rPr>
        <w:t>8.《福建省预算绩效目标管理暂行办法》（闽财绩[2014]2号）</w:t>
      </w:r>
    </w:p>
    <w:p w14:paraId="60DEAEF0">
      <w:pPr>
        <w:ind w:firstLine="420" w:firstLineChars="200"/>
      </w:pPr>
      <w:bookmarkStart w:id="402" w:name="_Toc17833"/>
      <w:r>
        <w:rPr>
          <w:rFonts w:hint="eastAsia"/>
        </w:rPr>
        <w:t>（四）绩效评价原则、评价方法、评价流程</w:t>
      </w:r>
      <w:bookmarkEnd w:id="402"/>
    </w:p>
    <w:p w14:paraId="5EC61DB7">
      <w:pPr>
        <w:ind w:firstLine="420" w:firstLineChars="200"/>
      </w:pPr>
      <w:r>
        <w:rPr>
          <w:rFonts w:hint="eastAsia"/>
        </w:rPr>
        <w:t>1．绩效评价原则</w:t>
      </w:r>
    </w:p>
    <w:p w14:paraId="04C7EC20">
      <w:pPr>
        <w:ind w:firstLine="420" w:firstLineChars="200"/>
      </w:pPr>
      <w:r>
        <w:rPr>
          <w:rFonts w:hint="eastAsia"/>
        </w:rPr>
        <w:t>（1）相关性原则。应当与绩效目标有直接的联系，能够恰当反映目标的实现程度。</w:t>
      </w:r>
    </w:p>
    <w:p w14:paraId="1047A338">
      <w:pPr>
        <w:ind w:firstLine="420" w:firstLineChars="200"/>
      </w:pPr>
      <w:r>
        <w:rPr>
          <w:rFonts w:hint="eastAsia"/>
        </w:rPr>
        <w:t>（2）重要性原则。应当优先使用最具代表性、最能反映评价要求的核心指标。</w:t>
      </w:r>
    </w:p>
    <w:p w14:paraId="032353FD">
      <w:pPr>
        <w:ind w:firstLine="420" w:firstLineChars="200"/>
      </w:pPr>
      <w:r>
        <w:rPr>
          <w:rFonts w:hint="eastAsia"/>
        </w:rPr>
        <w:t>（3）可比性原则。对同类评价对象要设定共性的绩效评价指标，以便于评价结果可以相互比较。</w:t>
      </w:r>
    </w:p>
    <w:p w14:paraId="00042B91">
      <w:pPr>
        <w:ind w:firstLine="420" w:firstLineChars="200"/>
      </w:pPr>
      <w:r>
        <w:rPr>
          <w:rFonts w:hint="eastAsia"/>
        </w:rPr>
        <w:t>（4）系统性原则。应当将定量指标与定性指标相结合，系统反映财政支出所产生的社会效益、经济效益、环境效益和可持续影响等。</w:t>
      </w:r>
    </w:p>
    <w:p w14:paraId="6C8548A7">
      <w:pPr>
        <w:ind w:firstLine="420" w:firstLineChars="200"/>
      </w:pPr>
      <w:r>
        <w:rPr>
          <w:rFonts w:hint="eastAsia"/>
        </w:rPr>
        <w:t>（5）经济性原则。应当通俗易懂、简便易行,数据的获得应当考虑现实条件和可操作性，符合成本效益原则。</w:t>
      </w:r>
    </w:p>
    <w:p w14:paraId="519DEBE2">
      <w:pPr>
        <w:ind w:firstLine="420" w:firstLineChars="200"/>
      </w:pPr>
      <w:r>
        <w:rPr>
          <w:rFonts w:hint="eastAsia"/>
        </w:rPr>
        <w:t>2．评价方法</w:t>
      </w:r>
    </w:p>
    <w:p w14:paraId="34DDEDC7">
      <w:pPr>
        <w:ind w:firstLine="420" w:firstLineChars="200"/>
      </w:pPr>
      <w:r>
        <w:rPr>
          <w:rFonts w:hint="eastAsia"/>
        </w:rPr>
        <w:t>根据财政部《项目支出绩效评价管理办法》(财预[2020]第10号)规定的绩效评价方法，莆田市林业局2020年度部门整体支出绩效评价主要采用比较法、公众评判法和目标评价法。</w:t>
      </w:r>
    </w:p>
    <w:p w14:paraId="3B73D82F">
      <w:pPr>
        <w:ind w:firstLine="420" w:firstLineChars="200"/>
      </w:pPr>
      <w:r>
        <w:rPr>
          <w:rFonts w:hint="eastAsia"/>
        </w:rPr>
        <w:t>（1）比较法</w:t>
      </w:r>
    </w:p>
    <w:p w14:paraId="4FDAD88A">
      <w:pPr>
        <w:ind w:firstLine="420" w:firstLineChars="200"/>
      </w:pPr>
      <w:r>
        <w:rPr>
          <w:rFonts w:hint="eastAsia"/>
        </w:rPr>
        <w:t>指通过实际支出、实施效果等与绩效目标、历史情况、不同地区同类支出等的比较，综合分析绩效目标实现程度。莆田市林业局2020年度部门整体支出绩效评价将以资金拨付用途要求为标准，将单位实际产出、效果与任务相比较，综合分析绩效目标实现程度。</w:t>
      </w:r>
    </w:p>
    <w:p w14:paraId="03B0596A">
      <w:pPr>
        <w:ind w:firstLine="420" w:firstLineChars="200"/>
      </w:pPr>
      <w:r>
        <w:rPr>
          <w:rFonts w:hint="eastAsia"/>
        </w:rPr>
        <w:t>（2）公众评判法</w:t>
      </w:r>
    </w:p>
    <w:p w14:paraId="770E6243">
      <w:pPr>
        <w:ind w:firstLine="420" w:firstLineChars="200"/>
      </w:pPr>
      <w:r>
        <w:rPr>
          <w:rFonts w:hint="eastAsia"/>
        </w:rPr>
        <w:t>指通过专家评估、公众问卷及抽样调查等对财政资金效果进行评判，评价绩效目标实现程度。服务对象满意度即通过问卷调查方式获取相关数据资料。通过问卷回答情况，了解服务对象的真实感受，从而对该专项资金支出的社会效益和满意度进行评判。</w:t>
      </w:r>
    </w:p>
    <w:p w14:paraId="1A29B7CB">
      <w:pPr>
        <w:ind w:firstLine="420" w:firstLineChars="200"/>
      </w:pPr>
      <w:r>
        <w:rPr>
          <w:rFonts w:hint="eastAsia"/>
        </w:rPr>
        <w:t>（3）现场评价法</w:t>
      </w:r>
    </w:p>
    <w:p w14:paraId="476FA6A3">
      <w:pPr>
        <w:ind w:firstLine="420" w:firstLineChars="200"/>
      </w:pPr>
      <w:r>
        <w:rPr>
          <w:rFonts w:hint="eastAsia"/>
        </w:rPr>
        <w:t>现场评价工作组与项目实施的相关单位，包括自评单位、项目实施单位等进行深入沟通交流，实事求是核查其财务情况、项目管理情况和绩效表现等相关资料，对项目进行核实。</w:t>
      </w:r>
    </w:p>
    <w:p w14:paraId="7182C5AE">
      <w:pPr>
        <w:ind w:firstLine="420" w:firstLineChars="200"/>
      </w:pPr>
      <w:r>
        <w:rPr>
          <w:rFonts w:hint="eastAsia"/>
        </w:rPr>
        <w:t>3.评价流程</w:t>
      </w:r>
    </w:p>
    <w:p w14:paraId="20C3F72A">
      <w:pPr>
        <w:ind w:firstLine="420" w:firstLineChars="200"/>
      </w:pPr>
      <w:r>
        <w:rPr>
          <w:rFonts w:hint="eastAsia"/>
        </w:rPr>
        <w:t>评价流程分前期准备、书面评审、现场评价、综合分析、提交报告五个阶段实施，具体安排如下：</w:t>
      </w:r>
    </w:p>
    <w:p w14:paraId="64EE976D">
      <w:pPr>
        <w:ind w:firstLine="420" w:firstLineChars="200"/>
      </w:pPr>
      <w:r>
        <w:rPr>
          <w:rFonts w:hint="eastAsia"/>
        </w:rPr>
        <w:t>（1）前期准备</w:t>
      </w:r>
    </w:p>
    <w:p w14:paraId="2B04515E">
      <w:pPr>
        <w:ind w:firstLine="420" w:firstLineChars="200"/>
      </w:pPr>
      <w:r>
        <w:rPr>
          <w:rFonts w:hint="eastAsia"/>
        </w:rPr>
        <w:t>一是单位对接。莆田学院财政绩效管理研究中心在市财政局安排下，与被评价单位对接，了解项目资金、绩效情况。二是资料收集。收集与本次评价相关的资料，包括整体绩效自评，及相关佐证资料。</w:t>
      </w:r>
    </w:p>
    <w:p w14:paraId="31C8399D">
      <w:pPr>
        <w:ind w:firstLine="420" w:firstLineChars="200"/>
      </w:pPr>
      <w:r>
        <w:rPr>
          <w:rFonts w:hint="eastAsia"/>
        </w:rPr>
        <w:t>（2）书面评审</w:t>
      </w:r>
    </w:p>
    <w:p w14:paraId="1A572AE4">
      <w:pPr>
        <w:ind w:firstLine="420" w:firstLineChars="200"/>
      </w:pPr>
      <w:r>
        <w:rPr>
          <w:rFonts w:hint="eastAsia"/>
        </w:rPr>
        <w:t>资料收集齐全后，莆田学院财政绩效管理研究中心对材料进行梳理和审核，并形成书面审核意见。目的在于审查被评价单位报送资料的完整性、规范性和内容的真实性，重点考察整体支出的绩效，与现场考察结果形成对照，从中发现差异与问题。</w:t>
      </w:r>
    </w:p>
    <w:p w14:paraId="5B7BDD50">
      <w:pPr>
        <w:ind w:firstLine="420" w:firstLineChars="200"/>
      </w:pPr>
      <w:r>
        <w:rPr>
          <w:rFonts w:hint="eastAsia"/>
        </w:rPr>
        <w:t>（3）现场评价</w:t>
      </w:r>
    </w:p>
    <w:p w14:paraId="47BED103">
      <w:pPr>
        <w:ind w:firstLine="420" w:firstLineChars="200"/>
      </w:pPr>
      <w:r>
        <w:rPr>
          <w:rFonts w:hint="eastAsia"/>
        </w:rPr>
        <w:t>评价小组到被评价单位开展现场评价，了解整体支出情况，并查阅与资金申请、支出、工作开展等有关的资料。</w:t>
      </w:r>
    </w:p>
    <w:p w14:paraId="18782E29">
      <w:pPr>
        <w:ind w:firstLine="420" w:firstLineChars="200"/>
      </w:pPr>
      <w:r>
        <w:rPr>
          <w:rFonts w:hint="eastAsia"/>
        </w:rPr>
        <w:t>（4）综合分析</w:t>
      </w:r>
    </w:p>
    <w:p w14:paraId="76A44BBD">
      <w:pPr>
        <w:ind w:firstLine="420" w:firstLineChars="200"/>
      </w:pPr>
      <w:r>
        <w:rPr>
          <w:rFonts w:hint="eastAsia"/>
        </w:rPr>
        <w:t>评价小组对采集的基础数据资料进行整理汇总，结合现场核查情况，对项目绩效进行全面分析，形成初步评价意见。</w:t>
      </w:r>
    </w:p>
    <w:p w14:paraId="7AFE30D6">
      <w:pPr>
        <w:ind w:firstLine="420" w:firstLineChars="200"/>
      </w:pPr>
      <w:r>
        <w:rPr>
          <w:rFonts w:hint="eastAsia"/>
        </w:rPr>
        <w:t>（5）提交报告</w:t>
      </w:r>
    </w:p>
    <w:p w14:paraId="33E71C33">
      <w:pPr>
        <w:ind w:firstLine="420" w:firstLineChars="200"/>
      </w:pPr>
      <w:r>
        <w:rPr>
          <w:rFonts w:hint="eastAsia"/>
        </w:rPr>
        <w:t>①编写报告初稿</w:t>
      </w:r>
    </w:p>
    <w:p w14:paraId="1C1E1B89">
      <w:pPr>
        <w:ind w:firstLine="420" w:firstLineChars="200"/>
      </w:pPr>
      <w:r>
        <w:rPr>
          <w:rFonts w:hint="eastAsia"/>
        </w:rPr>
        <w:t>根据综合评价结果，编写《绩效评价报告》，报告撰写的内容包括林业局基本情况、资金使用情况、过程管理情况、绩效实施效果、存在问题和具体改进措施及建议等。</w:t>
      </w:r>
    </w:p>
    <w:p w14:paraId="3971EADE">
      <w:pPr>
        <w:ind w:firstLine="420" w:firstLineChars="200"/>
      </w:pPr>
      <w:r>
        <w:t>②</w:t>
      </w:r>
      <w:r>
        <w:rPr>
          <w:rFonts w:hint="eastAsia"/>
        </w:rPr>
        <w:t>提交正式报告</w:t>
      </w:r>
    </w:p>
    <w:p w14:paraId="1C31CD62">
      <w:pPr>
        <w:ind w:firstLine="420" w:firstLineChars="200"/>
      </w:pPr>
      <w:r>
        <w:rPr>
          <w:rFonts w:hint="eastAsia"/>
        </w:rPr>
        <w:t>根据莆田市财政局和被评价单位的反馈意见，莆田学院财政绩效管理研究中心研究、修订并提交正式报告。</w:t>
      </w:r>
    </w:p>
    <w:p w14:paraId="06570603">
      <w:pPr>
        <w:ind w:firstLine="420" w:firstLineChars="200"/>
      </w:pPr>
      <w:bookmarkStart w:id="403" w:name="_Toc12846"/>
      <w:r>
        <w:t>（五）数据收集方法</w:t>
      </w:r>
      <w:bookmarkEnd w:id="403"/>
    </w:p>
    <w:p w14:paraId="3EFE2C00">
      <w:pPr>
        <w:ind w:firstLine="420" w:firstLineChars="200"/>
      </w:pPr>
      <w:r>
        <w:t>1</w:t>
      </w:r>
      <w:r>
        <w:rPr>
          <w:rFonts w:hint="eastAsia"/>
        </w:rPr>
        <w:t>.</w:t>
      </w:r>
      <w:r>
        <w:t>案卷研究法</w:t>
      </w:r>
    </w:p>
    <w:p w14:paraId="7C467AEF">
      <w:pPr>
        <w:ind w:firstLine="420" w:firstLineChars="200"/>
      </w:pPr>
      <w:r>
        <w:t>从现有的项目文件、国家和地方的发展政策和战略规划、各种相关的研究和咨询报告等文档资料中寻找数据，并对同一绩效评价指标在不同文件中的数据进行对比核实，最后确定选择使用的数据。</w:t>
      </w:r>
    </w:p>
    <w:p w14:paraId="7D4417FF">
      <w:pPr>
        <w:ind w:firstLine="420" w:firstLineChars="200"/>
      </w:pPr>
      <w:r>
        <w:rPr>
          <w:rFonts w:hint="eastAsia"/>
        </w:rPr>
        <w:t>2.</w:t>
      </w:r>
      <w:r>
        <w:t>资料收集与数据填报</w:t>
      </w:r>
    </w:p>
    <w:p w14:paraId="0DEE64AA">
      <w:pPr>
        <w:ind w:firstLine="420" w:firstLineChars="200"/>
      </w:pPr>
      <w:r>
        <w:t>根据评价对象的具体情况向预算部门和资金使用单位收集相关资料。</w:t>
      </w:r>
    </w:p>
    <w:p w14:paraId="2E0AECC9">
      <w:pPr>
        <w:ind w:firstLine="420" w:firstLineChars="200"/>
      </w:pPr>
      <w:r>
        <w:rPr>
          <w:rFonts w:hint="eastAsia"/>
        </w:rPr>
        <w:t>3.</w:t>
      </w:r>
      <w:r>
        <w:t>实地调研</w:t>
      </w:r>
    </w:p>
    <w:p w14:paraId="147CC46A">
      <w:pPr>
        <w:ind w:firstLine="420" w:firstLineChars="200"/>
      </w:pPr>
      <w:r>
        <w:t>首先从项目利益相关方中确定访谈对象，包括项目的管理人员、实施人员、项目受益者及参与项目立项、决策、实施、管理的行业专家，根据调查的内容范围和主要问题，设计访谈提纲并开展访谈；其次通过现场询问、核对、勘查、检查等方法进行调查，获取绩效评价业务需要的基础资料，调研结束后将调研记录进行整理与分析并形成调研记录。</w:t>
      </w:r>
    </w:p>
    <w:p w14:paraId="5781A5AF">
      <w:pPr>
        <w:ind w:firstLine="420" w:firstLineChars="200"/>
      </w:pPr>
      <w:r>
        <w:rPr>
          <w:rFonts w:hint="eastAsia"/>
        </w:rPr>
        <w:t>4. 交流座谈</w:t>
      </w:r>
    </w:p>
    <w:p w14:paraId="0FDDDAB7">
      <w:pPr>
        <w:ind w:firstLine="420" w:firstLineChars="200"/>
      </w:pPr>
      <w:r>
        <w:t>选择参与或熟悉项目立项、决策、实施、管理等人员为</w:t>
      </w:r>
      <w:r>
        <w:rPr>
          <w:rFonts w:hint="eastAsia"/>
        </w:rPr>
        <w:t>交流</w:t>
      </w:r>
      <w:r>
        <w:t>座谈邀请对象，确保参与人员能够为绩效评价提供有效信息。</w:t>
      </w:r>
    </w:p>
    <w:p w14:paraId="68B49AE4">
      <w:pPr>
        <w:ind w:firstLine="420" w:firstLineChars="200"/>
        <w:outlineLvl w:val="0"/>
      </w:pPr>
      <w:bookmarkStart w:id="404" w:name="_Toc27321"/>
      <w:bookmarkStart w:id="405" w:name="_Toc27896"/>
      <w:bookmarkStart w:id="406" w:name="_Toc39608432"/>
      <w:r>
        <w:t>三、绩效评价指标体系设计</w:t>
      </w:r>
      <w:bookmarkEnd w:id="404"/>
      <w:bookmarkEnd w:id="405"/>
      <w:bookmarkEnd w:id="406"/>
    </w:p>
    <w:p w14:paraId="670D0638">
      <w:pPr>
        <w:ind w:firstLine="420" w:firstLineChars="200"/>
      </w:pPr>
      <w:bookmarkStart w:id="407" w:name="_Toc11772"/>
      <w:bookmarkStart w:id="408" w:name="_Toc39608433"/>
      <w:r>
        <w:t>（一）评价指标设计依据</w:t>
      </w:r>
      <w:bookmarkEnd w:id="407"/>
      <w:bookmarkEnd w:id="408"/>
    </w:p>
    <w:p w14:paraId="4347CF00">
      <w:pPr>
        <w:ind w:firstLine="420" w:firstLineChars="200"/>
      </w:pPr>
      <w:r>
        <w:rPr>
          <w:rFonts w:hint="eastAsia"/>
        </w:rPr>
        <w:t>该项目绩效评价指标是在参考财政部印发的《预算绩效评价共性指标体系》（财预[2013]53号）、《项目支出绩效评价管理办法》（财预[2020]10号）和中国资产评估协会印发的《财政支出（项目支出）绩效评价操作指引（试行）》（中评协[2014]70号）等文件的基础上，结合项目特点进行指标和分值设定。绩效评价指标体系设定遵循相关性、重要性、可比性、系统性和经济性原则，评价小组根据绩效评价对象和内容优先使用最具代表性、最能反映评价要求的核心指标，确保绩效评价指标体系设定与绩效目标有直接的联系，能够综合反映林业局整体所产生的社会效益、经济效益和可持续影响，且保证数据的获得充分考虑现实条件和可操作性。</w:t>
      </w:r>
    </w:p>
    <w:p w14:paraId="63C6197C">
      <w:pPr>
        <w:ind w:firstLine="420" w:firstLineChars="200"/>
      </w:pPr>
      <w:bookmarkStart w:id="409" w:name="_Toc32633"/>
      <w:bookmarkStart w:id="410" w:name="_Toc39608434"/>
      <w:r>
        <w:t>（二）绩效评价指标与评价标准</w:t>
      </w:r>
      <w:bookmarkEnd w:id="409"/>
      <w:bookmarkEnd w:id="410"/>
    </w:p>
    <w:p w14:paraId="6C4125BE">
      <w:pPr>
        <w:ind w:firstLine="420" w:firstLineChars="200"/>
      </w:pPr>
      <w:r>
        <w:t>绩效评价指标体系包括</w:t>
      </w:r>
      <w:r>
        <w:rPr>
          <w:rFonts w:hint="eastAsia"/>
        </w:rPr>
        <w:t>4</w:t>
      </w:r>
      <w:r>
        <w:t>个一级指标，即</w:t>
      </w:r>
      <w:r>
        <w:rPr>
          <w:rFonts w:hint="eastAsia"/>
        </w:rPr>
        <w:t>投入</w:t>
      </w:r>
      <w:r>
        <w:t>、</w:t>
      </w:r>
      <w:r>
        <w:rPr>
          <w:rFonts w:hint="eastAsia"/>
        </w:rPr>
        <w:t>过程、产出</w:t>
      </w:r>
      <w:r>
        <w:t>和</w:t>
      </w:r>
      <w:r>
        <w:rPr>
          <w:rFonts w:hint="eastAsia"/>
        </w:rPr>
        <w:t>效果</w:t>
      </w:r>
      <w:r>
        <w:t>，总分值为100分。其中</w:t>
      </w:r>
      <w:r>
        <w:rPr>
          <w:rFonts w:hint="eastAsia"/>
        </w:rPr>
        <w:t>投入</w:t>
      </w:r>
      <w:r>
        <w:t>包括</w:t>
      </w:r>
      <w:r>
        <w:rPr>
          <w:rFonts w:hint="eastAsia"/>
        </w:rPr>
        <w:t>目标设定、预算配置2个二级指标</w:t>
      </w:r>
      <w:r>
        <w:t>，并细分为</w:t>
      </w:r>
      <w:r>
        <w:rPr>
          <w:rFonts w:hint="eastAsia"/>
        </w:rPr>
        <w:t>4</w:t>
      </w:r>
      <w:r>
        <w:t>个三级指标，分值为1</w:t>
      </w:r>
      <w:r>
        <w:rPr>
          <w:rFonts w:hint="eastAsia"/>
        </w:rPr>
        <w:t>5</w:t>
      </w:r>
      <w:r>
        <w:t>分；</w:t>
      </w:r>
      <w:r>
        <w:rPr>
          <w:rFonts w:hint="eastAsia"/>
        </w:rPr>
        <w:t>过程</w:t>
      </w:r>
      <w:r>
        <w:t>包括</w:t>
      </w:r>
      <w:r>
        <w:rPr>
          <w:rFonts w:hint="eastAsia"/>
        </w:rPr>
        <w:t>预算执行</w:t>
      </w:r>
      <w:r>
        <w:t>、</w:t>
      </w:r>
      <w:r>
        <w:rPr>
          <w:rFonts w:hint="eastAsia"/>
        </w:rPr>
        <w:t>预算管理</w:t>
      </w:r>
      <w:r>
        <w:t>和</w:t>
      </w:r>
      <w:r>
        <w:rPr>
          <w:rFonts w:hint="eastAsia"/>
        </w:rPr>
        <w:t>资产管理</w:t>
      </w:r>
      <w:r>
        <w:t>3个二级指标，并细分为</w:t>
      </w:r>
      <w:r>
        <w:rPr>
          <w:rFonts w:hint="eastAsia"/>
        </w:rPr>
        <w:t>12</w:t>
      </w:r>
      <w:r>
        <w:t>个三级指标，分值为</w:t>
      </w:r>
      <w:r>
        <w:rPr>
          <w:rFonts w:hint="eastAsia"/>
        </w:rPr>
        <w:t>30</w:t>
      </w:r>
      <w:r>
        <w:t>分；</w:t>
      </w:r>
      <w:r>
        <w:rPr>
          <w:rFonts w:hint="eastAsia"/>
        </w:rPr>
        <w:t>产出仅设职责履行1个</w:t>
      </w:r>
      <w:r>
        <w:t>二级指标，并细分为</w:t>
      </w:r>
      <w:r>
        <w:rPr>
          <w:rFonts w:hint="eastAsia"/>
        </w:rPr>
        <w:t>4</w:t>
      </w:r>
      <w:r>
        <w:t>个三级指标，分值为</w:t>
      </w:r>
      <w:r>
        <w:rPr>
          <w:rFonts w:hint="eastAsia"/>
        </w:rPr>
        <w:t>20</w:t>
      </w:r>
      <w:r>
        <w:t>分</w:t>
      </w:r>
      <w:r>
        <w:rPr>
          <w:rFonts w:hint="eastAsia"/>
        </w:rPr>
        <w:t>；效果包括经济效益、社会效益、生态效益、可持续性和满意度</w:t>
      </w:r>
      <w:r>
        <w:t>二级</w:t>
      </w:r>
      <w:r>
        <w:rPr>
          <w:rFonts w:hint="eastAsia"/>
        </w:rPr>
        <w:t>指标5个</w:t>
      </w:r>
      <w:r>
        <w:t>，并细分为</w:t>
      </w:r>
      <w:r>
        <w:rPr>
          <w:rFonts w:hint="eastAsia"/>
        </w:rPr>
        <w:t>8</w:t>
      </w:r>
      <w:r>
        <w:t>个三级指标，分值为</w:t>
      </w:r>
      <w:r>
        <w:rPr>
          <w:rFonts w:hint="eastAsia"/>
        </w:rPr>
        <w:t>35</w:t>
      </w:r>
      <w:r>
        <w:t>分。</w:t>
      </w:r>
      <w:r>
        <w:rPr>
          <w:rFonts w:hint="eastAsia"/>
        </w:rPr>
        <w:t>绩效</w:t>
      </w:r>
      <w:r>
        <w:t>评估组对三级指标进行解释，说明指标设置的目的和评价的内容，同时规定明确、可量化的评分方法。</w:t>
      </w:r>
    </w:p>
    <w:p w14:paraId="2A7F39CC">
      <w:pPr>
        <w:ind w:firstLine="420" w:firstLineChars="200"/>
      </w:pPr>
      <w:r>
        <w:t>具体绩效评价指标体系</w:t>
      </w:r>
      <w:r>
        <w:rPr>
          <w:rFonts w:hint="eastAsia"/>
        </w:rPr>
        <w:t>见</w:t>
      </w:r>
      <w:r>
        <w:t>附件1所示。</w:t>
      </w:r>
    </w:p>
    <w:p w14:paraId="589A0B57">
      <w:pPr>
        <w:ind w:firstLine="420" w:firstLineChars="200"/>
        <w:outlineLvl w:val="0"/>
      </w:pPr>
      <w:bookmarkStart w:id="411" w:name="_Toc20330"/>
      <w:bookmarkStart w:id="412" w:name="_Toc21334"/>
      <w:r>
        <w:t>四、绩效分析及绩效评价结论</w:t>
      </w:r>
      <w:bookmarkEnd w:id="411"/>
      <w:bookmarkEnd w:id="412"/>
    </w:p>
    <w:p w14:paraId="586DFBAB">
      <w:pPr>
        <w:ind w:firstLine="420" w:firstLineChars="200"/>
      </w:pPr>
      <w:bookmarkStart w:id="413" w:name="_Toc39608436"/>
      <w:bookmarkStart w:id="414" w:name="_Toc11502"/>
      <w:r>
        <w:t>（一）绩效分析</w:t>
      </w:r>
      <w:bookmarkEnd w:id="413"/>
      <w:bookmarkEnd w:id="414"/>
    </w:p>
    <w:p w14:paraId="3B2F3802">
      <w:pPr>
        <w:ind w:firstLine="420" w:firstLineChars="200"/>
      </w:pPr>
      <w:r>
        <w:rPr>
          <w:rFonts w:hint="eastAsia"/>
        </w:rPr>
        <w:t>绩效</w:t>
      </w:r>
      <w:r>
        <w:t>评价组</w:t>
      </w:r>
      <w:r>
        <w:rPr>
          <w:rFonts w:hint="eastAsia"/>
        </w:rPr>
        <w:t>秉承</w:t>
      </w:r>
      <w:r>
        <w:t>客观、公正、准确的原则对</w:t>
      </w:r>
      <w:r>
        <w:rPr>
          <w:rFonts w:hint="eastAsia"/>
        </w:rPr>
        <w:t>被</w:t>
      </w:r>
      <w:r>
        <w:t>评价项目进行绩效分析和综合评分，针对评价</w:t>
      </w:r>
      <w:r>
        <w:rPr>
          <w:rFonts w:hint="eastAsia"/>
        </w:rPr>
        <w:t>中</w:t>
      </w:r>
      <w:r>
        <w:t>发现的问题提出意见</w:t>
      </w:r>
      <w:r>
        <w:rPr>
          <w:rFonts w:hint="eastAsia"/>
        </w:rPr>
        <w:t>和</w:t>
      </w:r>
      <w:r>
        <w:t>建议，</w:t>
      </w:r>
      <w:r>
        <w:rPr>
          <w:rFonts w:hint="eastAsia"/>
        </w:rPr>
        <w:t>最终</w:t>
      </w:r>
      <w:r>
        <w:t>形成绩效评价结果。</w:t>
      </w:r>
    </w:p>
    <w:p w14:paraId="2746BA93">
      <w:pPr>
        <w:ind w:firstLine="420" w:firstLineChars="200"/>
      </w:pPr>
      <w:r>
        <w:t>1</w:t>
      </w:r>
      <w:r>
        <w:rPr>
          <w:rFonts w:hint="eastAsia"/>
        </w:rPr>
        <w:t>.投入</w:t>
      </w:r>
      <w:r>
        <w:t>（满分</w:t>
      </w:r>
      <w:r>
        <w:rPr>
          <w:rFonts w:hint="eastAsia"/>
        </w:rPr>
        <w:t>15</w:t>
      </w:r>
      <w:r>
        <w:t>分，得分</w:t>
      </w:r>
      <w:r>
        <w:rPr>
          <w:rFonts w:hint="eastAsia"/>
        </w:rPr>
        <w:t>13</w:t>
      </w:r>
      <w:r>
        <w:t>分）</w:t>
      </w:r>
    </w:p>
    <w:p w14:paraId="3F8C9C93">
      <w:pPr>
        <w:ind w:firstLine="420" w:firstLineChars="200"/>
      </w:pPr>
      <w:r>
        <w:rPr>
          <w:rFonts w:hint="eastAsia"/>
        </w:rPr>
        <w:t>投入</w:t>
      </w:r>
      <w:r>
        <w:t>指标从</w:t>
      </w:r>
      <w:r>
        <w:rPr>
          <w:rFonts w:hint="eastAsia"/>
        </w:rPr>
        <w:t>目标设定和预算配置</w:t>
      </w:r>
      <w:r>
        <w:t>方面进行</w:t>
      </w:r>
      <w:r>
        <w:rPr>
          <w:rFonts w:hint="eastAsia"/>
        </w:rPr>
        <w:t>分析</w:t>
      </w:r>
      <w:r>
        <w:t>。</w:t>
      </w:r>
    </w:p>
    <w:p w14:paraId="61C8D6EA">
      <w:pPr>
        <w:ind w:firstLine="420" w:firstLineChars="200"/>
      </w:pPr>
      <w:r>
        <w:rPr>
          <w:rFonts w:hint="eastAsia"/>
        </w:rPr>
        <w:t>（1）目标设定</w:t>
      </w:r>
      <w:r>
        <w:t>（满分</w:t>
      </w:r>
      <w:r>
        <w:rPr>
          <w:rFonts w:hint="eastAsia"/>
        </w:rPr>
        <w:t>7</w:t>
      </w:r>
      <w:r>
        <w:t>分，得分</w:t>
      </w:r>
      <w:r>
        <w:rPr>
          <w:rFonts w:hint="eastAsia"/>
        </w:rPr>
        <w:t>5</w:t>
      </w:r>
      <w:r>
        <w:t>分）</w:t>
      </w:r>
    </w:p>
    <w:p w14:paraId="14E09CAC">
      <w:pPr>
        <w:ind w:firstLine="420" w:firstLineChars="200"/>
      </w:pPr>
      <w:r>
        <w:t>①</w:t>
      </w:r>
      <w:r>
        <w:rPr>
          <w:rFonts w:hint="eastAsia"/>
        </w:rPr>
        <w:t>绩效目标合理性（满分3分，得分3分）</w:t>
      </w:r>
    </w:p>
    <w:p w14:paraId="78DEE2FE">
      <w:pPr>
        <w:ind w:firstLine="420" w:firstLineChars="200"/>
      </w:pPr>
      <w:r>
        <w:rPr>
          <w:rFonts w:hint="eastAsia"/>
        </w:rPr>
        <w:t>根据莆田市林业局“十二五”规划实施情况及</w:t>
      </w:r>
      <w:r>
        <w:rPr>
          <w:rFonts w:hint="default"/>
          <w:lang w:val="en-US" w:eastAsia="zh-CN"/>
        </w:rPr>
        <w:t>“十三五”规划</w:t>
      </w:r>
      <w:r>
        <w:rPr>
          <w:rFonts w:hint="eastAsia"/>
        </w:rPr>
        <w:t>、《莆田市林业局职能配置、内设机构和人员编制规定》（莆委办发[2019]24号）、《莆田市森林公安局职能配置、内设机构和人员编制规定》（莆委编[2002]062号），本项目绩效目标合理性符合法律法规、国民经济、发展规划，符合莆田市林业局制定的中长期实施规划，符合部门“三定”方案确定的职责。根据评分标准，绩效目标合理性得3分。</w:t>
      </w:r>
    </w:p>
    <w:p w14:paraId="468E7199">
      <w:pPr>
        <w:ind w:firstLine="420" w:firstLineChars="200"/>
      </w:pPr>
      <w:r>
        <w:t>②</w:t>
      </w:r>
      <w:r>
        <w:rPr>
          <w:rFonts w:hint="eastAsia"/>
        </w:rPr>
        <w:t>绩效指标明确性（满分4分，得分2分）</w:t>
      </w:r>
    </w:p>
    <w:p w14:paraId="41EABCBB">
      <w:pPr>
        <w:ind w:firstLine="420" w:firstLineChars="200"/>
      </w:pPr>
      <w:r>
        <w:rPr>
          <w:rFonts w:hint="eastAsia"/>
        </w:rPr>
        <w:t>根据《</w:t>
      </w:r>
      <w:r>
        <w:t>2020年莆田市林业局整体支出绩效目标申报表</w:t>
      </w:r>
      <w:r>
        <w:rPr>
          <w:rFonts w:hint="eastAsia"/>
        </w:rPr>
        <w:t>》，莆田市林业局对部门整体绩效目标进行细化，并通过可量化指标进行体现，但部门整体绩效未覆盖所有下属单位，莆田市凤凰山风景名胜区管理处和莆田市森林公安局并未列入。故整体绩效设置的指标未能与年度的任务相对应，也不能与本年度部门预算资金相匹配，扣2分。根据评分标准，绩效指标明确性得2分。</w:t>
      </w:r>
    </w:p>
    <w:p w14:paraId="7B674DF3">
      <w:pPr>
        <w:ind w:firstLine="420" w:firstLineChars="200"/>
      </w:pPr>
      <w:r>
        <w:rPr>
          <w:rFonts w:hint="eastAsia"/>
        </w:rPr>
        <w:t>（2）预算配置（满分8分，得8分）</w:t>
      </w:r>
    </w:p>
    <w:p w14:paraId="55E586F5">
      <w:pPr>
        <w:ind w:firstLine="420" w:firstLineChars="200"/>
      </w:pPr>
      <w:r>
        <w:t>①在职人员控制率</w:t>
      </w:r>
      <w:r>
        <w:rPr>
          <w:rFonts w:hint="eastAsia"/>
        </w:rPr>
        <w:t>（满分4分，得4分）</w:t>
      </w:r>
    </w:p>
    <w:p w14:paraId="4BFBB137">
      <w:pPr>
        <w:ind w:firstLine="420" w:firstLineChars="200"/>
      </w:pPr>
      <w:r>
        <w:rPr>
          <w:rFonts w:hint="eastAsia"/>
        </w:rPr>
        <w:t>2020年12月份莆田市林业局在职人员62人，编制数72人，在职人员控制率=62/72×100%=86.11%＜95%，根据评分标准，在职人员控制率得4分。</w:t>
      </w:r>
    </w:p>
    <w:p w14:paraId="7A66CDC0">
      <w:pPr>
        <w:ind w:firstLine="420" w:firstLineChars="200"/>
      </w:pPr>
      <w:r>
        <w:t>②“三公”经费</w:t>
      </w:r>
      <w:r>
        <w:rPr>
          <w:rFonts w:hint="eastAsia"/>
        </w:rPr>
        <w:t>变动</w:t>
      </w:r>
      <w:r>
        <w:t>率</w:t>
      </w:r>
      <w:r>
        <w:rPr>
          <w:rFonts w:hint="eastAsia"/>
        </w:rPr>
        <w:t>（满分4分，得4分）</w:t>
      </w:r>
    </w:p>
    <w:p w14:paraId="1B7B7007">
      <w:pPr>
        <w:ind w:firstLine="420" w:firstLineChars="200"/>
      </w:pPr>
      <w:r>
        <w:t>据2019年、2020年</w:t>
      </w:r>
      <w:r>
        <w:rPr>
          <w:rFonts w:hint="eastAsia"/>
        </w:rPr>
        <w:t>莆田</w:t>
      </w:r>
      <w:r>
        <w:t>市财政</w:t>
      </w:r>
      <w:r>
        <w:rPr>
          <w:rFonts w:hint="eastAsia"/>
        </w:rPr>
        <w:t>局</w:t>
      </w:r>
      <w:r>
        <w:t>批复市林业部门“三公”经费预算控制数文件</w:t>
      </w:r>
      <w:r>
        <w:rPr>
          <w:rFonts w:hint="eastAsia"/>
        </w:rPr>
        <w:t>，</w:t>
      </w:r>
      <w:r>
        <w:t>2020年“三公”经费预算数</w:t>
      </w:r>
      <w:r>
        <w:rPr>
          <w:rFonts w:hint="eastAsia"/>
        </w:rPr>
        <w:t>2</w:t>
      </w:r>
      <w:r>
        <w:t>1.49万元</w:t>
      </w:r>
      <w:r>
        <w:rPr>
          <w:rFonts w:hint="eastAsia"/>
        </w:rPr>
        <w:t>（扣除经批准增加的公务用车购置费20万元），</w:t>
      </w:r>
      <w:r>
        <w:t>2019年“三公”经费预算数</w:t>
      </w:r>
      <w:r>
        <w:rPr>
          <w:rFonts w:hint="eastAsia"/>
        </w:rPr>
        <w:t>22.24</w:t>
      </w:r>
      <w:r>
        <w:t>万元</w:t>
      </w:r>
      <w:r>
        <w:rPr>
          <w:rFonts w:hint="eastAsia"/>
        </w:rPr>
        <w:t>。</w:t>
      </w:r>
      <w:r>
        <w:t>“三公”经费</w:t>
      </w:r>
      <w:r>
        <w:rPr>
          <w:rFonts w:hint="eastAsia"/>
        </w:rPr>
        <w:t>变动</w:t>
      </w:r>
      <w:r>
        <w:t>率</w:t>
      </w:r>
      <w:r>
        <w:rPr>
          <w:rFonts w:hint="eastAsia"/>
        </w:rPr>
        <w:t>=（2</w:t>
      </w:r>
      <w:r>
        <w:t>1.49-</w:t>
      </w:r>
      <w:r>
        <w:rPr>
          <w:rFonts w:hint="eastAsia"/>
        </w:rPr>
        <w:t>22</w:t>
      </w:r>
      <w:r>
        <w:t>.24）/</w:t>
      </w:r>
      <w:r>
        <w:rPr>
          <w:rFonts w:hint="eastAsia"/>
        </w:rPr>
        <w:t>22</w:t>
      </w:r>
      <w:r>
        <w:t>.24×100%=</w:t>
      </w:r>
      <w:r>
        <w:rPr>
          <w:rFonts w:hint="eastAsia"/>
        </w:rPr>
        <w:t>-3.37</w:t>
      </w:r>
      <w:r>
        <w:t>%</w:t>
      </w:r>
      <w:r>
        <w:rPr>
          <w:rFonts w:hint="eastAsia"/>
        </w:rPr>
        <w:t>。根据评分标准，</w:t>
      </w:r>
      <w:r>
        <w:t>“三公”经费</w:t>
      </w:r>
      <w:r>
        <w:rPr>
          <w:rFonts w:hint="eastAsia"/>
        </w:rPr>
        <w:t>变动</w:t>
      </w:r>
      <w:r>
        <w:t>率</w:t>
      </w:r>
      <w:r>
        <w:rPr>
          <w:rFonts w:hint="eastAsia"/>
        </w:rPr>
        <w:t>得4分。</w:t>
      </w:r>
    </w:p>
    <w:p w14:paraId="3DA96D82">
      <w:pPr>
        <w:ind w:firstLine="420" w:firstLineChars="200"/>
      </w:pPr>
      <w:r>
        <w:t>2</w:t>
      </w:r>
      <w:r>
        <w:rPr>
          <w:rFonts w:hint="eastAsia"/>
        </w:rPr>
        <w:t>.过程</w:t>
      </w:r>
      <w:r>
        <w:t>（满分</w:t>
      </w:r>
      <w:r>
        <w:rPr>
          <w:rFonts w:hint="eastAsia"/>
        </w:rPr>
        <w:t>30</w:t>
      </w:r>
      <w:r>
        <w:t>分，得分</w:t>
      </w:r>
      <w:r>
        <w:rPr>
          <w:rFonts w:hint="eastAsia"/>
        </w:rPr>
        <w:t>27.83</w:t>
      </w:r>
      <w:r>
        <w:t>分）</w:t>
      </w:r>
    </w:p>
    <w:p w14:paraId="314B7A84">
      <w:pPr>
        <w:ind w:firstLine="420" w:firstLineChars="200"/>
      </w:pPr>
      <w:r>
        <w:rPr>
          <w:rFonts w:hint="eastAsia"/>
        </w:rPr>
        <w:t>过程指标分析从预算执行、预算管理和资产管理3个方面进行。</w:t>
      </w:r>
    </w:p>
    <w:p w14:paraId="08A50D45">
      <w:pPr>
        <w:ind w:firstLine="420" w:firstLineChars="200"/>
      </w:pPr>
      <w:r>
        <w:t>（1）</w:t>
      </w:r>
      <w:r>
        <w:rPr>
          <w:rFonts w:hint="eastAsia"/>
        </w:rPr>
        <w:t>预算执行（满分14分，得分11.83分）</w:t>
      </w:r>
    </w:p>
    <w:p w14:paraId="2D10DF61">
      <w:pPr>
        <w:ind w:firstLine="420" w:firstLineChars="200"/>
      </w:pPr>
      <w:r>
        <w:t>①预算</w:t>
      </w:r>
      <w:r>
        <w:rPr>
          <w:rFonts w:hint="eastAsia"/>
        </w:rPr>
        <w:t>完成</w:t>
      </w:r>
      <w:r>
        <w:t>率</w:t>
      </w:r>
      <w:r>
        <w:rPr>
          <w:rFonts w:hint="eastAsia"/>
        </w:rPr>
        <w:t>（满分3分，得分2.84分）</w:t>
      </w:r>
    </w:p>
    <w:p w14:paraId="1E392B38">
      <w:pPr>
        <w:ind w:firstLine="420" w:firstLineChars="200"/>
      </w:pPr>
      <w:r>
        <w:rPr>
          <w:rFonts w:hint="eastAsia"/>
        </w:rPr>
        <w:t>根据莆田市林业局2020年决算报表数据，</w:t>
      </w:r>
      <w:r>
        <w:t>预算完成数16725161.65</w:t>
      </w:r>
      <w:r>
        <w:rPr>
          <w:rFonts w:hint="eastAsia"/>
        </w:rPr>
        <w:t>元，</w:t>
      </w:r>
      <w:r>
        <w:t>预算数17660032.25</w:t>
      </w:r>
      <w:r>
        <w:rPr>
          <w:rFonts w:hint="eastAsia"/>
        </w:rPr>
        <w:t>元，预算完成率=</w:t>
      </w:r>
      <w:r>
        <w:t>（16725161.65/17660032.25）×100%=94.71%</w:t>
      </w:r>
      <w:r>
        <w:rPr>
          <w:rFonts w:hint="eastAsia"/>
        </w:rPr>
        <w:t>，得分=</w:t>
      </w:r>
      <w:r>
        <w:t>94.71%×</w:t>
      </w:r>
      <w:r>
        <w:rPr>
          <w:rFonts w:hint="eastAsia"/>
        </w:rPr>
        <w:t>3</w:t>
      </w:r>
      <w:r>
        <w:t>=</w:t>
      </w:r>
      <w:r>
        <w:rPr>
          <w:rFonts w:hint="eastAsia"/>
        </w:rPr>
        <w:t>2.84</w:t>
      </w:r>
      <w:r>
        <w:t>分</w:t>
      </w:r>
      <w:r>
        <w:rPr>
          <w:rFonts w:hint="eastAsia"/>
        </w:rPr>
        <w:t>。根据评价标准，预算完成率得2.84分。</w:t>
      </w:r>
    </w:p>
    <w:p w14:paraId="02627A24">
      <w:pPr>
        <w:ind w:firstLine="420" w:firstLineChars="200"/>
      </w:pPr>
      <w:r>
        <w:t>②预算调整率</w:t>
      </w:r>
      <w:r>
        <w:rPr>
          <w:rFonts w:hint="eastAsia"/>
        </w:rPr>
        <w:t>（满分3分，得分2.99分）</w:t>
      </w:r>
    </w:p>
    <w:p w14:paraId="358AC615">
      <w:pPr>
        <w:ind w:firstLine="420" w:firstLineChars="200"/>
      </w:pPr>
      <w:r>
        <w:rPr>
          <w:rFonts w:hint="eastAsia"/>
        </w:rPr>
        <w:t>根据莆田市林业局</w:t>
      </w:r>
      <w:r>
        <w:t>2020年决算报表数据</w:t>
      </w:r>
      <w:r>
        <w:rPr>
          <w:rFonts w:hint="eastAsia"/>
        </w:rPr>
        <w:t>，</w:t>
      </w:r>
      <w:r>
        <w:t>预算调整数</w:t>
      </w:r>
      <w:r>
        <w:rPr>
          <w:rFonts w:hint="eastAsia"/>
        </w:rPr>
        <w:t>为</w:t>
      </w:r>
      <w:r>
        <w:t>30452.51</w:t>
      </w:r>
      <w:r>
        <w:rPr>
          <w:rFonts w:hint="eastAsia"/>
        </w:rPr>
        <w:t>元，</w:t>
      </w:r>
      <w:r>
        <w:t>年初预算数17660032.25</w:t>
      </w:r>
      <w:r>
        <w:rPr>
          <w:rFonts w:hint="eastAsia"/>
        </w:rPr>
        <w:t>元。预算调整率=</w:t>
      </w:r>
      <w:r>
        <w:t>30452.51/17660032.25×100%=0.17%，</w:t>
      </w:r>
      <w:r>
        <w:rPr>
          <w:rFonts w:hint="eastAsia"/>
        </w:rPr>
        <w:t>得分=3</w:t>
      </w:r>
      <w:r>
        <w:t>-</w:t>
      </w:r>
      <w:r>
        <w:rPr>
          <w:rFonts w:hint="eastAsia"/>
        </w:rPr>
        <w:t>3</w:t>
      </w:r>
      <w:r>
        <w:t>×0.17%=</w:t>
      </w:r>
      <w:r>
        <w:rPr>
          <w:rFonts w:hint="eastAsia"/>
        </w:rPr>
        <w:t>2</w:t>
      </w:r>
      <w:r>
        <w:t>.99分</w:t>
      </w:r>
      <w:r>
        <w:rPr>
          <w:rFonts w:hint="eastAsia"/>
        </w:rPr>
        <w:t>。根据评价标准，预算调整率得2.99分。</w:t>
      </w:r>
    </w:p>
    <w:p w14:paraId="6D150627">
      <w:pPr>
        <w:ind w:firstLine="420" w:firstLineChars="200"/>
      </w:pPr>
      <w:r>
        <w:t>③结转结余变动率</w:t>
      </w:r>
      <w:r>
        <w:rPr>
          <w:rFonts w:hint="eastAsia"/>
        </w:rPr>
        <w:t>（满分2分，得分2分）</w:t>
      </w:r>
    </w:p>
    <w:p w14:paraId="3C60CCF9">
      <w:pPr>
        <w:ind w:firstLine="420" w:firstLineChars="200"/>
      </w:pPr>
      <w:r>
        <w:rPr>
          <w:rFonts w:hint="eastAsia"/>
        </w:rPr>
        <w:t>根据莆田市林业局</w:t>
      </w:r>
      <w:r>
        <w:t>决算报表数据</w:t>
      </w:r>
      <w:r>
        <w:rPr>
          <w:rFonts w:hint="eastAsia"/>
        </w:rPr>
        <w:t>，2020年</w:t>
      </w:r>
      <w:r>
        <w:t>结转结余总额358692.16</w:t>
      </w:r>
      <w:r>
        <w:rPr>
          <w:rFonts w:hint="eastAsia"/>
        </w:rPr>
        <w:t>元，</w:t>
      </w:r>
      <w:r>
        <w:t>2019年结转结余总额685880.90</w:t>
      </w:r>
      <w:r>
        <w:rPr>
          <w:rFonts w:hint="eastAsia"/>
        </w:rPr>
        <w:t>元，结转结余变动率=（358692.16-</w:t>
      </w:r>
      <w:r>
        <w:t>685880.90）</w:t>
      </w:r>
      <w:r>
        <w:rPr>
          <w:rFonts w:hint="eastAsia"/>
        </w:rPr>
        <w:t>/</w:t>
      </w:r>
      <w:r>
        <w:t>685880.90×100%=-47.70%</w:t>
      </w:r>
      <w:r>
        <w:rPr>
          <w:rFonts w:hint="eastAsia"/>
        </w:rPr>
        <w:t>元。根据评价标准，结转结余变动率得2分。</w:t>
      </w:r>
    </w:p>
    <w:p w14:paraId="12110A48">
      <w:pPr>
        <w:ind w:firstLine="420" w:firstLineChars="200"/>
      </w:pPr>
      <w:r>
        <w:t>④公用经费控制率</w:t>
      </w:r>
      <w:r>
        <w:rPr>
          <w:rFonts w:hint="eastAsia"/>
        </w:rPr>
        <w:t>（满分2分，得分2分）</w:t>
      </w:r>
    </w:p>
    <w:p w14:paraId="0688E10F">
      <w:pPr>
        <w:ind w:firstLine="420" w:firstLineChars="200"/>
      </w:pPr>
      <w:r>
        <w:rPr>
          <w:rFonts w:hint="eastAsia"/>
        </w:rPr>
        <w:t>根据莆田市林业局提供的</w:t>
      </w:r>
      <w:r>
        <w:t>2020年决算报表数据</w:t>
      </w:r>
      <w:r>
        <w:rPr>
          <w:rFonts w:hint="eastAsia"/>
        </w:rPr>
        <w:t>，</w:t>
      </w:r>
      <w:r>
        <w:t>实际支出公用经费总额437319.76</w:t>
      </w:r>
      <w:r>
        <w:rPr>
          <w:rFonts w:hint="eastAsia"/>
        </w:rPr>
        <w:t>元，</w:t>
      </w:r>
      <w:r>
        <w:t>预算安排公用经费总额569150.62</w:t>
      </w:r>
      <w:r>
        <w:rPr>
          <w:rFonts w:hint="eastAsia"/>
        </w:rPr>
        <w:t>元，公用经费控制率=</w:t>
      </w:r>
      <w:r>
        <w:t>437319.76</w:t>
      </w:r>
      <w:r>
        <w:rPr>
          <w:rFonts w:hint="eastAsia"/>
        </w:rPr>
        <w:t>/</w:t>
      </w:r>
      <w:r>
        <w:t>569150.62×100%=76.84%</w:t>
      </w:r>
      <w:r>
        <w:rPr>
          <w:rFonts w:hint="eastAsia"/>
        </w:rPr>
        <w:t>。根据评价标准，公用经费控制率得2分。</w:t>
      </w:r>
    </w:p>
    <w:p w14:paraId="6B175454">
      <w:pPr>
        <w:ind w:firstLine="420" w:firstLineChars="200"/>
      </w:pPr>
      <w:r>
        <w:t>⑤“三公经费”控制率</w:t>
      </w:r>
      <w:r>
        <w:rPr>
          <w:rFonts w:hint="eastAsia"/>
        </w:rPr>
        <w:t>（满分2分，得分2分）</w:t>
      </w:r>
    </w:p>
    <w:p w14:paraId="239BA0B6">
      <w:pPr>
        <w:ind w:firstLine="420" w:firstLineChars="200"/>
      </w:pPr>
      <w:r>
        <w:rPr>
          <w:rFonts w:hint="eastAsia"/>
        </w:rPr>
        <w:t>根据莆田市林业局提供的</w:t>
      </w:r>
      <w:r>
        <w:t>2020年决算报表数据</w:t>
      </w:r>
      <w:r>
        <w:rPr>
          <w:rFonts w:hint="eastAsia"/>
        </w:rPr>
        <w:t>，“三公经费”实际支出数4.88万元，“三公经费”预算安排数41.49万元。“三公经费”控制率=</w:t>
      </w:r>
      <w:r>
        <w:t>4.88</w:t>
      </w:r>
      <w:r>
        <w:rPr>
          <w:rFonts w:hint="eastAsia"/>
        </w:rPr>
        <w:t>万元/</w:t>
      </w:r>
      <w:r>
        <w:t>41.49</w:t>
      </w:r>
      <w:r>
        <w:rPr>
          <w:rFonts w:hint="eastAsia"/>
        </w:rPr>
        <w:t>万元</w:t>
      </w:r>
      <w:r>
        <w:t>×100%=11.76%</w:t>
      </w:r>
      <w:r>
        <w:rPr>
          <w:rFonts w:hint="eastAsia"/>
        </w:rPr>
        <w:t>。根据评价标准，“三公经费”控制率得2分。</w:t>
      </w:r>
    </w:p>
    <w:p w14:paraId="05B4698A">
      <w:pPr>
        <w:ind w:firstLine="420" w:firstLineChars="200"/>
      </w:pPr>
      <w:r>
        <w:rPr>
          <w:rFonts w:hint="eastAsia"/>
        </w:rPr>
        <w:t>⑥政府采购执行率（满分2分，得分0分）</w:t>
      </w:r>
    </w:p>
    <w:p w14:paraId="25ED0210">
      <w:pPr>
        <w:ind w:firstLine="420" w:firstLineChars="200"/>
      </w:pPr>
      <w:r>
        <w:rPr>
          <w:rFonts w:hint="eastAsia"/>
        </w:rPr>
        <w:t>根据莆田市林业局提供的2020年度决算报表中的《政府采购核对表》数据，2020年实际政府采购金额为0，政府采购预算数为999.67万元，故政府采购执行率=0%。根据评价标准，政府采购执行率得0分。</w:t>
      </w:r>
    </w:p>
    <w:p w14:paraId="54553693">
      <w:pPr>
        <w:ind w:firstLine="420" w:firstLineChars="200"/>
      </w:pPr>
      <w:r>
        <w:t>（2）</w:t>
      </w:r>
      <w:r>
        <w:rPr>
          <w:rFonts w:hint="eastAsia"/>
        </w:rPr>
        <w:t>预算管理（满分7分，得分7分）</w:t>
      </w:r>
    </w:p>
    <w:p w14:paraId="1873A19B">
      <w:pPr>
        <w:ind w:firstLine="420" w:firstLineChars="200"/>
      </w:pPr>
      <w:r>
        <w:t>①</w:t>
      </w:r>
      <w:r>
        <w:rPr>
          <w:rFonts w:hint="eastAsia"/>
        </w:rPr>
        <w:t>财务制度健全性（满分2分，得分2分）</w:t>
      </w:r>
    </w:p>
    <w:p w14:paraId="2DD55DB1">
      <w:pPr>
        <w:ind w:firstLine="420" w:firstLineChars="200"/>
      </w:pPr>
      <w:r>
        <w:rPr>
          <w:rFonts w:hint="eastAsia"/>
        </w:rPr>
        <w:t>根据《莆田市市级林业专项资金管理暂行办法》（莆财资环[2020]16号）、《莆田市市级财政专项资金管理办法》（莆财预[2017]159号）、莆田市林业局财务报销审批管理制度和莆田市林业局制度汇编文件，莆田市林业局已制定资金管理办法，且管理制度合法、合规、完整。根据评价标准，财务管理制度健全性得2分。</w:t>
      </w:r>
    </w:p>
    <w:p w14:paraId="7C96F347">
      <w:pPr>
        <w:ind w:firstLine="420" w:firstLineChars="200"/>
      </w:pPr>
      <w:r>
        <w:t>②资金使用合规性</w:t>
      </w:r>
      <w:r>
        <w:rPr>
          <w:rFonts w:hint="eastAsia"/>
        </w:rPr>
        <w:t>（满分3分，得分3分）</w:t>
      </w:r>
      <w:r>
        <w:t>。</w:t>
      </w:r>
    </w:p>
    <w:p w14:paraId="5BB398D6">
      <w:pPr>
        <w:ind w:firstLine="420" w:firstLineChars="200"/>
      </w:pPr>
      <w:r>
        <w:rPr>
          <w:rFonts w:hint="eastAsia"/>
        </w:rPr>
        <w:t>根据莆田市林业局制度汇编和绩效评价组对相关资料检查，莆田市林业局的资金拨付有完整的审批程序和手续，资金使用符合预算批复用途，未发现截留、挤占、挪用、虚列支出的情况。根据评价标准，资金使用合规性得3分。</w:t>
      </w:r>
    </w:p>
    <w:p w14:paraId="39354643">
      <w:pPr>
        <w:ind w:firstLine="420" w:firstLineChars="200"/>
      </w:pPr>
      <w:r>
        <w:t>③预决算信息公开性</w:t>
      </w:r>
      <w:r>
        <w:rPr>
          <w:rFonts w:hint="eastAsia"/>
        </w:rPr>
        <w:t>（满分2分，得分2分）</w:t>
      </w:r>
    </w:p>
    <w:p w14:paraId="689BDF8B">
      <w:pPr>
        <w:ind w:firstLine="420" w:firstLineChars="200"/>
      </w:pPr>
      <w:r>
        <w:rPr>
          <w:rFonts w:hint="eastAsia"/>
        </w:rPr>
        <w:t>根据《莆田市财政局关于批复2020年市林业部门预算和绩效目标的通知》（莆财资环[2020]3号）、莆田市财政局网站上2020年莆田市林业局部门预算公开、《莆田市财政局关于批复2019年市林业部门决算的通知》和莆田市财政局网站上2019年莆田市林业局部门决算公开。莆田市林业局按规定内容和规定时间公开预算、决算信息。根据评价标准，预决算信息公开性得2分。</w:t>
      </w:r>
    </w:p>
    <w:p w14:paraId="22F1D883">
      <w:pPr>
        <w:ind w:firstLine="420" w:firstLineChars="200"/>
      </w:pPr>
      <w:r>
        <w:t>（3）资产管理</w:t>
      </w:r>
      <w:r>
        <w:rPr>
          <w:rFonts w:hint="eastAsia"/>
        </w:rPr>
        <w:t>（满分9分，得分9分）</w:t>
      </w:r>
    </w:p>
    <w:p w14:paraId="1B908ECC">
      <w:pPr>
        <w:ind w:firstLine="420" w:firstLineChars="200"/>
      </w:pPr>
      <w:r>
        <w:t>①管理制度健全性</w:t>
      </w:r>
      <w:r>
        <w:rPr>
          <w:rFonts w:hint="eastAsia"/>
        </w:rPr>
        <w:t>（满分3分，得分3分）</w:t>
      </w:r>
    </w:p>
    <w:p w14:paraId="39C5FF8A">
      <w:pPr>
        <w:ind w:firstLine="420" w:firstLineChars="200"/>
      </w:pPr>
      <w:r>
        <w:rPr>
          <w:rFonts w:hint="eastAsia"/>
        </w:rPr>
        <w:t>根据莆田市林业局制定的《莆田市林业局制度汇编(试行)》内容包括：中共莆田市林业局党组议事制度；莆田市林业局局务会议制度；工作碰头会议制度；局全体干部职工会议制度；局部门业务会议制度；学习制度；收发文管理制度；接待管理制度；财务管理制；固定资产和办公用品管理制度；车辆管理制度；驾驶员管理制度；聘用临时人员制度；印章管理制度；工作纪律制度；请假及出差审批制度；节假日值班制度等规定。莆田市林业局已制定资产管理制度、资金管理制度，并且制度合法、合规、完整，资产管理制度得到有效执行。根据评价标准，管理制度健全性得3分。</w:t>
      </w:r>
    </w:p>
    <w:p w14:paraId="693F7CC0">
      <w:pPr>
        <w:ind w:firstLine="420" w:firstLineChars="200"/>
      </w:pPr>
      <w:r>
        <w:t>②资产管理安全性</w:t>
      </w:r>
      <w:r>
        <w:rPr>
          <w:rFonts w:hint="eastAsia"/>
        </w:rPr>
        <w:t>（满分3分，得分3分）</w:t>
      </w:r>
    </w:p>
    <w:p w14:paraId="451F4D80">
      <w:pPr>
        <w:ind w:firstLine="420" w:firstLineChars="200"/>
      </w:pPr>
      <w:r>
        <w:rPr>
          <w:rFonts w:hint="eastAsia"/>
        </w:rPr>
        <w:t>根据莆田市林业局制定的《莆田市林业局制度汇编(试行)》固定资产和办公用品管理制度和莆田市财政局的《政府资产综合管理平台》中的莆田市林业局数据，莆田市林业局资产配置合理、保存完整，帐实相符，处置规范。根据评价标准，资产管理安全性得3分。</w:t>
      </w:r>
    </w:p>
    <w:p w14:paraId="73E614FC">
      <w:pPr>
        <w:ind w:firstLine="420" w:firstLineChars="200"/>
      </w:pPr>
      <w:r>
        <w:t>③</w:t>
      </w:r>
      <w:r>
        <w:rPr>
          <w:rFonts w:hint="eastAsia"/>
        </w:rPr>
        <w:t>固定资产利用率（满分3分，得分3分）</w:t>
      </w:r>
    </w:p>
    <w:p w14:paraId="74BF1F11">
      <w:pPr>
        <w:ind w:firstLine="420" w:firstLineChars="200"/>
      </w:pPr>
      <w:r>
        <w:rPr>
          <w:rFonts w:hint="eastAsia"/>
        </w:rPr>
        <w:t>根据莆田市财政局《政府资产综合管理平台》2020年12月《</w:t>
      </w:r>
      <w:r>
        <w:t>资产情况汇总表</w:t>
      </w:r>
      <w:r>
        <w:rPr>
          <w:rFonts w:hint="eastAsia"/>
        </w:rPr>
        <w:t>》中莆田市林业局数据和《</w:t>
      </w:r>
      <w:r>
        <w:t>固定资产不在用清单</w:t>
      </w:r>
      <w:r>
        <w:rPr>
          <w:rFonts w:hint="eastAsia"/>
        </w:rPr>
        <w:t>》数据，莆田市林业局固定资产总额为</w:t>
      </w:r>
      <w:r>
        <w:t>155.15万</w:t>
      </w:r>
      <w:r>
        <w:rPr>
          <w:rFonts w:hint="eastAsia"/>
        </w:rPr>
        <w:t>元，不在用固定资产为9.73万元，固定资产利用率=</w:t>
      </w:r>
      <w:r>
        <w:t>（155.15-9.73）/155.15*100%=93.73%</w:t>
      </w:r>
      <w:r>
        <w:rPr>
          <w:rFonts w:hint="eastAsia"/>
        </w:rPr>
        <w:t>。根据评价标准，固定资产利用率得3分。</w:t>
      </w:r>
    </w:p>
    <w:p w14:paraId="63F936F9">
      <w:pPr>
        <w:ind w:firstLine="420" w:firstLineChars="200"/>
      </w:pPr>
      <w:r>
        <w:rPr>
          <w:rFonts w:hint="eastAsia"/>
        </w:rPr>
        <w:t>3.产出</w:t>
      </w:r>
      <w:r>
        <w:t>（满分</w:t>
      </w:r>
      <w:r>
        <w:rPr>
          <w:rFonts w:hint="eastAsia"/>
        </w:rPr>
        <w:t>20</w:t>
      </w:r>
      <w:r>
        <w:t>分，得分</w:t>
      </w:r>
      <w:r>
        <w:rPr>
          <w:rFonts w:hint="eastAsia"/>
        </w:rPr>
        <w:t>14.31</w:t>
      </w:r>
      <w:r>
        <w:t>分）</w:t>
      </w:r>
    </w:p>
    <w:p w14:paraId="15E7E4D1">
      <w:pPr>
        <w:ind w:firstLine="420" w:firstLineChars="200"/>
      </w:pPr>
      <w:r>
        <w:rPr>
          <w:rFonts w:hint="eastAsia"/>
        </w:rPr>
        <w:t>职责履行（满分20分，得分14.31分）</w:t>
      </w:r>
    </w:p>
    <w:p w14:paraId="52022D24">
      <w:pPr>
        <w:ind w:firstLine="420" w:firstLineChars="200"/>
      </w:pPr>
      <w:r>
        <w:t>①</w:t>
      </w:r>
      <w:r>
        <w:rPr>
          <w:rFonts w:hint="eastAsia"/>
        </w:rPr>
        <w:t>绩效目标完成率（满分5分，得分4.06分）</w:t>
      </w:r>
    </w:p>
    <w:p w14:paraId="7614023F">
      <w:pPr>
        <w:ind w:firstLine="420" w:firstLineChars="200"/>
      </w:pPr>
      <w:r>
        <w:rPr>
          <w:rFonts w:hint="eastAsia"/>
        </w:rPr>
        <w:t>根据莆田市林业局《部门整体支出绩效目标申报表》、《部门整体支出绩效目标自评表》及评价小组对相关资料的查阅，整体绩效申报目标数32个，其中已实现目标数26个。绩效目标完成率=26/32×100%=81.25%，得分=81.25%*5=4.06分。根据评价标准，绩效目标完成率得4.06分。</w:t>
      </w:r>
    </w:p>
    <w:p w14:paraId="0FE4E000">
      <w:pPr>
        <w:ind w:firstLine="420" w:firstLineChars="200"/>
      </w:pPr>
      <w:r>
        <w:t>②项目完成质量达标率</w:t>
      </w:r>
      <w:r>
        <w:rPr>
          <w:rFonts w:hint="eastAsia"/>
        </w:rPr>
        <w:t>（满分5分，得分3.05分）</w:t>
      </w:r>
    </w:p>
    <w:p w14:paraId="68DD72B7">
      <w:pPr>
        <w:ind w:firstLine="420" w:firstLineChars="200"/>
      </w:pPr>
      <w:r>
        <w:rPr>
          <w:rFonts w:hint="eastAsia"/>
        </w:rPr>
        <w:t>根据各项目绩效自评表的评价等级统计，莆田市林业局2020年共有20个项目，其中：</w:t>
      </w:r>
      <w:r>
        <w:t>2个</w:t>
      </w:r>
      <w:r>
        <w:rPr>
          <w:rFonts w:hint="eastAsia"/>
        </w:rPr>
        <w:t>项目</w:t>
      </w:r>
      <w:r>
        <w:t>资金未到位</w:t>
      </w:r>
      <w:r>
        <w:rPr>
          <w:rFonts w:hint="eastAsia"/>
        </w:rPr>
        <w:t>，18个项目资金已到位，其中</w:t>
      </w:r>
      <w:r>
        <w:t>自评结果为优良的项目11个</w:t>
      </w:r>
      <w:r>
        <w:rPr>
          <w:rFonts w:hint="eastAsia"/>
        </w:rPr>
        <w:t>。</w:t>
      </w:r>
      <w:r>
        <w:t>项目完成质量达标率=</w:t>
      </w:r>
      <w:r>
        <w:rPr>
          <w:rFonts w:hint="eastAsia"/>
        </w:rPr>
        <w:t>11</w:t>
      </w:r>
      <w:r>
        <w:t>/18×100%=61%</w:t>
      </w:r>
      <w:r>
        <w:rPr>
          <w:rFonts w:hint="eastAsia"/>
        </w:rPr>
        <w:t>，得分=</w:t>
      </w:r>
      <w:r>
        <w:t>61%*5=3.05分</w:t>
      </w:r>
      <w:r>
        <w:rPr>
          <w:rFonts w:hint="eastAsia"/>
        </w:rPr>
        <w:t>。根据评价标准，项目完成质量达标率得3.05分。</w:t>
      </w:r>
    </w:p>
    <w:p w14:paraId="35F5853A">
      <w:pPr>
        <w:ind w:firstLine="420" w:firstLineChars="200"/>
      </w:pPr>
      <w:r>
        <w:t>③项目完成及时率</w:t>
      </w:r>
      <w:r>
        <w:rPr>
          <w:rFonts w:hint="eastAsia"/>
        </w:rPr>
        <w:t>（满分5分，得分2.2分）</w:t>
      </w:r>
    </w:p>
    <w:p w14:paraId="2534A13D">
      <w:pPr>
        <w:ind w:firstLine="420" w:firstLineChars="200"/>
      </w:pPr>
      <w:r>
        <w:rPr>
          <w:rFonts w:hint="eastAsia"/>
        </w:rPr>
        <w:t>根据《莆田市林业局2020年项目绩效评价明细表》统计，莆田市林业局2020年共有20个项目，其中：</w:t>
      </w:r>
      <w:r>
        <w:t>资金未到位</w:t>
      </w:r>
      <w:r>
        <w:rPr>
          <w:rFonts w:hint="eastAsia"/>
        </w:rPr>
        <w:t>的项目数有2个，及时完成产出数量任务的项目数有8个，未按时完成产出数量任务的项目数有10个。项目完成及时率=8/（8+10）*100%=44%，得分=44%*5=2.2分。根据评价标准，项目完成及时率得2.2分。</w:t>
      </w:r>
    </w:p>
    <w:p w14:paraId="349C8312">
      <w:pPr>
        <w:ind w:firstLine="420" w:firstLineChars="200"/>
      </w:pPr>
      <w:r>
        <w:t>④</w:t>
      </w:r>
      <w:r>
        <w:rPr>
          <w:rFonts w:hint="eastAsia"/>
        </w:rPr>
        <w:t>重点工作落实情况（满分5分，得分5分）</w:t>
      </w:r>
    </w:p>
    <w:p w14:paraId="65DA3264">
      <w:pPr>
        <w:ind w:firstLine="420" w:firstLineChars="200"/>
      </w:pPr>
      <w:r>
        <w:rPr>
          <w:rFonts w:hint="eastAsia"/>
        </w:rPr>
        <w:t>2020年1月23日《莆田市人民政府关于下达2020年莆田市国民经济和社会发展计划的通知》（莆政综[2020]5号）中下达市林业局2020年计划，要求莆田市林业局2020年国民经济和社会发展约束性计划的指标：森林蓄积量达1119万立方米，森林覆盖率达60%左右。根据2021年1月26日《福建省林业局关于“十三五”森林资源保护发展约束性指标完成情况的通报》（闽林文[2021]5号）中《“十三五”各设区市和平潭综合实验区森林资源保护发展约束性指标完成情况表》数据，莆田市森林蓄积量达1436万立方米，森林覆盖率达60.21%。目标全部达到，根据评价标准，重点工作落实情况得5分。</w:t>
      </w:r>
    </w:p>
    <w:p w14:paraId="38DAD3D5">
      <w:pPr>
        <w:ind w:firstLine="420" w:firstLineChars="200"/>
      </w:pPr>
      <w:r>
        <w:rPr>
          <w:rFonts w:hint="eastAsia"/>
        </w:rPr>
        <w:t>4.效果（满分35分，得分35分）</w:t>
      </w:r>
    </w:p>
    <w:p w14:paraId="46D14691">
      <w:pPr>
        <w:ind w:firstLine="420" w:firstLineChars="200"/>
      </w:pPr>
      <w:r>
        <w:rPr>
          <w:rFonts w:hint="eastAsia"/>
        </w:rPr>
        <w:t>效果指标分析从经济效益、社会效益、生态效益、可持续性和满意度5个方面进行评价。</w:t>
      </w:r>
    </w:p>
    <w:p w14:paraId="63488BED">
      <w:pPr>
        <w:ind w:firstLine="420" w:firstLineChars="200"/>
      </w:pPr>
      <w:r>
        <w:t>（</w:t>
      </w:r>
      <w:r>
        <w:rPr>
          <w:rFonts w:hint="eastAsia"/>
        </w:rPr>
        <w:t>1</w:t>
      </w:r>
      <w:r>
        <w:t>）经济效益</w:t>
      </w:r>
      <w:r>
        <w:rPr>
          <w:rFonts w:hint="eastAsia"/>
        </w:rPr>
        <w:t>（满分8分，得分8分）</w:t>
      </w:r>
    </w:p>
    <w:p w14:paraId="669CEC8C">
      <w:pPr>
        <w:ind w:firstLine="420" w:firstLineChars="200"/>
      </w:pPr>
      <w:r>
        <w:t>①</w:t>
      </w:r>
      <w:r>
        <w:rPr>
          <w:rFonts w:hint="eastAsia"/>
        </w:rPr>
        <w:t>造林带动就业人数增长率（满分4分，得分4分）</w:t>
      </w:r>
    </w:p>
    <w:p w14:paraId="617BC50A">
      <w:pPr>
        <w:ind w:firstLine="420" w:firstLineChars="200"/>
      </w:pPr>
      <w:r>
        <w:rPr>
          <w:rFonts w:hint="eastAsia"/>
        </w:rPr>
        <w:t>根据《福建省林业局关于2019年全省造林绿化完成情况的通报》（闽林文〔2019〕142号）和《福建省林业局关于2020年全省造林绿化完成情况的通报》（闽林文[2020]129号），莆田市林业局2019年植树造林42354亩，2020年植树造林37203亩。根据莆田市林业局提供的《造林绿化用工效益说明》，造林绿化带动就业人数增加：2019年造林绿化带动劳动用工4500人次以上，2020年造林绿化带动劳动用工5000人次以上。造林带动就业人数增长率＝（5000-4500）/4500=11.11%。根据评价标准，造林带动就业人数增长率得4分。</w:t>
      </w:r>
    </w:p>
    <w:p w14:paraId="217AD00E">
      <w:pPr>
        <w:ind w:firstLine="420" w:firstLineChars="200"/>
      </w:pPr>
      <w:r>
        <w:t>②</w:t>
      </w:r>
      <w:r>
        <w:rPr>
          <w:rFonts w:hint="eastAsia"/>
        </w:rPr>
        <w:t>生态效益补偿促进林农和村集体增收完成率（满分4分，得分4分）</w:t>
      </w:r>
    </w:p>
    <w:p w14:paraId="34E0CB91">
      <w:pPr>
        <w:ind w:firstLine="420" w:firstLineChars="200"/>
      </w:pPr>
      <w:r>
        <w:rPr>
          <w:rFonts w:hint="eastAsia"/>
        </w:rPr>
        <w:t>根据《关于下达2020年生态公益林市级补偿资金的通知》（莆财资环[2020]31号）文件，2020年实际生态效益补偿促进林农和村集体增收209.50万元，2020年生态效益补偿促进林农和村集体增收计划数205万元。生态效益补偿促进林农和村集体增收完成率＝209.50/205×100%=102.2%。根据评价标准，生态效益补偿促进林农和村集体增收完成率得4分。</w:t>
      </w:r>
    </w:p>
    <w:p w14:paraId="07D22730">
      <w:pPr>
        <w:ind w:firstLine="420" w:firstLineChars="200"/>
      </w:pPr>
      <w:r>
        <w:rPr>
          <w:rFonts w:hint="eastAsia"/>
        </w:rPr>
        <w:t>（2）社会效益（满分4分，得分4分）</w:t>
      </w:r>
    </w:p>
    <w:p w14:paraId="6FDE55A9">
      <w:pPr>
        <w:ind w:firstLine="420" w:firstLineChars="200"/>
      </w:pPr>
      <w:r>
        <w:rPr>
          <w:rFonts w:hint="eastAsia"/>
        </w:rPr>
        <w:t>森林火灾受害控制率（满分4分，得分4分）</w:t>
      </w:r>
    </w:p>
    <w:p w14:paraId="3BCBD9C9">
      <w:pPr>
        <w:ind w:firstLine="420" w:firstLineChars="200"/>
      </w:pPr>
      <w:r>
        <w:rPr>
          <w:rFonts w:hint="eastAsia"/>
        </w:rPr>
        <w:t>根据《关于提前下达2020年省级财政林业专项资金的通知》（闽财资环[2019]6号）文件，全省森林火灾受害率规定控制在0.8‰以内；《莆田市森林火灾整改“回头看”情况综合报告》（莆森防办[2021]7号）文件：2020年火灾受害面积9.6公顷；《福建省林业局关于“十三五”森林资源保护发展约束性指标完成情况的通报》（闽林文[2021]5号)文件：莆田市林地保有量达233988公顷。经测算，森林火灾受害率=9.6/233988*100%=0.04‰≤0.8‰。根据评价标准，森林火灾受害控制率得4分。</w:t>
      </w:r>
    </w:p>
    <w:p w14:paraId="22E29725">
      <w:pPr>
        <w:ind w:firstLine="420" w:firstLineChars="200"/>
      </w:pPr>
      <w:r>
        <w:rPr>
          <w:rFonts w:hint="eastAsia"/>
        </w:rPr>
        <w:t>（3）生态效益（满分14分，得分14分）</w:t>
      </w:r>
    </w:p>
    <w:p w14:paraId="262834D3">
      <w:pPr>
        <w:ind w:firstLine="420" w:firstLineChars="200"/>
      </w:pPr>
      <w:r>
        <w:t>①</w:t>
      </w:r>
      <w:r>
        <w:rPr>
          <w:rFonts w:hint="eastAsia"/>
        </w:rPr>
        <w:t>森林覆盖率（满分5分，得分5分）。</w:t>
      </w:r>
    </w:p>
    <w:p w14:paraId="29CE5A98">
      <w:pPr>
        <w:ind w:firstLine="420" w:firstLineChars="200"/>
      </w:pPr>
      <w:r>
        <w:rPr>
          <w:rFonts w:hint="eastAsia"/>
        </w:rPr>
        <w:t>根据《莆田市人民政府关于下达2020年莆田市国民经济和社会发展计划的通知》（莆政综[2020]5号）要求，莆田市2020年约束性指标森林覆盖率达60%左右；《福建省林业局关于“十三五”森林资源保护发展约束性指标完成情况的通报》（闽林文[2021]5号）中指出，莆田市2020年森林覆盖率达60.21%。根据评价标准，森林覆盖率得5分。</w:t>
      </w:r>
    </w:p>
    <w:p w14:paraId="7BD678C6">
      <w:pPr>
        <w:ind w:firstLine="420" w:firstLineChars="200"/>
      </w:pPr>
      <w:r>
        <w:t>②</w:t>
      </w:r>
      <w:r>
        <w:rPr>
          <w:rFonts w:hint="eastAsia"/>
        </w:rPr>
        <w:t>林地保有量（满分5分，得分5分）。</w:t>
      </w:r>
    </w:p>
    <w:p w14:paraId="0C68B729">
      <w:pPr>
        <w:ind w:firstLine="420" w:firstLineChars="200"/>
      </w:pPr>
      <w:r>
        <w:rPr>
          <w:rFonts w:hint="eastAsia"/>
        </w:rPr>
        <w:t>根据福建省人民政府办公厅《关于下达“十三五”期间全省森林资源保护发展约束性指标的通知》（闽政办[2016]103号），下达“十三五”约束性指标2020年林地保有量达233279公顷。另，据《福建省林业局关于“十三五”森林资源保护发展约束性指标完成情况的通报》（闽林文[2021]5号)通报，2020年莆田市林地保有量达233988公顷。根据评价标准，林地保有量得5分。</w:t>
      </w:r>
    </w:p>
    <w:p w14:paraId="256EF39B">
      <w:pPr>
        <w:ind w:firstLine="420" w:firstLineChars="200"/>
      </w:pPr>
      <w:r>
        <w:t>③</w:t>
      </w:r>
      <w:r>
        <w:rPr>
          <w:rFonts w:hint="eastAsia"/>
        </w:rPr>
        <w:t>野生动物养殖场退养转产完成率（满分4分，得分4分）</w:t>
      </w:r>
      <w:r>
        <w:t>。</w:t>
      </w:r>
    </w:p>
    <w:p w14:paraId="276DA90F">
      <w:pPr>
        <w:ind w:firstLine="420" w:firstLineChars="200"/>
      </w:pPr>
      <w:r>
        <w:rPr>
          <w:rFonts w:hint="eastAsia"/>
        </w:rPr>
        <w:t>根据2020年12月29日福建省林业局闽林信息交流版第25期《我省野生动物养殖场退养转产工作经验做法》中的相关数据，莆田市仙游县、秀屿区4家蛇类养殖场完成退养转产。根据评价标准，野生动物养殖场退养转产完成率得4分。</w:t>
      </w:r>
    </w:p>
    <w:p w14:paraId="346FA9CA">
      <w:pPr>
        <w:ind w:firstLine="420" w:firstLineChars="200"/>
      </w:pPr>
      <w:r>
        <w:t>（</w:t>
      </w:r>
      <w:r>
        <w:rPr>
          <w:rFonts w:hint="eastAsia"/>
        </w:rPr>
        <w:t>4</w:t>
      </w:r>
      <w:r>
        <w:t>）可持续性</w:t>
      </w:r>
      <w:r>
        <w:rPr>
          <w:rFonts w:hint="eastAsia"/>
        </w:rPr>
        <w:t>（满分5分，得分5分）</w:t>
      </w:r>
    </w:p>
    <w:p w14:paraId="320BA60C">
      <w:pPr>
        <w:ind w:firstLine="420" w:firstLineChars="200"/>
      </w:pPr>
      <w:r>
        <w:rPr>
          <w:rFonts w:hint="eastAsia"/>
        </w:rPr>
        <w:t>森林蓄积量（满分5分，得分5分）</w:t>
      </w:r>
      <w:r>
        <w:t>。</w:t>
      </w:r>
    </w:p>
    <w:p w14:paraId="40C97E7C">
      <w:pPr>
        <w:ind w:firstLine="420" w:firstLineChars="200"/>
      </w:pPr>
      <w:r>
        <w:rPr>
          <w:rFonts w:hint="eastAsia"/>
        </w:rPr>
        <w:t>《莆田市人民政府关于下达2020年莆田市国民经济和社会发展计划的通知》（莆政综[2020]5号），市政府下达约束性计划指标2020年森林蓄积量1119万立方米。《福建省林业局关于“十三五”森林资源保护发展约束性指标完成情况的通报》（闽林文[2021]5号)通报，莆田市森林蓄积量达1436万立方米。根据评价标准，森林蓄积量得5分。</w:t>
      </w:r>
    </w:p>
    <w:p w14:paraId="6E01435A">
      <w:pPr>
        <w:ind w:firstLine="420" w:firstLineChars="200"/>
      </w:pPr>
      <w:r>
        <w:rPr>
          <w:rFonts w:hint="eastAsia"/>
        </w:rPr>
        <w:t>（5）</w:t>
      </w:r>
      <w:r>
        <w:t>满意度</w:t>
      </w:r>
      <w:r>
        <w:rPr>
          <w:rFonts w:hint="eastAsia"/>
        </w:rPr>
        <w:t>（满分4分，得分4分）</w:t>
      </w:r>
    </w:p>
    <w:p w14:paraId="795FFAA3">
      <w:pPr>
        <w:ind w:firstLine="420" w:firstLineChars="200"/>
      </w:pPr>
      <w:r>
        <w:t>群众满意度</w:t>
      </w:r>
      <w:r>
        <w:rPr>
          <w:rFonts w:hint="eastAsia"/>
        </w:rPr>
        <w:t>（满分4分，得分4分）。</w:t>
      </w:r>
    </w:p>
    <w:p w14:paraId="7B17F582">
      <w:pPr>
        <w:ind w:firstLine="420" w:firstLineChars="200"/>
      </w:pPr>
      <w:r>
        <w:rPr>
          <w:rFonts w:hint="eastAsia"/>
        </w:rPr>
        <w:t>绩效评价组通过问卷星小程序向莆田市居民进行问卷调查</w:t>
      </w:r>
      <w:r>
        <w:t>，</w:t>
      </w:r>
      <w:r>
        <w:rPr>
          <w:rFonts w:hint="eastAsia"/>
        </w:rPr>
        <w:t>回收</w:t>
      </w:r>
      <w:r>
        <w:t>有效问卷</w:t>
      </w:r>
      <w:r>
        <w:rPr>
          <w:rFonts w:hint="eastAsia"/>
        </w:rPr>
        <w:t>336</w:t>
      </w:r>
      <w:r>
        <w:t>份。针对</w:t>
      </w:r>
      <w:r>
        <w:rPr>
          <w:rFonts w:hint="eastAsia"/>
        </w:rPr>
        <w:t>市民对绿化造林工作、森林资源培育工作、森林资源保护工作、莆田市造林绿化规划设计、造林绿化在涵养水源、减少灰尘、降低噪音污染方面的效果、绿化造林对改善生活居住环境、对林木病虫害防治成效、对莆田市森林防火的成效和宣传力度、林业部门在激励林业产业发展、促进林农增效方面的作用、林业部门在保障生态环境，推动林业可持续发展方面、大造阔叶林的规划和建设的满意程度等情况进行了调研。</w:t>
      </w:r>
      <w:r>
        <w:t>被调查</w:t>
      </w:r>
      <w:r>
        <w:rPr>
          <w:rFonts w:hint="eastAsia"/>
        </w:rPr>
        <w:t>者满意度为87.80%。根据评分标准，市民满意度得4分。</w:t>
      </w:r>
    </w:p>
    <w:p w14:paraId="385144BE">
      <w:pPr>
        <w:ind w:firstLine="420" w:firstLineChars="200"/>
      </w:pPr>
      <w:bookmarkStart w:id="415" w:name="_Toc22026"/>
      <w:r>
        <w:rPr>
          <w:rFonts w:hint="eastAsia"/>
        </w:rPr>
        <w:t>（二）绩效评价结论</w:t>
      </w:r>
      <w:bookmarkEnd w:id="415"/>
    </w:p>
    <w:p w14:paraId="3D930DDA">
      <w:pPr>
        <w:ind w:firstLine="420" w:firstLineChars="200"/>
      </w:pPr>
      <w:r>
        <w:rPr>
          <w:rFonts w:hint="eastAsia"/>
        </w:rPr>
        <w:t>参考《财政部项目支出绩效评价管理办法》（财预[2020]10号），绩效评价组通过审查莆田市林业局的相关资料、实地调研及访谈相关人员等评价程序，认为莆田市林业局2020年度部门整体支出资金在已使用的资金范围内项目效益较好，政策导向正确，资金使用较为规范，绩效评价得分为90.14分，绩效评价等级为“优秀”。</w:t>
      </w:r>
    </w:p>
    <w:p w14:paraId="036894BE">
      <w:pPr>
        <w:ind w:firstLine="420" w:firstLineChars="200"/>
        <w:outlineLvl w:val="0"/>
      </w:pPr>
      <w:bookmarkStart w:id="416" w:name="_Toc27612"/>
      <w:bookmarkStart w:id="417" w:name="_Toc22713"/>
      <w:r>
        <w:rPr>
          <w:rFonts w:hint="eastAsia"/>
        </w:rPr>
        <w:t>五、主要经验及做法、存在的问题和建议</w:t>
      </w:r>
      <w:bookmarkEnd w:id="416"/>
      <w:bookmarkEnd w:id="417"/>
    </w:p>
    <w:p w14:paraId="378C04B3">
      <w:pPr>
        <w:ind w:firstLine="420" w:firstLineChars="200"/>
      </w:pPr>
      <w:bookmarkStart w:id="418" w:name="_Toc14227"/>
      <w:r>
        <w:rPr>
          <w:rFonts w:hint="eastAsia"/>
        </w:rPr>
        <w:t>（一）主要经验及做法</w:t>
      </w:r>
      <w:bookmarkEnd w:id="418"/>
    </w:p>
    <w:p w14:paraId="4BE9EBE9">
      <w:pPr>
        <w:ind w:firstLine="420" w:firstLineChars="200"/>
      </w:pPr>
      <w:r>
        <w:rPr>
          <w:rFonts w:hint="eastAsia"/>
        </w:rPr>
        <w:t>1.着力完成福建省下达的年度造林绿化任务</w:t>
      </w:r>
    </w:p>
    <w:p w14:paraId="4E9458F6">
      <w:pPr>
        <w:ind w:firstLine="420" w:firstLineChars="200"/>
      </w:pPr>
      <w:r>
        <w:rPr>
          <w:rFonts w:hint="eastAsia"/>
        </w:rPr>
        <w:t>全市完成植树造林和森林经营19.02万亩，其中：植树造林达3.72万亩，完成任务3.1万亩的120%；森林抚育达8.93万亩，完成任务7.8万亩的114.5%；封山育林达6.37万亩，完成任务5.9万亩的108%。</w:t>
      </w:r>
    </w:p>
    <w:p w14:paraId="664613B0">
      <w:pPr>
        <w:ind w:firstLine="420" w:firstLineChars="200"/>
      </w:pPr>
      <w:r>
        <w:rPr>
          <w:rFonts w:hint="eastAsia"/>
        </w:rPr>
        <w:t>2.继续开展“大造阔叶树·绿化全莆田”三年行动</w:t>
      </w:r>
    </w:p>
    <w:p w14:paraId="1489611D">
      <w:pPr>
        <w:ind w:firstLine="420" w:firstLineChars="200"/>
      </w:pPr>
      <w:r>
        <w:rPr>
          <w:rFonts w:hint="eastAsia"/>
        </w:rPr>
        <w:t>今年是莆田市开展这项任务的到期年，持续推进现有桉树林改造、低效针叶林等林分改造、沿海石头山复绿工程、花化彩化提升工程等建设内容。活动开展以来，全市累计完成现有桉树林改造4.77万亩，低效针叶林分改造6.24万亩，石头山造林2713亩，花化彩化6601亩。</w:t>
      </w:r>
    </w:p>
    <w:p w14:paraId="7A317E37">
      <w:pPr>
        <w:ind w:firstLine="420" w:firstLineChars="200"/>
      </w:pPr>
      <w:r>
        <w:rPr>
          <w:rFonts w:hint="eastAsia"/>
        </w:rPr>
        <w:t>3.持续实施沿海石头山复绿工程</w:t>
      </w:r>
    </w:p>
    <w:p w14:paraId="1586D488">
      <w:pPr>
        <w:ind w:firstLine="420" w:firstLineChars="200"/>
      </w:pPr>
      <w:r>
        <w:rPr>
          <w:rFonts w:hint="eastAsia"/>
        </w:rPr>
        <w:t>2016年作为全省首批石头山造林试点，莆田市在秀屿区率先开展石头山回复绿色事业，取得了一定的效果，加强了沿海防护林体系，改善了沿海百姓居住环境，截止到目前，全市共完成石头山造林近4000亩。2020年莆田市得到省级资金600万元的支持，继续开展石漠化造林2000亩。</w:t>
      </w:r>
    </w:p>
    <w:p w14:paraId="3CBD1E69">
      <w:pPr>
        <w:ind w:firstLine="420" w:firstLineChars="200"/>
      </w:pPr>
      <w:r>
        <w:rPr>
          <w:rFonts w:hint="eastAsia"/>
        </w:rPr>
        <w:t>4.巩固提升退果还林成果</w:t>
      </w:r>
    </w:p>
    <w:p w14:paraId="703586BA">
      <w:pPr>
        <w:ind w:firstLine="420" w:firstLineChars="200"/>
      </w:pPr>
      <w:r>
        <w:rPr>
          <w:rFonts w:hint="eastAsia"/>
        </w:rPr>
        <w:t>着眼民生林业，莆田市林业局策划了库区退果还林这项工程。自2016年以来，已实施东圳库区一级保护区退果还林8232亩、二级保护区生态林修复建设工程1.84万亩、外度水库涵养林保护和建设工程3676亩。2020年，又在东圳库区二级保护区再实施林分修复900亩，还实施东圳库区库滨带建设，有力地改善了饮用水源地的生态环境，保障了莆田市民饮用水的质量和安全。</w:t>
      </w:r>
    </w:p>
    <w:p w14:paraId="2D343E99">
      <w:pPr>
        <w:ind w:firstLine="420" w:firstLineChars="200"/>
      </w:pPr>
      <w:r>
        <w:rPr>
          <w:rFonts w:hint="eastAsia"/>
        </w:rPr>
        <w:t>5.持续推进重点生态区位商品林赎买</w:t>
      </w:r>
    </w:p>
    <w:p w14:paraId="41F7D7E1">
      <w:pPr>
        <w:ind w:firstLine="420" w:firstLineChars="200"/>
      </w:pPr>
      <w:r>
        <w:rPr>
          <w:rFonts w:hint="eastAsia"/>
        </w:rPr>
        <w:t>福建省下达莆田市“十三五”期间商品林赎买目标任务5000亩，莆田市林业局已提前一年且翻倍完成此项任务(完成赎买面积10000多亩)。商品林赎买工作对林业事业发展有积极意义，为此莆田市自加压力，在仙游县、城厢区试点的基础上，增加涵江区试点范围，在5000亩目标任务的基础上再增加7262亩，全市累计完成赎买12262亩。</w:t>
      </w:r>
    </w:p>
    <w:p w14:paraId="70BAEC8D">
      <w:pPr>
        <w:ind w:firstLine="420" w:firstLineChars="200"/>
      </w:pPr>
      <w:r>
        <w:rPr>
          <w:rFonts w:hint="eastAsia"/>
        </w:rPr>
        <w:t>6.严厉打击破坏森林生态行为</w:t>
      </w:r>
    </w:p>
    <w:p w14:paraId="334FC79D">
      <w:pPr>
        <w:ind w:firstLine="420" w:firstLineChars="200"/>
      </w:pPr>
      <w:r>
        <w:rPr>
          <w:rFonts w:hint="eastAsia"/>
        </w:rPr>
        <w:t>截止目前，全市共查处各类林业行政案件102起，其中盗伐滥伐林木30起、毁坏林木1起违法使用林地40起、非法运输木材7起、违反野生动物法规14起、违反森林防火法规8起、其他案件2起，没收木材55.725立方米，罚款112.33万元。</w:t>
      </w:r>
    </w:p>
    <w:p w14:paraId="4E953C09">
      <w:pPr>
        <w:ind w:firstLine="420" w:firstLineChars="200"/>
      </w:pPr>
      <w:r>
        <w:rPr>
          <w:rFonts w:hint="eastAsia"/>
        </w:rPr>
        <w:t>7.着力强化野生动物保护工作</w:t>
      </w:r>
    </w:p>
    <w:p w14:paraId="6060B2F0">
      <w:pPr>
        <w:ind w:firstLine="420" w:firstLineChars="200"/>
      </w:pPr>
      <w:r>
        <w:rPr>
          <w:rFonts w:hint="eastAsia"/>
        </w:rPr>
        <w:t>加大宣传力度，今年以来共发送公益短信26万多条，分发宣传材料9万多份，在市电视台连续半个月播放《致广大市民朋友的一封信》，已组织7.6万多人次参加野外巡护。加强养殖场监管，对全市经审批的野生动物养殖企业开展排查，分类掌握各养殖场情况，及时收集养殖户的诉求，对养殖户关切的问题细心做好解释疏导和安抚工作，开展陆生野生动物养殖场监管“三个一全覆盖”行动，对17家陆生野生动物养殖场实行专人挂钩联系督导，发出整改通知书8份。</w:t>
      </w:r>
    </w:p>
    <w:p w14:paraId="5689738A">
      <w:pPr>
        <w:ind w:firstLine="420" w:firstLineChars="200"/>
      </w:pPr>
      <w:r>
        <w:rPr>
          <w:rFonts w:hint="eastAsia"/>
        </w:rPr>
        <w:t>8.着力强化森林防火工作</w:t>
      </w:r>
    </w:p>
    <w:p w14:paraId="5D9607AE">
      <w:pPr>
        <w:ind w:firstLine="420" w:firstLineChars="200"/>
      </w:pPr>
      <w:r>
        <w:rPr>
          <w:rFonts w:hint="eastAsia"/>
        </w:rPr>
        <w:t>部署落实“宣传发动、森林防火组织体系建设巡山护林任务分工责任落实、值班值守制度落实、森林火灾风险隐患排查整治”等六方面重点工作。今年累计发送森林防火短信145万条，设立森林防火智慧音箱43处，落实森林防火资金450多万元，全市共排查森林火灾一般隐患51个，均整改到位。全市共发生8起一般森林火灾。（涵江区秋芦镇，过火森林面积约144亩，无人员伤亡，已行政立案查处）</w:t>
      </w:r>
    </w:p>
    <w:p w14:paraId="20554B4C">
      <w:pPr>
        <w:ind w:firstLine="420" w:firstLineChars="200"/>
      </w:pPr>
      <w:r>
        <w:rPr>
          <w:rFonts w:hint="eastAsia"/>
        </w:rPr>
        <w:t>9.持续推进松材线虫病防治工作</w:t>
      </w:r>
    </w:p>
    <w:p w14:paraId="539F9770">
      <w:pPr>
        <w:ind w:firstLine="420" w:firstLineChars="200"/>
      </w:pPr>
      <w:r>
        <w:rPr>
          <w:rFonts w:hint="eastAsia"/>
        </w:rPr>
        <w:t>市政府成立莆田市松材线虫病防治攻坚战领导小组，全面加强组织领导。强化资金保障，各地积极争取将所需经费纳入同级政府财政预算，多渠道筹措防控资金。今年以来，完成松林采伐改造606亩；累计完成松枯死木清理73515株，完成率达80%。</w:t>
      </w:r>
    </w:p>
    <w:p w14:paraId="100151A9">
      <w:pPr>
        <w:ind w:firstLine="420" w:firstLineChars="200"/>
      </w:pPr>
      <w:r>
        <w:rPr>
          <w:rFonts w:hint="eastAsia"/>
        </w:rPr>
        <w:t>10.着力发展林业产业</w:t>
      </w:r>
    </w:p>
    <w:p w14:paraId="0289A7D7">
      <w:pPr>
        <w:ind w:firstLine="420" w:firstLineChars="200"/>
      </w:pPr>
      <w:r>
        <w:rPr>
          <w:rFonts w:hint="eastAsia"/>
        </w:rPr>
        <w:t>2020年预计实现林业总产值565亿元，比增7.1%。其中：一产35亿元,与上年持平；二产477亿元，比增7%；三产53亿元，比增9.3%。</w:t>
      </w:r>
    </w:p>
    <w:p w14:paraId="70F71FE5">
      <w:pPr>
        <w:ind w:firstLine="420" w:firstLineChars="200"/>
      </w:pPr>
      <w:r>
        <w:rPr>
          <w:rFonts w:hint="eastAsia"/>
        </w:rPr>
        <w:t>11.扎实做好扫黑除恶工作</w:t>
      </w:r>
    </w:p>
    <w:p w14:paraId="41826330">
      <w:pPr>
        <w:ind w:firstLine="420" w:firstLineChars="200"/>
      </w:pPr>
      <w:r>
        <w:rPr>
          <w:rFonts w:hint="eastAsia"/>
        </w:rPr>
        <w:t>今年召开党组、专题等各类会议12次，主要领导赴基层督导检查10余次，主要领导批示20余件，全市林业系统暂未发现涉黑涉恶线索。截止目前，全市共破获涉及象牙制品违法案件3起，有效遏制了象牙及制品非法贸易犯罪高发的态势。</w:t>
      </w:r>
    </w:p>
    <w:p w14:paraId="04340AC3">
      <w:pPr>
        <w:ind w:firstLine="420" w:firstLineChars="200"/>
      </w:pPr>
      <w:r>
        <w:rPr>
          <w:rFonts w:hint="eastAsia"/>
        </w:rPr>
        <w:t>12.认真做好第二轮中央生态环保督察信访件销号工作</w:t>
      </w:r>
    </w:p>
    <w:p w14:paraId="74EB9933">
      <w:pPr>
        <w:ind w:firstLine="420" w:firstLineChars="200"/>
      </w:pPr>
      <w:r>
        <w:rPr>
          <w:rFonts w:hint="eastAsia"/>
        </w:rPr>
        <w:t>今年多次召开会议进行部署，对形势进行研判。主要领导亲自带队前往县区进行调研督导，协调解决存在的问题。牵头验收的30件涉林信访件，截止目前已完成办结销号29件，销号率达96.67%。</w:t>
      </w:r>
    </w:p>
    <w:p w14:paraId="3F0E82AF">
      <w:pPr>
        <w:ind w:firstLine="420" w:firstLineChars="200"/>
      </w:pPr>
      <w:bookmarkStart w:id="419" w:name="_Toc900"/>
      <w:r>
        <w:rPr>
          <w:rFonts w:hint="eastAsia"/>
        </w:rPr>
        <w:t>存在的问题</w:t>
      </w:r>
      <w:bookmarkEnd w:id="419"/>
    </w:p>
    <w:p w14:paraId="3823BA66">
      <w:pPr>
        <w:ind w:firstLine="420" w:firstLineChars="200"/>
      </w:pPr>
      <w:r>
        <w:rPr>
          <w:rFonts w:hint="eastAsia"/>
        </w:rPr>
        <w:t>1.执法体制尚未理顺</w:t>
      </w:r>
    </w:p>
    <w:p w14:paraId="7019F6FF">
      <w:pPr>
        <w:ind w:firstLine="420" w:firstLineChars="200"/>
      </w:pPr>
      <w:r>
        <w:rPr>
          <w:rFonts w:hint="eastAsia"/>
        </w:rPr>
        <w:t>机构改革后，森林公安转隶地方公安部门，已不再办理林业行政案件，全省森林公安转隶后的职能职责尚未明确，林业执法体制尚未理顺，在此过渡期林业执法力量明显削弱。如仙游县林业执法力量减少，荔城区、秀屿区、湄洲岛和北岸管委会林业执法出现真空断档；城厢区、涵江区并入自然资源部门，林业执法改革方案未正式出台，林业执法与自然资源监察大队未正式合并，管理方式、办案方式不一致，一定程度上影响了林业行政执法效率。</w:t>
      </w:r>
    </w:p>
    <w:p w14:paraId="75B02804">
      <w:pPr>
        <w:ind w:firstLine="420" w:firstLineChars="200"/>
      </w:pPr>
      <w:r>
        <w:rPr>
          <w:rFonts w:hint="eastAsia"/>
        </w:rPr>
        <w:t>2.执法力量比较薄弱</w:t>
      </w:r>
    </w:p>
    <w:p w14:paraId="65F20327">
      <w:pPr>
        <w:ind w:firstLine="420" w:firstLineChars="200"/>
      </w:pPr>
      <w:r>
        <w:rPr>
          <w:rFonts w:hint="eastAsia"/>
        </w:rPr>
        <w:t>莆田</w:t>
      </w:r>
      <w:r>
        <w:t>市有23.39万</w:t>
      </w:r>
      <w:r>
        <w:rPr>
          <w:rFonts w:hint="eastAsia"/>
        </w:rPr>
        <w:t>公顷</w:t>
      </w:r>
      <w:r>
        <w:t>的林地，而全市林业执法人员编制只有</w:t>
      </w:r>
      <w:r>
        <w:rPr>
          <w:rFonts w:hint="eastAsia"/>
        </w:rPr>
        <w:t>50</w:t>
      </w:r>
      <w:r>
        <w:t>人，实有在岗林业执法人员</w:t>
      </w:r>
      <w:r>
        <w:rPr>
          <w:rFonts w:hint="eastAsia"/>
        </w:rPr>
        <w:t>23</w:t>
      </w:r>
      <w:r>
        <w:t>人，存在“人少地多”的较大反差，现有的执法人员保护任务艰巨，人均执法面积较大，执法力量与当前森林资源保护工作需求不匹配，且执法人员素质参差不齐，办案经验不足等等，难以较好满足执法工作需要。执法装备和执法手段比较落后，缺乏对违法行为实施必要的强制手段，缺乏应有的威慑力。</w:t>
      </w:r>
    </w:p>
    <w:p w14:paraId="78E8EAB4">
      <w:pPr>
        <w:ind w:firstLine="420" w:firstLineChars="200"/>
      </w:pPr>
      <w:r>
        <w:rPr>
          <w:rFonts w:hint="eastAsia"/>
        </w:rPr>
        <w:t>3.桉树林改造进度偏慢</w:t>
      </w:r>
    </w:p>
    <w:p w14:paraId="560FAEC7">
      <w:pPr>
        <w:ind w:firstLine="420" w:firstLineChars="200"/>
      </w:pPr>
      <w:r>
        <w:rPr>
          <w:rFonts w:hint="eastAsia"/>
        </w:rPr>
        <w:t>造成按树林改造进度偏慢的原因有三个,一是村民砍伐积极性不高。虽然桉树价格适中，但现有桉树林绝大多数产权属于村民，愿意砍伐的村民不多。二是有些村民存在观望思想。近年来,桉树价格持续上涨,村民收益增加，故大部分村民不愿意改造。还有部分村民砍伐前承诺改种其他阔叶树,但因桉树价格不断上涨,砍伐后迟迟不种新树苗，想拖一段时间改种其他树种，不愿改种阔叶树。三、莆田市现有桉树大部分由种植大户早期承包经营,承包期大多为20-30年左右,尚未到期。有的业主承包期只剩5年左右,还可以再种一轮桉树获利,因此不愿意改造；有的业主承包期还剩10多年,如果现在改种其他阔叶树,因其他阔叶树生长周期长,承包到期后,出现阔叶树产权归属不清问题，故大部分桉树承包业主不愿意改造阔叶树。</w:t>
      </w:r>
    </w:p>
    <w:p w14:paraId="462D491A">
      <w:pPr>
        <w:ind w:firstLine="420" w:firstLineChars="200"/>
      </w:pPr>
      <w:bookmarkStart w:id="420" w:name="_Toc20130"/>
      <w:r>
        <w:rPr>
          <w:rFonts w:hint="eastAsia"/>
        </w:rPr>
        <w:t>相关建议</w:t>
      </w:r>
      <w:bookmarkEnd w:id="420"/>
    </w:p>
    <w:p w14:paraId="5BC9A5D0">
      <w:pPr>
        <w:ind w:firstLine="420" w:firstLineChars="200"/>
      </w:pPr>
      <w:r>
        <w:rPr>
          <w:rFonts w:hint="eastAsia"/>
        </w:rPr>
        <w:t>1.健全行政执法体制</w:t>
      </w:r>
    </w:p>
    <w:p w14:paraId="23651D78">
      <w:pPr>
        <w:ind w:firstLine="420" w:firstLineChars="200"/>
      </w:pPr>
      <w:r>
        <w:t>根据新修订</w:t>
      </w:r>
      <w:r>
        <w:rPr>
          <w:rFonts w:hint="eastAsia"/>
        </w:rPr>
        <w:t>的</w:t>
      </w:r>
      <w:r>
        <w:t xml:space="preserve">《森林法》关于“国家实行森林资源保护发展目标责任制和考核评价制度”的规定，应落实各级政府保护森林资源的主体责任，调动地方政府积极性，重视和支持林业行政执法工作，健全林业执法机构，合理增加执法队伍编制和人员，规范执法编制专编专用,优先保障一线执法力量。中央环保督察、省委巡视、市委巡察、自然资源审计、森林督查等对林业行政执法工作要求严格，林业执法任务繁重，应积极探索建立行政执法内勤辅助机制，充实执法力量，提高执法效率。 </w:t>
      </w:r>
    </w:p>
    <w:p w14:paraId="143182BD">
      <w:pPr>
        <w:ind w:firstLine="420" w:firstLineChars="200"/>
      </w:pPr>
      <w:r>
        <w:rPr>
          <w:rFonts w:hint="eastAsia"/>
        </w:rPr>
        <w:t>2.加强执法队伍建设</w:t>
      </w:r>
    </w:p>
    <w:p w14:paraId="2C74B63A">
      <w:pPr>
        <w:ind w:firstLine="420" w:firstLineChars="200"/>
      </w:pPr>
      <w:r>
        <w:t>一要吸收懂法律专业知识、有一定实践经验的人员充实执法队伍, 提高依法治林水平。</w:t>
      </w:r>
      <w:r>
        <w:rPr>
          <w:rFonts w:hint="eastAsia"/>
        </w:rPr>
        <w:t>二</w:t>
      </w:r>
      <w:r>
        <w:t>要加强新修订《森林法》等法律知识及树种、动植物种类</w:t>
      </w:r>
      <w:r>
        <w:rPr>
          <w:rFonts w:hint="eastAsia"/>
          <w:lang w:eastAsia="zh-CN"/>
        </w:rPr>
        <w:t>辨认和</w:t>
      </w:r>
      <w:r>
        <w:t>识别等学习，开展现场勘验、调查取证、执法程序等执法办案技能培训，提高执法能力和效能。</w:t>
      </w:r>
      <w:r>
        <w:rPr>
          <w:rFonts w:hint="eastAsia"/>
        </w:rPr>
        <w:t>三</w:t>
      </w:r>
      <w:r>
        <w:t>要参照生态环境、市场监管、文化旅游、交通运输、农业农村等综合执法机构性质，按公务员或参照公务员管理，保证有效承担林业执法组织、指导、监督职责和案件办理等行政职能。建立考评制度、卷宗评判制度、督查制度，促进办案质量提升。</w:t>
      </w:r>
      <w:r>
        <w:rPr>
          <w:rFonts w:hint="eastAsia"/>
        </w:rPr>
        <w:t>四</w:t>
      </w:r>
      <w:r>
        <w:t>加强执法装备建设，配备专业执法车辆、执法记录仪等保障执法工作的相关装备。</w:t>
      </w:r>
    </w:p>
    <w:p w14:paraId="7F3C96F6">
      <w:pPr>
        <w:ind w:firstLine="420" w:firstLineChars="200"/>
      </w:pPr>
      <w:r>
        <w:rPr>
          <w:rFonts w:hint="eastAsia"/>
        </w:rPr>
        <w:t>3.加大宣传力度，营造浓厚氛围</w:t>
      </w:r>
    </w:p>
    <w:p w14:paraId="1B473B4F">
      <w:pPr>
        <w:ind w:firstLine="420" w:firstLineChars="200"/>
      </w:pPr>
      <w:r>
        <w:rPr>
          <w:rFonts w:hint="eastAsia"/>
        </w:rPr>
        <w:t>积极利用湄洲日报、电视台、电台广播、政府网和局内部网站等媒介开展宣传工作，努力营造“大造阔叶树绿化全莆田”的浓厚氛围。广泛宣传开展乡村绿化、建设绿色家园、打造宜居港城的重大意义，宣传各级政府对造林绿化的扶持政策。通过多种形式的广泛宣传，不断提高全社会“规划留绿、见缝插绿、严管护绿”的绿色文明意识，培养百姓植绿爱绿护绿意识，让生态文明理念深深扎根在百姓心中。</w:t>
      </w:r>
    </w:p>
    <w:p w14:paraId="75E35C0A">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1310AB2">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0C83E27">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0BFBBC07">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026EA5A">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4FCBC542">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40474A5C">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42F5A9A9">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4E97ACB0">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673A2975">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07FDA614">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6AAB117D">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6786BD7F">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7F7F37AE">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C07911F">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D5A2AA2">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34193A0C">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654D28DB">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99D1F3F">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64557341">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EE06B39">
      <w:pPr>
        <w:pStyle w:val="2"/>
        <w:jc w:val="center"/>
      </w:pPr>
      <w:bookmarkStart w:id="421" w:name="_Toc14824"/>
      <w:r>
        <w:rPr>
          <w:rFonts w:hint="eastAsia"/>
        </w:rPr>
        <w:t>莆田市乡村振兴专项资金中期绩效评价报告</w:t>
      </w:r>
      <w:bookmarkEnd w:id="421"/>
    </w:p>
    <w:p w14:paraId="1AF8A081">
      <w:pPr>
        <w:ind w:firstLine="420" w:firstLineChars="200"/>
      </w:pPr>
      <w:r>
        <w:rPr>
          <w:rFonts w:hint="eastAsia"/>
        </w:rPr>
        <w:t>为加强财政资金管理，强化支出责任，提高财政资金的使用效益，建立科学、合理的财政支出绩效评价管理体系，莆田学院财政绩效管理研究中心组织专业人员，根据莆田市财政局《关于开展2020年度预算项目和部门整体支出绩效财政评价的通知》（莆财绩函〔2021〕14号）的要求，按照《莆田市市级财政专项资金管理办法》（莆财预〔2017〕159号）和《莆田市市级财政专项乡村振兴资金管理暂行办法》（莆财农〔2019〕102号）的有关规定，接受莆田市财政局委托，对莆田市乡村振兴专项资金开展中期绩效评价，以第三方身份出具报告，评价报告的结论不含委托方任何观点。</w:t>
      </w:r>
    </w:p>
    <w:p w14:paraId="299C2E34">
      <w:pPr>
        <w:ind w:firstLine="420" w:firstLineChars="200"/>
        <w:outlineLvl w:val="0"/>
      </w:pPr>
      <w:bookmarkStart w:id="422" w:name="_Toc7367"/>
      <w:bookmarkStart w:id="423" w:name="_Toc45187989"/>
      <w:bookmarkStart w:id="424" w:name="_Toc86174708"/>
      <w:r>
        <w:rPr>
          <w:rFonts w:hint="eastAsia"/>
        </w:rPr>
        <w:t>一、政策基本概况</w:t>
      </w:r>
      <w:bookmarkEnd w:id="422"/>
      <w:bookmarkEnd w:id="423"/>
      <w:bookmarkEnd w:id="424"/>
    </w:p>
    <w:p w14:paraId="2A7B88FF">
      <w:pPr>
        <w:ind w:firstLine="420" w:firstLineChars="200"/>
      </w:pPr>
      <w:bookmarkStart w:id="425" w:name="_Toc45187990"/>
      <w:bookmarkStart w:id="426" w:name="_Toc86174709"/>
      <w:r>
        <w:rPr>
          <w:rFonts w:hint="eastAsia"/>
        </w:rPr>
        <w:t>（一）政策背景</w:t>
      </w:r>
      <w:bookmarkEnd w:id="425"/>
      <w:bookmarkEnd w:id="426"/>
    </w:p>
    <w:p w14:paraId="15704F1F">
      <w:pPr>
        <w:ind w:firstLine="420" w:firstLineChars="200"/>
      </w:pPr>
      <w:r>
        <w:rPr>
          <w:rFonts w:hint="eastAsia"/>
        </w:rPr>
        <w:t>为贯彻中央和福建省委关于实施乡村振兴战略的决策部署，落实《福建省实施乡村振兴战略规划（2018-2022年）》，鼓励基层积极探索乡村振兴的路径模式，充分发挥农民主体作用，培育各具特色的福建乡村振兴示范样板，引领带动全省乡村全面振兴，福建省委特制定《福建省乡村振兴试点示范工作方案》（闽委振兴组〔2019〕3号）。要求以习近平新时代中国特色社会主义思想为指导，全面贯彻党的十九大精神和中央农村工作会议精神，按照“产业兴旺、生态宜居、乡风文明、治理有效、生活富裕”的总要求，坚持“五级同抓、千村试点、万村推进、全面振兴”的思路，实行省委统一领导、市县推进落实、乡村组织实施、部门合力共为、责任层层压实的工作机制，注重脱贫攻坚、发展壮大村级集体经济与乡村振兴有机衔接，充分调动乡村积极性，注重发挥农民主体作用，推进重点县（区）、特色乡（镇）、试点村发展建设，因地制宜探索乡村振兴的体制机制、支持政策、发展模式，带动全省1.4万多个建制村全面振兴。</w:t>
      </w:r>
    </w:p>
    <w:p w14:paraId="5E65E782">
      <w:pPr>
        <w:ind w:firstLine="420" w:firstLineChars="200"/>
      </w:pPr>
      <w:r>
        <w:rPr>
          <w:rFonts w:hint="eastAsia"/>
        </w:rPr>
        <w:t>为深入实施乡村振兴战略，结合莆田市实际，坚持试点示范，走出具有莆田特色的美丽乡村发展道路，莆田市委、市政府决定在全市开展实施乡村振兴“百村示范”、示范区建设，特制定《开展乡村振兴“百村示范”工程建设实施方案》（莆委振兴组〔2019〕1号）。要求以党的十九大精神和习近平新时代“三农”思想为指导，深入贯彻落实市委《关于实施乡村振兴战略的实施意见》（莆委发〔2018〕3号）和《莆田市实施乡村振兴战略规划（2018-2022年）》，按照“产业兴旺、生态宜居、乡风文明、治理有效、生活富裕”的总要求，以百村示范工程为抓手，努力建设一批不同类型、不同梯次的乡村振兴示范村、示范区，示范引领全市乡村振兴战略的实施，从而实现全市乡村全面振兴。为此，莆田市强化乡村振兴财政资金投入，并重视专项资金监管。乡村振兴专项资金是指根据《中共莆田市委实施乡村振兴战略领导小组印发&lt;开展乡村振兴“百村示范”工程建设实施方案&gt;的通知》（莆委振兴组〔2019〕1号）精神，为推动乡村振兴，由市级财政预算安排的用于乡村振兴“百村示范”工程建设的专项资金，实施周期为2019年至2022年。</w:t>
      </w:r>
    </w:p>
    <w:p w14:paraId="6EB87DF9">
      <w:pPr>
        <w:ind w:firstLine="420" w:firstLineChars="200"/>
      </w:pPr>
      <w:r>
        <w:rPr>
          <w:rFonts w:hint="eastAsia"/>
        </w:rPr>
        <w:t>莆田市农业农村局是乡村振兴专项资金管理的主体，为市人民政府工作部门，与中共莆田市委农村领导工作小组办公室实行一个机构、两块牌子，正处级单位。另外，莆田市委成立实施乡村振兴战略领导小组，详见《中共莆田市委关于成立市委实施乡村振兴战略领导小组的通知》（莆委〔2018〕48号）。领导小组负责研究制定全市乡村振兴战略规划，部署推进重大政策、重大行动和重要工作，协调解决实施乡村振兴战略重点难点问题。领导小组下设办公室作为日常办事机构，设在市委农办，负责督促落实领导小组作出的决策部署，协调推进乡村振兴战略实施；开展乡村振兴有关问题调研和政策研究；培育典型，总结各地经验做法，了解掌握各地动态情况，报送相关信息；推进有关规划制定和试点工作，检查指导地方实施乡村振兴战略，开展乡村振兴实绩考核等。</w:t>
      </w:r>
    </w:p>
    <w:p w14:paraId="003E9BDE">
      <w:pPr>
        <w:ind w:firstLine="420" w:firstLineChars="200"/>
      </w:pPr>
      <w:bookmarkStart w:id="427" w:name="_Toc45187991"/>
      <w:bookmarkStart w:id="428" w:name="_Toc86174710"/>
      <w:r>
        <w:rPr>
          <w:rFonts w:hint="eastAsia"/>
        </w:rPr>
        <w:t>（二）政策实施情况</w:t>
      </w:r>
      <w:bookmarkEnd w:id="427"/>
      <w:bookmarkEnd w:id="428"/>
    </w:p>
    <w:p w14:paraId="1C11CC0D">
      <w:pPr>
        <w:ind w:firstLine="420" w:firstLineChars="200"/>
      </w:pPr>
      <w:r>
        <w:rPr>
          <w:rFonts w:hint="eastAsia"/>
        </w:rPr>
        <w:t>乡村振兴专项资金自2019年执行以来，莆田市深入贯彻党的十九大和十九届二中、三中、四中、五中全会精神，落实习近平总书记对新时代乡村振兴工作的总要求，紧紧围绕“产业兴旺、生态宜居、乡风文明、治理有效、生活富裕”的总体要求，聚焦产业振兴、人才振兴、文化振兴、生态振兴、组织振兴，加强试点示范资金管理使用，提高资金使用效益，有效完善了试点村基础设施、培育特色产业，壮大村集体经济，改善村容村貌、推进乡村治理体系和治理能力建设等。</w:t>
      </w:r>
    </w:p>
    <w:p w14:paraId="4C3A38C0">
      <w:pPr>
        <w:ind w:firstLine="420" w:firstLineChars="200"/>
      </w:pPr>
      <w:r>
        <w:rPr>
          <w:rFonts w:hint="eastAsia"/>
        </w:rPr>
        <w:t>乡村振兴专项资金涉及的明细项目主要由莆田市农业农村局发展规划科负责推进，资金拨付、使用和管理等严格按照预算要求和《莆田市市级财政专项乡村振兴资金管理暂行办法》（莆财农〔2019〕102号）执行。资金安排根据实际情况采用因素分配法、项目分配法等方式分配，重视申报、审核和下达，实行专项管理、专款专用，做到资金到项目、管理到项目、核算到项目。做好公告公示，所有专项资金分配下达情况均在市政府门户网站长期公告公示，接受社会监督。全过程跟踪项目开展情况，及时发现、及时纠偏，及时向市财政申请预算调整，向市政府报告调整项目安排，确保预算资金管理规范，使用合规，执行到位。</w:t>
      </w:r>
    </w:p>
    <w:p w14:paraId="074966A2">
      <w:pPr>
        <w:ind w:firstLine="420" w:firstLineChars="200"/>
      </w:pPr>
      <w:r>
        <w:rPr>
          <w:rFonts w:hint="eastAsia"/>
        </w:rPr>
        <w:t>在乡村振兴专项资金的投入推动下，先后开展“乡村振兴2018专项行动”“百村示范工程”“乡村振兴战略十大行动”，推动特色产业发展、人居环境整治等一百多项重点任务、重点项目落实；莆田市6个乡镇、82个村列入省级乡村振兴试点示范，争取省市县三级配套资金3.48亿元，乡村基础设施与公共服务得到大幅度提升；建立乡村振兴试点示范挂钩联系制度，市领导和县区党政主要领导带头挂钩推动试点示范工作，成效显著；打造乡村振兴“串点连线成片”示范线路20多条；全省首家成立振兴乡村集团公司，实现“破壳消薄”（破除消除村集体经济空壳村和薄弱村），全市所有村的村集体经营性收入超过10万元/村；乡村振兴综合服务平台——“壶兰乡村”正式上线服务，为实现乡村全面振兴提供大数据的导向应用和服务支撑。“创新国有投融资机制助力脱贫攻坚与乡村振兴工作”得到省政府领导批示肯定。</w:t>
      </w:r>
    </w:p>
    <w:p w14:paraId="02E26A4E">
      <w:pPr>
        <w:ind w:firstLine="420" w:firstLineChars="200"/>
      </w:pPr>
      <w:r>
        <w:rPr>
          <w:rFonts w:hint="eastAsia"/>
        </w:rPr>
        <w:t>在实施乡村振兴战略过程中，也涌现了一些国家级的亮点和典型。产业兴旺方面，钟山镇获得农业强镇并上榜全国“一村一品”示范镇。仙游县书峰村和涵江区坪盘村获评国家级“一村一品”示范村。涵江区成为全国率先实现农业农村现代化的试点县区，荔城区成为全国第五批率先实现主要农作物生产全程机械化示范县区，等等；生态宜居方面，木兰溪治水理念和治水经验在全国推广。常太镇岭下村、西天尾镇林山村等16个村评为国家森林乡村，等等。乡风文明方面：累计创建了6个全国级文明村镇、仙游县被文旅部评为“中国民间文化艺术之乡”，等等。治理有效方面，“一网四化构筑关爱体系 全力打造留守儿童关爱工作新格局”成为首批18个全国农村公共服务典型案例，在全国推广。涵江区江口镇东大村和仙游县钟山镇南兴村，被评为全国乡村治理示范村，等等。生活富裕方面，莆田市被列为国家产融合作试点城市、全国双拥模范城、全国创建无障碍环境示范市,并蝉联全国文明城市。湄洲岛被列为国家5A旅游景区和全国农村生活垃圾分类和资源化利用示范县。莆田市湄洲岛下山村、白沙镇坪盘村成为第二批全国乡村旅游重点村，等等。</w:t>
      </w:r>
    </w:p>
    <w:p w14:paraId="3E7CE2EF">
      <w:pPr>
        <w:ind w:firstLine="420" w:firstLineChars="200"/>
      </w:pPr>
      <w:bookmarkStart w:id="429" w:name="_Toc86174711"/>
      <w:bookmarkStart w:id="430" w:name="_Toc45187992"/>
      <w:r>
        <w:rPr>
          <w:rFonts w:hint="eastAsia"/>
        </w:rPr>
        <w:t>（三）资金来源和使用情况</w:t>
      </w:r>
      <w:bookmarkEnd w:id="429"/>
      <w:bookmarkEnd w:id="430"/>
    </w:p>
    <w:p w14:paraId="164CA7C9">
      <w:pPr>
        <w:ind w:firstLine="420" w:firstLineChars="200"/>
      </w:pPr>
      <w:r>
        <w:rPr>
          <w:rFonts w:hint="eastAsia"/>
        </w:rPr>
        <w:t>自政策实施以来，2019-2020年乡村振兴专项资金支出年初预算安排共计8000万元，执行中2019年预算调减1426万元，调整后预算共计6574万元，预算实际到位3140.5万元，实际支出3140.5万元，预算实际执行率47.77%。资金已按要求下拨到乡镇，主要用于支持乡村振兴试点村的产业发展、基础设施建设、公共服务建设提升等项目建设，有效促进了乡村振兴试点村的发展。</w:t>
      </w:r>
    </w:p>
    <w:p w14:paraId="3BF3591C">
      <w:pPr>
        <w:ind w:firstLine="420" w:firstLineChars="200"/>
      </w:pPr>
      <w:r>
        <w:rPr>
          <w:rFonts w:hint="eastAsia"/>
        </w:rPr>
        <w:t>2020年具体各县区资金预算支出情况如表1所示。</w:t>
      </w:r>
    </w:p>
    <w:p w14:paraId="56979802">
      <w:pPr>
        <w:ind w:firstLine="420" w:firstLineChars="200"/>
      </w:pPr>
      <w:r>
        <w:rPr>
          <w:rFonts w:hint="eastAsia"/>
        </w:rPr>
        <w:t>表1 莆田市2020年乡村振兴专项资金各县区预算支出一览（单位：万元）</w:t>
      </w:r>
    </w:p>
    <w:tbl>
      <w:tblPr>
        <w:tblStyle w:val="17"/>
        <w:tblW w:w="7390" w:type="dxa"/>
        <w:jc w:val="center"/>
        <w:tblLayout w:type="fixed"/>
        <w:tblCellMar>
          <w:top w:w="0" w:type="dxa"/>
          <w:left w:w="108" w:type="dxa"/>
          <w:bottom w:w="0" w:type="dxa"/>
          <w:right w:w="108" w:type="dxa"/>
        </w:tblCellMar>
      </w:tblPr>
      <w:tblGrid>
        <w:gridCol w:w="936"/>
        <w:gridCol w:w="937"/>
        <w:gridCol w:w="916"/>
        <w:gridCol w:w="940"/>
        <w:gridCol w:w="957"/>
        <w:gridCol w:w="852"/>
        <w:gridCol w:w="855"/>
        <w:gridCol w:w="997"/>
      </w:tblGrid>
      <w:tr w14:paraId="226EF481">
        <w:tblPrEx>
          <w:tblCellMar>
            <w:top w:w="0" w:type="dxa"/>
            <w:left w:w="108" w:type="dxa"/>
            <w:bottom w:w="0" w:type="dxa"/>
            <w:right w:w="108" w:type="dxa"/>
          </w:tblCellMar>
        </w:tblPrEx>
        <w:trPr>
          <w:trHeight w:val="500" w:hRule="atLeast"/>
          <w:jc w:val="center"/>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69BA5428">
            <w:r>
              <w:rPr>
                <w:rFonts w:hint="eastAsia"/>
              </w:rPr>
              <w:t>仙游</w:t>
            </w:r>
          </w:p>
        </w:tc>
        <w:tc>
          <w:tcPr>
            <w:tcW w:w="937" w:type="dxa"/>
            <w:tcBorders>
              <w:top w:val="single" w:color="auto" w:sz="4" w:space="0"/>
              <w:left w:val="nil"/>
              <w:bottom w:val="single" w:color="auto" w:sz="4" w:space="0"/>
              <w:right w:val="single" w:color="auto" w:sz="4" w:space="0"/>
            </w:tcBorders>
            <w:shd w:val="clear" w:color="auto" w:fill="auto"/>
            <w:vAlign w:val="center"/>
          </w:tcPr>
          <w:p w14:paraId="3EC5C862">
            <w:r>
              <w:rPr>
                <w:rFonts w:hint="eastAsia"/>
              </w:rPr>
              <w:t>荔城</w:t>
            </w:r>
          </w:p>
        </w:tc>
        <w:tc>
          <w:tcPr>
            <w:tcW w:w="916" w:type="dxa"/>
            <w:tcBorders>
              <w:top w:val="single" w:color="auto" w:sz="4" w:space="0"/>
              <w:left w:val="nil"/>
              <w:bottom w:val="single" w:color="auto" w:sz="4" w:space="0"/>
              <w:right w:val="single" w:color="auto" w:sz="4" w:space="0"/>
            </w:tcBorders>
            <w:shd w:val="clear" w:color="auto" w:fill="auto"/>
            <w:vAlign w:val="center"/>
          </w:tcPr>
          <w:p w14:paraId="4AD4353A">
            <w:r>
              <w:rPr>
                <w:rFonts w:hint="eastAsia"/>
              </w:rPr>
              <w:t>城厢</w:t>
            </w:r>
          </w:p>
        </w:tc>
        <w:tc>
          <w:tcPr>
            <w:tcW w:w="940" w:type="dxa"/>
            <w:tcBorders>
              <w:top w:val="single" w:color="auto" w:sz="4" w:space="0"/>
              <w:left w:val="nil"/>
              <w:bottom w:val="single" w:color="auto" w:sz="4" w:space="0"/>
              <w:right w:val="single" w:color="auto" w:sz="4" w:space="0"/>
            </w:tcBorders>
            <w:shd w:val="clear" w:color="auto" w:fill="auto"/>
            <w:vAlign w:val="center"/>
          </w:tcPr>
          <w:p w14:paraId="72801CE2">
            <w:r>
              <w:rPr>
                <w:rFonts w:hint="eastAsia"/>
              </w:rPr>
              <w:t>涵江</w:t>
            </w:r>
          </w:p>
        </w:tc>
        <w:tc>
          <w:tcPr>
            <w:tcW w:w="957" w:type="dxa"/>
            <w:tcBorders>
              <w:top w:val="single" w:color="auto" w:sz="4" w:space="0"/>
              <w:left w:val="nil"/>
              <w:bottom w:val="single" w:color="auto" w:sz="4" w:space="0"/>
              <w:right w:val="single" w:color="auto" w:sz="4" w:space="0"/>
            </w:tcBorders>
            <w:shd w:val="clear" w:color="auto" w:fill="auto"/>
            <w:vAlign w:val="center"/>
          </w:tcPr>
          <w:p w14:paraId="127969E5">
            <w:r>
              <w:rPr>
                <w:rFonts w:hint="eastAsia"/>
              </w:rPr>
              <w:t>秀屿</w:t>
            </w:r>
          </w:p>
        </w:tc>
        <w:tc>
          <w:tcPr>
            <w:tcW w:w="852" w:type="dxa"/>
            <w:tcBorders>
              <w:top w:val="single" w:color="auto" w:sz="4" w:space="0"/>
              <w:left w:val="nil"/>
              <w:bottom w:val="single" w:color="auto" w:sz="4" w:space="0"/>
              <w:right w:val="single" w:color="auto" w:sz="4" w:space="0"/>
            </w:tcBorders>
            <w:shd w:val="clear" w:color="auto" w:fill="auto"/>
            <w:vAlign w:val="center"/>
          </w:tcPr>
          <w:p w14:paraId="68D28D48">
            <w:r>
              <w:rPr>
                <w:rFonts w:hint="eastAsia"/>
              </w:rPr>
              <w:t>北岸</w:t>
            </w:r>
          </w:p>
        </w:tc>
        <w:tc>
          <w:tcPr>
            <w:tcW w:w="855" w:type="dxa"/>
            <w:tcBorders>
              <w:top w:val="single" w:color="auto" w:sz="4" w:space="0"/>
              <w:left w:val="nil"/>
              <w:bottom w:val="single" w:color="auto" w:sz="4" w:space="0"/>
              <w:right w:val="single" w:color="auto" w:sz="4" w:space="0"/>
            </w:tcBorders>
            <w:shd w:val="clear" w:color="auto" w:fill="auto"/>
            <w:vAlign w:val="center"/>
          </w:tcPr>
          <w:p w14:paraId="36AE064D">
            <w:r>
              <w:rPr>
                <w:rFonts w:hint="eastAsia"/>
              </w:rPr>
              <w:t>湄洲</w:t>
            </w:r>
          </w:p>
        </w:tc>
        <w:tc>
          <w:tcPr>
            <w:tcW w:w="997" w:type="dxa"/>
            <w:tcBorders>
              <w:top w:val="single" w:color="auto" w:sz="4" w:space="0"/>
              <w:left w:val="nil"/>
              <w:bottom w:val="single" w:color="auto" w:sz="4" w:space="0"/>
              <w:right w:val="single" w:color="auto" w:sz="4" w:space="0"/>
            </w:tcBorders>
            <w:vAlign w:val="center"/>
          </w:tcPr>
          <w:p w14:paraId="2E4531BF">
            <w:r>
              <w:rPr>
                <w:rFonts w:hint="eastAsia"/>
              </w:rPr>
              <w:t>合计</w:t>
            </w:r>
          </w:p>
        </w:tc>
      </w:tr>
      <w:tr w14:paraId="3E5E96AB">
        <w:tblPrEx>
          <w:tblCellMar>
            <w:top w:w="0" w:type="dxa"/>
            <w:left w:w="108" w:type="dxa"/>
            <w:bottom w:w="0" w:type="dxa"/>
            <w:right w:w="108" w:type="dxa"/>
          </w:tblCellMar>
        </w:tblPrEx>
        <w:trPr>
          <w:trHeight w:val="1000" w:hRule="atLeast"/>
          <w:jc w:val="center"/>
        </w:trPr>
        <w:tc>
          <w:tcPr>
            <w:tcW w:w="936" w:type="dxa"/>
            <w:tcBorders>
              <w:top w:val="nil"/>
              <w:left w:val="single" w:color="auto" w:sz="4" w:space="0"/>
              <w:bottom w:val="single" w:color="auto" w:sz="4" w:space="0"/>
              <w:right w:val="single" w:color="auto" w:sz="4" w:space="0"/>
            </w:tcBorders>
            <w:shd w:val="clear" w:color="auto" w:fill="auto"/>
            <w:vAlign w:val="center"/>
          </w:tcPr>
          <w:p w14:paraId="3F24A8ED">
            <w:r>
              <w:rPr>
                <w:rFonts w:hint="eastAsia"/>
              </w:rPr>
              <w:t>861.3</w:t>
            </w:r>
          </w:p>
        </w:tc>
        <w:tc>
          <w:tcPr>
            <w:tcW w:w="937" w:type="dxa"/>
            <w:tcBorders>
              <w:top w:val="nil"/>
              <w:left w:val="nil"/>
              <w:bottom w:val="single" w:color="auto" w:sz="4" w:space="0"/>
              <w:right w:val="single" w:color="auto" w:sz="4" w:space="0"/>
            </w:tcBorders>
            <w:shd w:val="clear" w:color="auto" w:fill="auto"/>
            <w:vAlign w:val="center"/>
          </w:tcPr>
          <w:p w14:paraId="716252E3">
            <w:r>
              <w:rPr>
                <w:rFonts w:hint="eastAsia"/>
              </w:rPr>
              <w:t>391.5</w:t>
            </w:r>
          </w:p>
        </w:tc>
        <w:tc>
          <w:tcPr>
            <w:tcW w:w="916" w:type="dxa"/>
            <w:tcBorders>
              <w:top w:val="nil"/>
              <w:left w:val="nil"/>
              <w:bottom w:val="single" w:color="auto" w:sz="4" w:space="0"/>
              <w:right w:val="single" w:color="auto" w:sz="4" w:space="0"/>
            </w:tcBorders>
            <w:shd w:val="clear" w:color="auto" w:fill="auto"/>
            <w:vAlign w:val="center"/>
          </w:tcPr>
          <w:p w14:paraId="2F4196A1">
            <w:r>
              <w:rPr>
                <w:rFonts w:hint="eastAsia"/>
              </w:rPr>
              <w:t>313.2</w:t>
            </w:r>
          </w:p>
        </w:tc>
        <w:tc>
          <w:tcPr>
            <w:tcW w:w="940" w:type="dxa"/>
            <w:tcBorders>
              <w:top w:val="nil"/>
              <w:left w:val="nil"/>
              <w:bottom w:val="single" w:color="auto" w:sz="4" w:space="0"/>
              <w:right w:val="single" w:color="auto" w:sz="4" w:space="0"/>
            </w:tcBorders>
            <w:shd w:val="clear" w:color="auto" w:fill="auto"/>
            <w:vAlign w:val="center"/>
          </w:tcPr>
          <w:p w14:paraId="0DB754E6">
            <w:r>
              <w:rPr>
                <w:rFonts w:hint="eastAsia"/>
              </w:rPr>
              <w:t>587.25</w:t>
            </w:r>
          </w:p>
        </w:tc>
        <w:tc>
          <w:tcPr>
            <w:tcW w:w="957" w:type="dxa"/>
            <w:tcBorders>
              <w:top w:val="nil"/>
              <w:left w:val="nil"/>
              <w:bottom w:val="single" w:color="auto" w:sz="4" w:space="0"/>
              <w:right w:val="single" w:color="auto" w:sz="4" w:space="0"/>
            </w:tcBorders>
            <w:shd w:val="clear" w:color="auto" w:fill="auto"/>
            <w:vAlign w:val="center"/>
          </w:tcPr>
          <w:p w14:paraId="024FAE0F">
            <w:r>
              <w:rPr>
                <w:rFonts w:hint="eastAsia"/>
              </w:rPr>
              <w:t>469.8</w:t>
            </w:r>
          </w:p>
        </w:tc>
        <w:tc>
          <w:tcPr>
            <w:tcW w:w="852" w:type="dxa"/>
            <w:tcBorders>
              <w:top w:val="nil"/>
              <w:left w:val="nil"/>
              <w:bottom w:val="single" w:color="auto" w:sz="4" w:space="0"/>
              <w:right w:val="single" w:color="auto" w:sz="4" w:space="0"/>
            </w:tcBorders>
            <w:shd w:val="clear" w:color="auto" w:fill="auto"/>
            <w:vAlign w:val="center"/>
          </w:tcPr>
          <w:p w14:paraId="685E4ADB">
            <w:r>
              <w:rPr>
                <w:rFonts w:hint="eastAsia"/>
              </w:rPr>
              <w:t>78.3</w:t>
            </w:r>
          </w:p>
        </w:tc>
        <w:tc>
          <w:tcPr>
            <w:tcW w:w="855" w:type="dxa"/>
            <w:tcBorders>
              <w:top w:val="nil"/>
              <w:left w:val="nil"/>
              <w:bottom w:val="single" w:color="auto" w:sz="4" w:space="0"/>
              <w:right w:val="single" w:color="auto" w:sz="4" w:space="0"/>
            </w:tcBorders>
            <w:shd w:val="clear" w:color="auto" w:fill="auto"/>
            <w:vAlign w:val="center"/>
          </w:tcPr>
          <w:p w14:paraId="43486FCF">
            <w:r>
              <w:rPr>
                <w:rFonts w:hint="eastAsia"/>
              </w:rPr>
              <w:t>39.15</w:t>
            </w:r>
          </w:p>
        </w:tc>
        <w:tc>
          <w:tcPr>
            <w:tcW w:w="997" w:type="dxa"/>
            <w:tcBorders>
              <w:top w:val="nil"/>
              <w:left w:val="nil"/>
              <w:bottom w:val="single" w:color="auto" w:sz="4" w:space="0"/>
              <w:right w:val="single" w:color="auto" w:sz="4" w:space="0"/>
            </w:tcBorders>
            <w:vAlign w:val="center"/>
          </w:tcPr>
          <w:p w14:paraId="7E2E6F30">
            <w:r>
              <w:rPr>
                <w:rFonts w:hint="eastAsia"/>
              </w:rPr>
              <w:t>2740.5</w:t>
            </w:r>
          </w:p>
        </w:tc>
      </w:tr>
    </w:tbl>
    <w:p w14:paraId="78D25253">
      <w:pPr>
        <w:ind w:firstLine="420" w:firstLineChars="200"/>
      </w:pPr>
      <w:bookmarkStart w:id="431" w:name="_Toc45187993"/>
      <w:bookmarkStart w:id="432" w:name="_Toc86174712"/>
      <w:r>
        <w:rPr>
          <w:rFonts w:hint="eastAsia"/>
        </w:rPr>
        <w:t>（四）绩效目标及实现程度</w:t>
      </w:r>
      <w:bookmarkEnd w:id="431"/>
      <w:bookmarkEnd w:id="432"/>
    </w:p>
    <w:p w14:paraId="081B0D5C">
      <w:pPr>
        <w:ind w:firstLine="420" w:firstLineChars="200"/>
      </w:pPr>
      <w:r>
        <w:rPr>
          <w:rFonts w:hint="eastAsia"/>
        </w:rPr>
        <w:t>乡村振兴专项资金的总体目标是：按照产业兴旺、生态宜居、乡风文明、治理有效、生活富裕的总要求，围绕实施特色产业发展、人居环境整治、乡村生态保护、文明乡风塑造、乡村治理提升、乡村民生改善、农村脱贫攻坚、人才科技支撑、农村改革创新、农村党建引领等重点任务，深入推进乡村振兴战略的实施。从2019年起，用三年的时间在全市范围内创建100个示范村、12个示范区，逐步分级推进，重点解决提升农村人居环境，推动农村产业发展，补齐农村公共服务短板，促进农村社会文明和谐，增加农民收入等问题。通过试点示范、以点带面、连线成片，在试点取得经验后，在全市推广学习，为全市深入实施乡村振兴战略提供示范样板。其中：初级版，从群众最关心的问题入手，抓好“一革命四行动”，解决好农村的垃圾、污水、厕所、农房、村容村貌等基础问题；中级版，着重在解决产业兴旺、百姓致富等农村经济问题上下功夫，同时进一步拓展工作内容；高级版，就是继续对中级版进行提升，重点解决好村民自治、民俗民风、乡村文化、人才等更深层次的问题。</w:t>
      </w:r>
    </w:p>
    <w:p w14:paraId="49A749AB">
      <w:pPr>
        <w:ind w:firstLine="420" w:firstLineChars="200"/>
      </w:pPr>
      <w:r>
        <w:rPr>
          <w:rFonts w:hint="eastAsia"/>
        </w:rPr>
        <w:t>到2020年，乡村振兴取得重要进展，制度框架和政策体系基本形成。农业综合生产能力稳步提升，农业供给体系质量明显提高，农村一二三产业融合发展初显成效，现代农业建设闯出新路；农民增收渠道进一步拓宽，城乡居民生活水平差距持续缩小；农村厕所、垃圾、污水专项整治取得显著成效，人居环境质量全面提升，农村基础设施全面提升，美丽乡村建设全面推进；城乡区域基层基本公共服务大体均衡，城乡融合发展体制机制初步建立；农村对人才吸引力逐步增强；以党组织为核心的农村基层组织建设进一步加强，乡风文明取得新进展，乡村治理体系进一步完善；党的农村工作领导体制机制进一步健全；推进乡村振兴的制度得以确立，全面建成小康社会的目标力争提前实现。</w:t>
      </w:r>
    </w:p>
    <w:p w14:paraId="56D92F95">
      <w:pPr>
        <w:ind w:firstLine="420" w:firstLineChars="200"/>
      </w:pPr>
      <w:r>
        <w:rPr>
          <w:rFonts w:hint="eastAsia"/>
        </w:rPr>
        <w:t>乡村振兴专项资金项目绩效目标指标体系如表2所示。</w:t>
      </w:r>
    </w:p>
    <w:p w14:paraId="1D763E34">
      <w:pPr>
        <w:ind w:firstLine="420" w:firstLineChars="200"/>
      </w:pPr>
      <w:r>
        <w:rPr>
          <w:rFonts w:hint="eastAsia"/>
        </w:rPr>
        <w:t>表2 莆田市乡村振兴专项资金绩效目标及标准</w:t>
      </w:r>
    </w:p>
    <w:tbl>
      <w:tblPr>
        <w:tblStyle w:val="1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30"/>
        <w:gridCol w:w="2760"/>
        <w:gridCol w:w="4379"/>
      </w:tblGrid>
      <w:tr w14:paraId="21C1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01" w:type="dxa"/>
            <w:shd w:val="clear" w:color="auto" w:fill="auto"/>
            <w:vAlign w:val="center"/>
          </w:tcPr>
          <w:p w14:paraId="027B8937">
            <w:r>
              <w:rPr>
                <w:rFonts w:hint="eastAsia"/>
              </w:rPr>
              <w:t>一级指标</w:t>
            </w:r>
          </w:p>
        </w:tc>
        <w:tc>
          <w:tcPr>
            <w:tcW w:w="1330" w:type="dxa"/>
            <w:shd w:val="clear" w:color="auto" w:fill="auto"/>
            <w:vAlign w:val="center"/>
          </w:tcPr>
          <w:p w14:paraId="595A36FB">
            <w:r>
              <w:rPr>
                <w:rFonts w:hint="eastAsia"/>
              </w:rPr>
              <w:t>二级指标</w:t>
            </w:r>
          </w:p>
        </w:tc>
        <w:tc>
          <w:tcPr>
            <w:tcW w:w="2760" w:type="dxa"/>
            <w:shd w:val="clear" w:color="auto" w:fill="auto"/>
            <w:vAlign w:val="center"/>
          </w:tcPr>
          <w:p w14:paraId="2EED1EC9">
            <w:r>
              <w:rPr>
                <w:rFonts w:hint="eastAsia"/>
              </w:rPr>
              <w:t>三级指标</w:t>
            </w:r>
          </w:p>
        </w:tc>
        <w:tc>
          <w:tcPr>
            <w:tcW w:w="4379" w:type="dxa"/>
            <w:shd w:val="clear" w:color="auto" w:fill="auto"/>
            <w:vAlign w:val="center"/>
          </w:tcPr>
          <w:p w14:paraId="00FEC173">
            <w:r>
              <w:rPr>
                <w:rFonts w:hint="eastAsia"/>
              </w:rPr>
              <w:t>绩效标准</w:t>
            </w:r>
          </w:p>
        </w:tc>
      </w:tr>
      <w:tr w14:paraId="6EF6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01" w:type="dxa"/>
            <w:vMerge w:val="restart"/>
            <w:shd w:val="clear" w:color="auto" w:fill="auto"/>
            <w:vAlign w:val="center"/>
          </w:tcPr>
          <w:p w14:paraId="70B344EF">
            <w:r>
              <w:rPr>
                <w:rFonts w:hint="eastAsia"/>
              </w:rPr>
              <w:t>投入</w:t>
            </w:r>
          </w:p>
        </w:tc>
        <w:tc>
          <w:tcPr>
            <w:tcW w:w="1330" w:type="dxa"/>
            <w:shd w:val="clear" w:color="auto" w:fill="auto"/>
            <w:vAlign w:val="center"/>
          </w:tcPr>
          <w:p w14:paraId="717A30AD">
            <w:r>
              <w:rPr>
                <w:rFonts w:hint="eastAsia"/>
              </w:rPr>
              <w:t>时效目标</w:t>
            </w:r>
          </w:p>
        </w:tc>
        <w:tc>
          <w:tcPr>
            <w:tcW w:w="2760" w:type="dxa"/>
            <w:shd w:val="clear" w:color="auto" w:fill="auto"/>
            <w:vAlign w:val="center"/>
          </w:tcPr>
          <w:p w14:paraId="689E402A">
            <w:r>
              <w:rPr>
                <w:rFonts w:hint="eastAsia"/>
              </w:rPr>
              <w:t>资金拨付进度</w:t>
            </w:r>
          </w:p>
        </w:tc>
        <w:tc>
          <w:tcPr>
            <w:tcW w:w="4379" w:type="dxa"/>
            <w:shd w:val="clear" w:color="auto" w:fill="auto"/>
            <w:vAlign w:val="center"/>
          </w:tcPr>
          <w:p w14:paraId="66E045E5">
            <w:r>
              <w:rPr>
                <w:rFonts w:hint="eastAsia"/>
              </w:rPr>
              <w:t>支出金额/年度预算金额*100%</w:t>
            </w:r>
          </w:p>
        </w:tc>
      </w:tr>
      <w:tr w14:paraId="3B59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01" w:type="dxa"/>
            <w:vMerge w:val="continue"/>
            <w:vAlign w:val="center"/>
          </w:tcPr>
          <w:p w14:paraId="1C66B7AB"/>
        </w:tc>
        <w:tc>
          <w:tcPr>
            <w:tcW w:w="1330" w:type="dxa"/>
            <w:shd w:val="clear" w:color="auto" w:fill="auto"/>
            <w:vAlign w:val="center"/>
          </w:tcPr>
          <w:p w14:paraId="42D8CA4A">
            <w:r>
              <w:rPr>
                <w:rFonts w:hint="eastAsia"/>
              </w:rPr>
              <w:t>成本目标</w:t>
            </w:r>
          </w:p>
        </w:tc>
        <w:tc>
          <w:tcPr>
            <w:tcW w:w="2760" w:type="dxa"/>
            <w:shd w:val="clear" w:color="auto" w:fill="auto"/>
            <w:vAlign w:val="center"/>
          </w:tcPr>
          <w:p w14:paraId="2E687936">
            <w:r>
              <w:rPr>
                <w:rFonts w:hint="eastAsia"/>
              </w:rPr>
              <w:t>资金投入</w:t>
            </w:r>
          </w:p>
        </w:tc>
        <w:tc>
          <w:tcPr>
            <w:tcW w:w="4379" w:type="dxa"/>
            <w:shd w:val="clear" w:color="auto" w:fill="auto"/>
            <w:vAlign w:val="center"/>
          </w:tcPr>
          <w:p w14:paraId="7061BE2F">
            <w:r>
              <w:rPr>
                <w:rFonts w:hint="eastAsia"/>
              </w:rPr>
              <w:t>按实际资金支出数</w:t>
            </w:r>
          </w:p>
        </w:tc>
      </w:tr>
      <w:tr w14:paraId="293C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01" w:type="dxa"/>
            <w:vMerge w:val="restart"/>
            <w:shd w:val="clear" w:color="auto" w:fill="auto"/>
            <w:vAlign w:val="center"/>
          </w:tcPr>
          <w:p w14:paraId="24A061A2">
            <w:r>
              <w:rPr>
                <w:rFonts w:hint="eastAsia"/>
              </w:rPr>
              <w:t>产出</w:t>
            </w:r>
          </w:p>
        </w:tc>
        <w:tc>
          <w:tcPr>
            <w:tcW w:w="1330" w:type="dxa"/>
            <w:vMerge w:val="restart"/>
            <w:shd w:val="clear" w:color="auto" w:fill="auto"/>
            <w:vAlign w:val="center"/>
          </w:tcPr>
          <w:p w14:paraId="68EEC57F">
            <w:r>
              <w:rPr>
                <w:rFonts w:hint="eastAsia"/>
              </w:rPr>
              <w:t>数量目标</w:t>
            </w:r>
          </w:p>
        </w:tc>
        <w:tc>
          <w:tcPr>
            <w:tcW w:w="2760" w:type="dxa"/>
            <w:shd w:val="clear" w:color="auto" w:fill="auto"/>
            <w:vAlign w:val="center"/>
          </w:tcPr>
          <w:p w14:paraId="336EF82F">
            <w:r>
              <w:rPr>
                <w:rFonts w:hint="eastAsia"/>
              </w:rPr>
              <w:t>推动乡村振兴示范村建设数</w:t>
            </w:r>
          </w:p>
        </w:tc>
        <w:tc>
          <w:tcPr>
            <w:tcW w:w="4379" w:type="dxa"/>
            <w:shd w:val="clear" w:color="auto" w:fill="auto"/>
            <w:vAlign w:val="center"/>
          </w:tcPr>
          <w:p w14:paraId="38D33E5B">
            <w:r>
              <w:rPr>
                <w:rFonts w:hint="eastAsia"/>
              </w:rPr>
              <w:t>按县区上报建设的示范村数</w:t>
            </w:r>
          </w:p>
        </w:tc>
      </w:tr>
      <w:tr w14:paraId="4DF2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01" w:type="dxa"/>
            <w:vMerge w:val="continue"/>
            <w:vAlign w:val="center"/>
          </w:tcPr>
          <w:p w14:paraId="5F778F4A"/>
        </w:tc>
        <w:tc>
          <w:tcPr>
            <w:tcW w:w="1330" w:type="dxa"/>
            <w:vMerge w:val="continue"/>
            <w:vAlign w:val="center"/>
          </w:tcPr>
          <w:p w14:paraId="3C782267"/>
        </w:tc>
        <w:tc>
          <w:tcPr>
            <w:tcW w:w="2760" w:type="dxa"/>
            <w:shd w:val="clear" w:color="auto" w:fill="auto"/>
            <w:vAlign w:val="center"/>
          </w:tcPr>
          <w:p w14:paraId="234B9DB3">
            <w:r>
              <w:rPr>
                <w:rFonts w:hint="eastAsia"/>
              </w:rPr>
              <w:t>推动示范片建设数</w:t>
            </w:r>
          </w:p>
        </w:tc>
        <w:tc>
          <w:tcPr>
            <w:tcW w:w="4379" w:type="dxa"/>
            <w:shd w:val="clear" w:color="auto" w:fill="auto"/>
            <w:vAlign w:val="center"/>
          </w:tcPr>
          <w:p w14:paraId="6F3DF0FA">
            <w:r>
              <w:rPr>
                <w:rFonts w:hint="eastAsia"/>
              </w:rPr>
              <w:t>按县区上报建设的示范片数</w:t>
            </w:r>
          </w:p>
        </w:tc>
      </w:tr>
      <w:tr w14:paraId="7B65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01" w:type="dxa"/>
            <w:vMerge w:val="continue"/>
            <w:vAlign w:val="center"/>
          </w:tcPr>
          <w:p w14:paraId="108B4BD0"/>
        </w:tc>
        <w:tc>
          <w:tcPr>
            <w:tcW w:w="1330" w:type="dxa"/>
            <w:shd w:val="clear" w:color="auto" w:fill="auto"/>
            <w:vAlign w:val="center"/>
          </w:tcPr>
          <w:p w14:paraId="69F419E9">
            <w:r>
              <w:rPr>
                <w:rFonts w:hint="eastAsia"/>
              </w:rPr>
              <w:t>质量目标</w:t>
            </w:r>
          </w:p>
        </w:tc>
        <w:tc>
          <w:tcPr>
            <w:tcW w:w="2760" w:type="dxa"/>
            <w:shd w:val="clear" w:color="auto" w:fill="auto"/>
            <w:vAlign w:val="center"/>
          </w:tcPr>
          <w:p w14:paraId="4D888805">
            <w:r>
              <w:rPr>
                <w:rFonts w:hint="eastAsia"/>
              </w:rPr>
              <w:t>示范村标准等次数</w:t>
            </w:r>
          </w:p>
        </w:tc>
        <w:tc>
          <w:tcPr>
            <w:tcW w:w="4379" w:type="dxa"/>
            <w:shd w:val="clear" w:color="auto" w:fill="auto"/>
            <w:vAlign w:val="center"/>
          </w:tcPr>
          <w:p w14:paraId="21DF67FF">
            <w:r>
              <w:rPr>
                <w:rFonts w:hint="eastAsia"/>
              </w:rPr>
              <w:t>根据乡村振兴示范村的工作成效可予以星级评定等次</w:t>
            </w:r>
          </w:p>
        </w:tc>
      </w:tr>
      <w:tr w14:paraId="07D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1" w:type="dxa"/>
            <w:vMerge w:val="restart"/>
            <w:shd w:val="clear" w:color="auto" w:fill="auto"/>
            <w:vAlign w:val="center"/>
          </w:tcPr>
          <w:p w14:paraId="1053C3E8">
            <w:r>
              <w:rPr>
                <w:rFonts w:hint="eastAsia"/>
              </w:rPr>
              <w:t>效益</w:t>
            </w:r>
          </w:p>
        </w:tc>
        <w:tc>
          <w:tcPr>
            <w:tcW w:w="1330" w:type="dxa"/>
            <w:shd w:val="clear" w:color="auto" w:fill="auto"/>
            <w:vAlign w:val="center"/>
          </w:tcPr>
          <w:p w14:paraId="6CE4DA89">
            <w:pPr>
              <w:ind w:firstLine="420" w:firstLineChars="200"/>
            </w:pPr>
            <w:r>
              <w:rPr>
                <w:rFonts w:hint="eastAsia"/>
              </w:rPr>
              <w:t>社会效益</w:t>
            </w:r>
          </w:p>
          <w:p w14:paraId="1C893A0C">
            <w:pPr>
              <w:ind w:firstLine="420" w:firstLineChars="200"/>
            </w:pPr>
            <w:r>
              <w:rPr>
                <w:rFonts w:hint="eastAsia"/>
              </w:rPr>
              <w:t>目标</w:t>
            </w:r>
          </w:p>
        </w:tc>
        <w:tc>
          <w:tcPr>
            <w:tcW w:w="2760" w:type="dxa"/>
            <w:shd w:val="clear" w:color="auto" w:fill="auto"/>
            <w:vAlign w:val="center"/>
          </w:tcPr>
          <w:p w14:paraId="5B303E8B">
            <w:r>
              <w:rPr>
                <w:rFonts w:hint="eastAsia"/>
              </w:rPr>
              <w:t>示范村面貌体现方面数</w:t>
            </w:r>
          </w:p>
        </w:tc>
        <w:tc>
          <w:tcPr>
            <w:tcW w:w="4379" w:type="dxa"/>
            <w:shd w:val="clear" w:color="auto" w:fill="auto"/>
            <w:vAlign w:val="center"/>
          </w:tcPr>
          <w:p w14:paraId="6EC3C534">
            <w:r>
              <w:rPr>
                <w:rFonts w:hint="eastAsia"/>
              </w:rPr>
              <w:t>按示范村面貌改变所体现的方面数</w:t>
            </w:r>
          </w:p>
        </w:tc>
      </w:tr>
      <w:tr w14:paraId="0390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01" w:type="dxa"/>
            <w:vMerge w:val="continue"/>
            <w:vAlign w:val="center"/>
          </w:tcPr>
          <w:p w14:paraId="0FA61355"/>
        </w:tc>
        <w:tc>
          <w:tcPr>
            <w:tcW w:w="1330" w:type="dxa"/>
            <w:shd w:val="clear" w:color="auto" w:fill="auto"/>
            <w:vAlign w:val="center"/>
          </w:tcPr>
          <w:p w14:paraId="50A8E0B6">
            <w:r>
              <w:rPr>
                <w:rFonts w:hint="eastAsia"/>
              </w:rPr>
              <w:t>服务对象满意度目标</w:t>
            </w:r>
          </w:p>
        </w:tc>
        <w:tc>
          <w:tcPr>
            <w:tcW w:w="2760" w:type="dxa"/>
            <w:shd w:val="clear" w:color="auto" w:fill="auto"/>
            <w:vAlign w:val="center"/>
          </w:tcPr>
          <w:p w14:paraId="3B58344C">
            <w:r>
              <w:rPr>
                <w:rFonts w:hint="eastAsia"/>
              </w:rPr>
              <w:t>示范村农民满意度</w:t>
            </w:r>
          </w:p>
        </w:tc>
        <w:tc>
          <w:tcPr>
            <w:tcW w:w="4379" w:type="dxa"/>
            <w:shd w:val="clear" w:color="auto" w:fill="auto"/>
            <w:vAlign w:val="center"/>
          </w:tcPr>
          <w:p w14:paraId="49226FF6">
            <w:r>
              <w:rPr>
                <w:rFonts w:hint="eastAsia"/>
              </w:rPr>
              <w:t>抽样农民满意的人数/抽样的总数*100%</w:t>
            </w:r>
          </w:p>
        </w:tc>
      </w:tr>
    </w:tbl>
    <w:p w14:paraId="1255F378">
      <w:pPr>
        <w:ind w:firstLine="420" w:firstLineChars="200"/>
        <w:outlineLvl w:val="0"/>
      </w:pPr>
      <w:bookmarkStart w:id="433" w:name="_Toc10127"/>
      <w:bookmarkStart w:id="434" w:name="_Toc86174713"/>
      <w:bookmarkStart w:id="435" w:name="_Toc45187994"/>
      <w:r>
        <w:rPr>
          <w:rFonts w:hint="eastAsia"/>
        </w:rPr>
        <w:t>二、绩效评价的组织实施情况</w:t>
      </w:r>
      <w:bookmarkEnd w:id="433"/>
      <w:bookmarkEnd w:id="434"/>
      <w:bookmarkEnd w:id="435"/>
    </w:p>
    <w:p w14:paraId="4B4DC41B">
      <w:pPr>
        <w:ind w:firstLine="420" w:firstLineChars="200"/>
      </w:pPr>
      <w:bookmarkStart w:id="436" w:name="_Toc45187995"/>
      <w:bookmarkStart w:id="437" w:name="_Toc86174714"/>
      <w:r>
        <w:rPr>
          <w:rFonts w:hint="eastAsia"/>
        </w:rPr>
        <w:t>（一）绩效评价目的</w:t>
      </w:r>
      <w:bookmarkEnd w:id="436"/>
      <w:bookmarkEnd w:id="437"/>
    </w:p>
    <w:p w14:paraId="3596E2C0">
      <w:pPr>
        <w:ind w:firstLine="420" w:firstLineChars="200"/>
      </w:pPr>
      <w:r>
        <w:rPr>
          <w:rFonts w:hint="eastAsia"/>
        </w:rPr>
        <w:t>依据有关文件及其他相关要求，结合评价项目的情况和特点，制定了莆田市乡村振兴专项资金绩效评价实施方案和指标体系，运用科学、规范的绩效评价方法，科学、客观、公正的对乡村振兴专项资金项目的支出进行政策执行中期评价，反映其经济效益、生态效益、社会效益和可持续影响。旨在通过对已执行情况进行绩效评价，规范乡村振兴专项资金的使用管理，优化财政支出结构，充分发挥专项资金的使用效益，为下一阶段政策的继续执行提供完善管理等建议，加快农村、农民致富步伐，确保莆田市实现乡村全面振兴。</w:t>
      </w:r>
    </w:p>
    <w:p w14:paraId="2633A2B7">
      <w:pPr>
        <w:ind w:firstLine="420" w:firstLineChars="200"/>
      </w:pPr>
      <w:bookmarkStart w:id="438" w:name="_Toc45187996"/>
      <w:bookmarkStart w:id="439" w:name="_Toc86174715"/>
      <w:r>
        <w:rPr>
          <w:rFonts w:hint="eastAsia"/>
        </w:rPr>
        <w:t>（二）绩效评价</w:t>
      </w:r>
      <w:bookmarkEnd w:id="438"/>
      <w:r>
        <w:rPr>
          <w:rFonts w:hint="eastAsia"/>
        </w:rPr>
        <w:t>对象和范围</w:t>
      </w:r>
      <w:bookmarkEnd w:id="439"/>
    </w:p>
    <w:p w14:paraId="487FE9C7">
      <w:pPr>
        <w:ind w:firstLine="420" w:firstLineChars="200"/>
      </w:pPr>
      <w:r>
        <w:rPr>
          <w:rFonts w:hint="eastAsia"/>
        </w:rPr>
        <w:t>本次评价工作针对莆田市乡村振兴专项资金，资金用于建设一批不同类型、不同梯次的乡村振兴示范村、示范区，示范引领全市乡村振兴战略的实施，从而实现全市乡村全面振兴。评价内容包括：莆田市乡村振兴专项资金绩效目标、绩效指标设定情况；乡村振兴项目立项、过程管理、产出、效益指标和服务对象满意度指标的设定情况；乡村振兴资金投入和使用情况；为实现绩效目标制定的政策、采取的措施等；绩效目标、绩效指标的实现程度；乡村振兴项目对经济效益、生态效益、社会效益的贡献分析；主要经验做法和存在问题及建议。</w:t>
      </w:r>
    </w:p>
    <w:p w14:paraId="5889BCD2">
      <w:pPr>
        <w:ind w:firstLine="420" w:firstLineChars="200"/>
      </w:pPr>
      <w:r>
        <w:rPr>
          <w:rFonts w:hint="eastAsia"/>
        </w:rPr>
        <w:t>本次绩效评价工作时间节点进度安排如下：</w:t>
      </w:r>
    </w:p>
    <w:p w14:paraId="4CDCC283">
      <w:pPr>
        <w:ind w:firstLine="420" w:firstLineChars="200"/>
      </w:pPr>
      <w:r>
        <w:rPr>
          <w:rFonts w:hint="eastAsia"/>
        </w:rPr>
        <w:t>（1）6月20日之前：完成评价方案制定（方案包括项目基本情况、绩效评价思路、项目调查主要方法、评价工作的组织与实施，重点是评价思路里面的评价指标体系设计）。</w:t>
      </w:r>
    </w:p>
    <w:p w14:paraId="0C82787D">
      <w:pPr>
        <w:ind w:firstLine="420" w:firstLineChars="200"/>
      </w:pPr>
      <w:r>
        <w:rPr>
          <w:rFonts w:hint="eastAsia"/>
        </w:rPr>
        <w:t>（2）6月25日之前：与财政局进行项目对接会。重点是与财政局对应科室讨论：①项目评价方案的可行性。②项目前期研究中存在的问题以及需要财政局提供哪些协助。</w:t>
      </w:r>
    </w:p>
    <w:p w14:paraId="1F6F6ECB">
      <w:pPr>
        <w:ind w:firstLine="420" w:firstLineChars="200"/>
      </w:pPr>
      <w:r>
        <w:rPr>
          <w:rFonts w:hint="eastAsia"/>
        </w:rPr>
        <w:t>（3）7月10日之前：完成项目评价方案的修改（重点是评价指标体系的修改）并定稿。</w:t>
      </w:r>
    </w:p>
    <w:p w14:paraId="527B88CF">
      <w:pPr>
        <w:ind w:firstLine="420" w:firstLineChars="200"/>
      </w:pPr>
      <w:r>
        <w:rPr>
          <w:rFonts w:hint="eastAsia"/>
        </w:rPr>
        <w:t>（4）7月13日之前：进行案头数据分析，完成初步评价打分，形成初步评价结论。</w:t>
      </w:r>
    </w:p>
    <w:p w14:paraId="05F2495D">
      <w:pPr>
        <w:ind w:firstLine="420" w:firstLineChars="200"/>
      </w:pPr>
      <w:r>
        <w:rPr>
          <w:rFonts w:hint="eastAsia"/>
        </w:rPr>
        <w:t>（5）7月17日之前：通过问卷调查、实地调研、召开座谈会等多种形式，完成项目其他所需数据收集工作。完成最终评价打分，形成最终评价结论。</w:t>
      </w:r>
    </w:p>
    <w:p w14:paraId="5A08B944">
      <w:pPr>
        <w:ind w:firstLine="420" w:firstLineChars="200"/>
      </w:pPr>
      <w:r>
        <w:rPr>
          <w:rFonts w:hint="eastAsia"/>
        </w:rPr>
        <w:t>（6）7月24日之前：完成评价报告初稿撰写并提交（一式一份）。</w:t>
      </w:r>
    </w:p>
    <w:p w14:paraId="7CEE3270">
      <w:pPr>
        <w:ind w:firstLine="420" w:firstLineChars="200"/>
      </w:pPr>
      <w:r>
        <w:rPr>
          <w:rFonts w:hint="eastAsia"/>
        </w:rPr>
        <w:t>（7）8月20日之前：完成评价报告初稿审核与修改。</w:t>
      </w:r>
    </w:p>
    <w:p w14:paraId="512AD9B6">
      <w:pPr>
        <w:ind w:firstLine="420" w:firstLineChars="200"/>
      </w:pPr>
      <w:r>
        <w:rPr>
          <w:rFonts w:hint="eastAsia"/>
        </w:rPr>
        <w:t>（8）8月31日之前：提交评价报告最终打印稿（一式六份）。</w:t>
      </w:r>
    </w:p>
    <w:p w14:paraId="1BB9A260">
      <w:pPr>
        <w:ind w:firstLine="420" w:firstLineChars="200"/>
      </w:pPr>
      <w:bookmarkStart w:id="440" w:name="_Toc45187997"/>
      <w:bookmarkStart w:id="441" w:name="_Toc86174716"/>
      <w:r>
        <w:rPr>
          <w:rFonts w:hint="eastAsia"/>
        </w:rPr>
        <w:t>（三）绩效评价人员构成</w:t>
      </w:r>
      <w:bookmarkEnd w:id="440"/>
      <w:bookmarkEnd w:id="441"/>
    </w:p>
    <w:p w14:paraId="59107B91">
      <w:pPr>
        <w:ind w:firstLine="420" w:firstLineChars="200"/>
      </w:pPr>
      <w:r>
        <w:rPr>
          <w:rFonts w:hint="eastAsia"/>
        </w:rPr>
        <w:t>本次莆田市乡村振兴专项资金绩效评价项目团队及分工如表3所示。</w:t>
      </w:r>
    </w:p>
    <w:p w14:paraId="7C6159F4">
      <w:pPr>
        <w:ind w:firstLine="420" w:firstLineChars="200"/>
      </w:pPr>
      <w:r>
        <w:rPr>
          <w:rFonts w:hint="eastAsia"/>
        </w:rPr>
        <w:t>表3 莆田市乡村振兴专项资金绩效评价工作组职责与分工</w:t>
      </w:r>
    </w:p>
    <w:tbl>
      <w:tblPr>
        <w:tblStyle w:val="17"/>
        <w:tblW w:w="8369" w:type="dxa"/>
        <w:jc w:val="center"/>
        <w:tblLayout w:type="fixed"/>
        <w:tblCellMar>
          <w:top w:w="0" w:type="dxa"/>
          <w:left w:w="108" w:type="dxa"/>
          <w:bottom w:w="0" w:type="dxa"/>
          <w:right w:w="108" w:type="dxa"/>
        </w:tblCellMar>
      </w:tblPr>
      <w:tblGrid>
        <w:gridCol w:w="1681"/>
        <w:gridCol w:w="6688"/>
      </w:tblGrid>
      <w:tr w14:paraId="1C51C8C3">
        <w:tblPrEx>
          <w:tblCellMar>
            <w:top w:w="0" w:type="dxa"/>
            <w:left w:w="108" w:type="dxa"/>
            <w:bottom w:w="0" w:type="dxa"/>
            <w:right w:w="108" w:type="dxa"/>
          </w:tblCellMar>
        </w:tblPrEx>
        <w:trPr>
          <w:trHeight w:val="425" w:hRule="atLeast"/>
          <w:jc w:val="center"/>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14:paraId="2248E7BE">
            <w:r>
              <w:rPr>
                <w:rFonts w:hint="eastAsia"/>
              </w:rPr>
              <w:t>项目组成员</w:t>
            </w:r>
          </w:p>
        </w:tc>
        <w:tc>
          <w:tcPr>
            <w:tcW w:w="6688" w:type="dxa"/>
            <w:tcBorders>
              <w:top w:val="single" w:color="auto" w:sz="4" w:space="0"/>
              <w:left w:val="single" w:color="auto" w:sz="4" w:space="0"/>
              <w:bottom w:val="single" w:color="auto" w:sz="4" w:space="0"/>
              <w:right w:val="single" w:color="auto" w:sz="4" w:space="0"/>
            </w:tcBorders>
            <w:shd w:val="clear" w:color="auto" w:fill="auto"/>
            <w:vAlign w:val="center"/>
          </w:tcPr>
          <w:p w14:paraId="413DDC3A">
            <w:r>
              <w:rPr>
                <w:rFonts w:hint="eastAsia"/>
              </w:rPr>
              <w:t>职责与分工</w:t>
            </w:r>
          </w:p>
        </w:tc>
      </w:tr>
      <w:tr w14:paraId="5BFC912A">
        <w:tblPrEx>
          <w:tblCellMar>
            <w:top w:w="0" w:type="dxa"/>
            <w:left w:w="108" w:type="dxa"/>
            <w:bottom w:w="0" w:type="dxa"/>
            <w:right w:w="108" w:type="dxa"/>
          </w:tblCellMar>
        </w:tblPrEx>
        <w:trPr>
          <w:trHeight w:val="605" w:hRule="atLeast"/>
          <w:jc w:val="center"/>
        </w:trPr>
        <w:tc>
          <w:tcPr>
            <w:tcW w:w="1681" w:type="dxa"/>
            <w:tcBorders>
              <w:top w:val="single" w:color="auto" w:sz="4" w:space="0"/>
              <w:left w:val="single" w:color="auto" w:sz="4" w:space="0"/>
              <w:bottom w:val="single" w:color="auto" w:sz="4" w:space="0"/>
              <w:right w:val="single" w:color="auto" w:sz="4" w:space="0"/>
            </w:tcBorders>
            <w:shd w:val="clear" w:color="000000" w:fill="FFFFFF"/>
            <w:vAlign w:val="center"/>
          </w:tcPr>
          <w:p w14:paraId="657E1560">
            <w:r>
              <w:rPr>
                <w:rFonts w:hint="eastAsia"/>
              </w:rPr>
              <w:t>韩世锋</w:t>
            </w:r>
          </w:p>
        </w:tc>
        <w:tc>
          <w:tcPr>
            <w:tcW w:w="6688" w:type="dxa"/>
            <w:tcBorders>
              <w:top w:val="nil"/>
              <w:left w:val="nil"/>
              <w:bottom w:val="single" w:color="auto" w:sz="4" w:space="0"/>
              <w:right w:val="single" w:color="auto" w:sz="4" w:space="0"/>
            </w:tcBorders>
            <w:shd w:val="clear" w:color="000000" w:fill="FFFFFF"/>
            <w:vAlign w:val="center"/>
          </w:tcPr>
          <w:p w14:paraId="6B2B8C85">
            <w:r>
              <w:rPr>
                <w:rFonts w:hint="eastAsia"/>
              </w:rPr>
              <w:t>项目责任人，负责绩效评价指标的制定，起草评价方案与评价报告</w:t>
            </w:r>
          </w:p>
        </w:tc>
      </w:tr>
      <w:tr w14:paraId="220C996F">
        <w:tblPrEx>
          <w:tblCellMar>
            <w:top w:w="0" w:type="dxa"/>
            <w:left w:w="108" w:type="dxa"/>
            <w:bottom w:w="0" w:type="dxa"/>
            <w:right w:w="108" w:type="dxa"/>
          </w:tblCellMar>
        </w:tblPrEx>
        <w:trPr>
          <w:trHeight w:val="435" w:hRule="atLeast"/>
          <w:jc w:val="center"/>
        </w:trPr>
        <w:tc>
          <w:tcPr>
            <w:tcW w:w="1681" w:type="dxa"/>
            <w:tcBorders>
              <w:top w:val="single" w:color="auto" w:sz="4" w:space="0"/>
              <w:left w:val="single" w:color="auto" w:sz="4" w:space="0"/>
              <w:bottom w:val="single" w:color="auto" w:sz="4" w:space="0"/>
              <w:right w:val="single" w:color="auto" w:sz="4" w:space="0"/>
            </w:tcBorders>
            <w:shd w:val="clear" w:color="000000" w:fill="auto"/>
            <w:vAlign w:val="center"/>
          </w:tcPr>
          <w:p w14:paraId="434459B5">
            <w:r>
              <w:rPr>
                <w:rFonts w:hint="eastAsia"/>
              </w:rPr>
              <w:t>林喜庆</w:t>
            </w:r>
          </w:p>
        </w:tc>
        <w:tc>
          <w:tcPr>
            <w:tcW w:w="6688" w:type="dxa"/>
            <w:tcBorders>
              <w:top w:val="single" w:color="auto" w:sz="4" w:space="0"/>
              <w:left w:val="nil"/>
              <w:bottom w:val="single" w:color="auto" w:sz="4" w:space="0"/>
              <w:right w:val="single" w:color="auto" w:sz="4" w:space="0"/>
            </w:tcBorders>
            <w:shd w:val="clear" w:color="000000" w:fill="auto"/>
            <w:vAlign w:val="center"/>
          </w:tcPr>
          <w:p w14:paraId="0352583C">
            <w:r>
              <w:rPr>
                <w:rFonts w:hint="eastAsia"/>
              </w:rPr>
              <w:t>对评价方案和评价报告进行把关，与有关部门对接</w:t>
            </w:r>
          </w:p>
        </w:tc>
      </w:tr>
      <w:tr w14:paraId="0439E0F0">
        <w:tblPrEx>
          <w:tblCellMar>
            <w:top w:w="0" w:type="dxa"/>
            <w:left w:w="108" w:type="dxa"/>
            <w:bottom w:w="0" w:type="dxa"/>
            <w:right w:w="108" w:type="dxa"/>
          </w:tblCellMar>
        </w:tblPrEx>
        <w:trPr>
          <w:trHeight w:val="582" w:hRule="atLeast"/>
          <w:jc w:val="center"/>
        </w:trPr>
        <w:tc>
          <w:tcPr>
            <w:tcW w:w="1681" w:type="dxa"/>
            <w:tcBorders>
              <w:top w:val="single" w:color="auto" w:sz="4" w:space="0"/>
              <w:left w:val="single" w:color="auto" w:sz="4" w:space="0"/>
              <w:bottom w:val="single" w:color="auto" w:sz="4" w:space="0"/>
              <w:right w:val="single" w:color="auto" w:sz="4" w:space="0"/>
            </w:tcBorders>
            <w:shd w:val="clear" w:color="000000" w:fill="auto"/>
            <w:vAlign w:val="center"/>
          </w:tcPr>
          <w:p w14:paraId="30931D5E">
            <w:r>
              <w:rPr>
                <w:rFonts w:hint="eastAsia"/>
              </w:rPr>
              <w:t>潘剑英</w:t>
            </w:r>
          </w:p>
        </w:tc>
        <w:tc>
          <w:tcPr>
            <w:tcW w:w="6688" w:type="dxa"/>
            <w:tcBorders>
              <w:top w:val="single" w:color="auto" w:sz="4" w:space="0"/>
              <w:left w:val="nil"/>
              <w:bottom w:val="single" w:color="auto" w:sz="4" w:space="0"/>
              <w:right w:val="single" w:color="auto" w:sz="4" w:space="0"/>
            </w:tcBorders>
            <w:shd w:val="clear" w:color="000000" w:fill="auto"/>
            <w:vAlign w:val="center"/>
          </w:tcPr>
          <w:p w14:paraId="58E0BCC5">
            <w:r>
              <w:rPr>
                <w:rFonts w:hint="eastAsia"/>
              </w:rPr>
              <w:t>对评价方案和评价报告提供指导意见，参与实地调研和座谈</w:t>
            </w:r>
          </w:p>
        </w:tc>
      </w:tr>
      <w:tr w14:paraId="6CDA04FF">
        <w:tblPrEx>
          <w:tblCellMar>
            <w:top w:w="0" w:type="dxa"/>
            <w:left w:w="108" w:type="dxa"/>
            <w:bottom w:w="0" w:type="dxa"/>
            <w:right w:w="108" w:type="dxa"/>
          </w:tblCellMar>
        </w:tblPrEx>
        <w:trPr>
          <w:trHeight w:val="465" w:hRule="atLeast"/>
          <w:jc w:val="center"/>
        </w:trPr>
        <w:tc>
          <w:tcPr>
            <w:tcW w:w="1681" w:type="dxa"/>
            <w:tcBorders>
              <w:top w:val="single" w:color="auto" w:sz="4" w:space="0"/>
              <w:left w:val="single" w:color="auto" w:sz="4" w:space="0"/>
              <w:bottom w:val="single" w:color="auto" w:sz="4" w:space="0"/>
              <w:right w:val="single" w:color="auto" w:sz="4" w:space="0"/>
            </w:tcBorders>
            <w:shd w:val="clear" w:color="000000" w:fill="auto"/>
            <w:vAlign w:val="center"/>
          </w:tcPr>
          <w:p w14:paraId="6BACDBDD">
            <w:r>
              <w:rPr>
                <w:rFonts w:hint="eastAsia"/>
              </w:rPr>
              <w:t>陈文强</w:t>
            </w:r>
          </w:p>
        </w:tc>
        <w:tc>
          <w:tcPr>
            <w:tcW w:w="6688" w:type="dxa"/>
            <w:tcBorders>
              <w:top w:val="single" w:color="auto" w:sz="4" w:space="0"/>
              <w:left w:val="nil"/>
              <w:bottom w:val="single" w:color="auto" w:sz="4" w:space="0"/>
              <w:right w:val="single" w:color="auto" w:sz="4" w:space="0"/>
            </w:tcBorders>
            <w:shd w:val="clear" w:color="000000" w:fill="auto"/>
            <w:vAlign w:val="center"/>
          </w:tcPr>
          <w:p w14:paraId="44F79139">
            <w:r>
              <w:rPr>
                <w:rFonts w:hint="eastAsia"/>
              </w:rPr>
              <w:t>对评价方案和评价报告提供修改建议</w:t>
            </w:r>
          </w:p>
        </w:tc>
      </w:tr>
    </w:tbl>
    <w:p w14:paraId="5AB4D932">
      <w:pPr>
        <w:ind w:firstLine="420" w:firstLineChars="200"/>
      </w:pPr>
      <w:bookmarkStart w:id="442" w:name="_Toc45188000"/>
      <w:bookmarkStart w:id="443" w:name="_Toc86174717"/>
      <w:r>
        <w:rPr>
          <w:rFonts w:hint="eastAsia"/>
        </w:rPr>
        <w:t>（四）数据收集方法</w:t>
      </w:r>
      <w:bookmarkEnd w:id="442"/>
      <w:bookmarkEnd w:id="443"/>
    </w:p>
    <w:p w14:paraId="5B3181E0">
      <w:pPr>
        <w:ind w:firstLine="420" w:firstLineChars="200"/>
      </w:pPr>
      <w:r>
        <w:rPr>
          <w:rFonts w:hint="eastAsia"/>
        </w:rPr>
        <w:t>本次绩效评价工作所采用的数据收集方法主要包括：</w:t>
      </w:r>
    </w:p>
    <w:p w14:paraId="54F72879">
      <w:pPr>
        <w:ind w:firstLine="420" w:firstLineChars="200"/>
      </w:pPr>
      <w:r>
        <w:rPr>
          <w:rFonts w:hint="eastAsia"/>
        </w:rPr>
        <w:t>第一、访谈法。对乡村振兴专项资金涉及到的主管部门、项目实施单位，如各村镇、振兴办、财政所等开展座谈，了解项目实施情况；</w:t>
      </w:r>
    </w:p>
    <w:p w14:paraId="5B8484D0">
      <w:pPr>
        <w:ind w:firstLine="420" w:firstLineChars="200"/>
      </w:pPr>
      <w:r>
        <w:rPr>
          <w:rFonts w:hint="eastAsia"/>
        </w:rPr>
        <w:t>第二、问卷调查法。根据调查方案的要求，对抽中的调查对象，通过现场发放调查问卷和电话辅助调查两种方式获取原始资料，对受益对象满意度及乡村振兴政策知晓率等内容进行调查；</w:t>
      </w:r>
    </w:p>
    <w:p w14:paraId="3043A280">
      <w:pPr>
        <w:ind w:firstLine="420" w:firstLineChars="200"/>
      </w:pPr>
      <w:r>
        <w:rPr>
          <w:rFonts w:hint="eastAsia"/>
        </w:rPr>
        <w:t>第三、现场勘察法。评价工作组成员到达项目现场，通过现场观察、询问等方式对项目实施情况进行评价；</w:t>
      </w:r>
    </w:p>
    <w:p w14:paraId="0469B695">
      <w:pPr>
        <w:ind w:firstLine="420" w:firstLineChars="200"/>
      </w:pPr>
      <w:r>
        <w:rPr>
          <w:rFonts w:hint="eastAsia"/>
        </w:rPr>
        <w:t>第四、书面审核法。通过对项目绩效目标申报表、资金拨付和使用情况、实施过程中的监督检查资料及自评报告的书面审核，找出项目主管部门及项目实施单位在预算资金支出中存在的问题与不足，评价绩效目标实现程度，并为确定现场勘察对象提供依据。</w:t>
      </w:r>
    </w:p>
    <w:p w14:paraId="6DA8133A">
      <w:pPr>
        <w:ind w:firstLine="420" w:firstLineChars="200"/>
        <w:outlineLvl w:val="0"/>
      </w:pPr>
      <w:bookmarkStart w:id="444" w:name="_Toc23994"/>
      <w:bookmarkStart w:id="445" w:name="_Toc86174718"/>
      <w:bookmarkStart w:id="446" w:name="_Toc45188001"/>
      <w:r>
        <w:rPr>
          <w:rFonts w:hint="eastAsia"/>
        </w:rPr>
        <w:t>三、绩效评价指标体系、评价标准和评价方法</w:t>
      </w:r>
      <w:bookmarkEnd w:id="444"/>
      <w:bookmarkEnd w:id="445"/>
      <w:bookmarkEnd w:id="446"/>
    </w:p>
    <w:p w14:paraId="69F0B585">
      <w:pPr>
        <w:ind w:firstLine="420" w:firstLineChars="200"/>
      </w:pPr>
      <w:bookmarkStart w:id="447" w:name="_Toc45188002"/>
      <w:bookmarkStart w:id="448" w:name="_Toc86174719"/>
      <w:r>
        <w:rPr>
          <w:rFonts w:hint="eastAsia"/>
        </w:rPr>
        <w:t>（一）绩效评价指标体系的设定原则</w:t>
      </w:r>
      <w:bookmarkEnd w:id="447"/>
      <w:bookmarkEnd w:id="448"/>
    </w:p>
    <w:p w14:paraId="2D4C7C0A">
      <w:pPr>
        <w:ind w:firstLine="420" w:firstLineChars="200"/>
      </w:pPr>
      <w:r>
        <w:rPr>
          <w:rFonts w:hint="eastAsia"/>
        </w:rPr>
        <w:t>项目绩效评价工作组根据财政部、福建省、莆田市和财政局财政支出绩效评价管理办法的要求，参考《关于印发财政支出（项目支出）绩效评价操作指引（试行）的通知》（中评协〔2014〕70号），以及2020年度莆田市乡村振兴专项资金绩效评价自评表和预算项目绩效监控情况，基于相关性、重要性、可比性、系统性及经济性的原则，围绕项目决策、项目管理、项目绩效三个方面设计绩效评价指标体系以及相应的分值和评分标准。指标体系共设置3个一级指标、14个二级指标、51个三级指标。指标体系设定满分100分，其中：“项目决策”15分，主要体现项目立项和资金分配是否符合相关规定；“项目管理”20分，主要体现项目的业务管理、财务管理和资金落实的情况；“项目绩效”65分，主要体现各明细项目的产出数量、产出质量、时效指标、成本指标、经济效益、社会效益、生态效益、可持续影响以及服务对象满意程度等。基于外部独立评价的特点和要求，指标设置和评分标准力求具备可行性、客观性、科学性与简明性。</w:t>
      </w:r>
    </w:p>
    <w:p w14:paraId="27DFB199">
      <w:pPr>
        <w:ind w:firstLine="420" w:firstLineChars="200"/>
      </w:pPr>
      <w:bookmarkStart w:id="449" w:name="_Toc45188003"/>
      <w:bookmarkStart w:id="450" w:name="_Toc86174720"/>
      <w:r>
        <w:rPr>
          <w:rFonts w:hint="eastAsia"/>
        </w:rPr>
        <w:t>（二）绩效评价指标体系及评价标准</w:t>
      </w:r>
      <w:bookmarkEnd w:id="449"/>
      <w:bookmarkEnd w:id="450"/>
    </w:p>
    <w:p w14:paraId="4339FD43">
      <w:pPr>
        <w:ind w:firstLine="420" w:firstLineChars="200"/>
      </w:pPr>
      <w:r>
        <w:rPr>
          <w:rFonts w:hint="eastAsia"/>
        </w:rPr>
        <w:t>莆田市乡村振兴专项资金绩效评价指标体系和评分标准如表4所示。</w:t>
      </w:r>
    </w:p>
    <w:p w14:paraId="46498460">
      <w:pPr>
        <w:sectPr>
          <w:pgSz w:w="11906" w:h="16838"/>
          <w:pgMar w:top="1134" w:right="1134" w:bottom="1134" w:left="1418" w:header="851" w:footer="992" w:gutter="0"/>
          <w:cols w:space="425" w:num="1"/>
          <w:docGrid w:type="lines" w:linePitch="312" w:charSpace="0"/>
        </w:sectPr>
      </w:pPr>
    </w:p>
    <w:p w14:paraId="3442C1AA">
      <w:pPr>
        <w:ind w:firstLine="420" w:firstLineChars="200"/>
      </w:pPr>
      <w:r>
        <w:rPr>
          <w:rFonts w:hint="eastAsia"/>
        </w:rPr>
        <w:t>表4 莆田市乡村振兴专项资金绩效评价指标体系和评分标准</w:t>
      </w:r>
    </w:p>
    <w:tbl>
      <w:tblPr>
        <w:tblStyle w:val="17"/>
        <w:tblW w:w="14786" w:type="dxa"/>
        <w:tblInd w:w="0" w:type="dxa"/>
        <w:tblLayout w:type="fixed"/>
        <w:tblCellMar>
          <w:top w:w="0" w:type="dxa"/>
          <w:left w:w="108" w:type="dxa"/>
          <w:bottom w:w="0" w:type="dxa"/>
          <w:right w:w="108" w:type="dxa"/>
        </w:tblCellMar>
      </w:tblPr>
      <w:tblGrid>
        <w:gridCol w:w="1214"/>
        <w:gridCol w:w="2006"/>
        <w:gridCol w:w="1798"/>
        <w:gridCol w:w="4574"/>
        <w:gridCol w:w="4556"/>
        <w:gridCol w:w="638"/>
      </w:tblGrid>
      <w:tr w14:paraId="60878B3F">
        <w:tblPrEx>
          <w:tblCellMar>
            <w:top w:w="0" w:type="dxa"/>
            <w:left w:w="108" w:type="dxa"/>
            <w:bottom w:w="0" w:type="dxa"/>
            <w:right w:w="108" w:type="dxa"/>
          </w:tblCellMar>
        </w:tblPrEx>
        <w:trPr>
          <w:trHeight w:val="571" w:hRule="atLeast"/>
        </w:trPr>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9B34E">
            <w:r>
              <w:rPr>
                <w:rFonts w:hint="eastAsia"/>
              </w:rPr>
              <w:t>一级指标</w:t>
            </w:r>
          </w:p>
        </w:tc>
        <w:tc>
          <w:tcPr>
            <w:tcW w:w="2006" w:type="dxa"/>
            <w:tcBorders>
              <w:top w:val="single" w:color="auto" w:sz="4" w:space="0"/>
              <w:left w:val="nil"/>
              <w:bottom w:val="single" w:color="auto" w:sz="4" w:space="0"/>
              <w:right w:val="single" w:color="auto" w:sz="4" w:space="0"/>
            </w:tcBorders>
            <w:shd w:val="clear" w:color="auto" w:fill="auto"/>
            <w:noWrap/>
            <w:vAlign w:val="center"/>
          </w:tcPr>
          <w:p w14:paraId="604F5E45">
            <w:r>
              <w:rPr>
                <w:rFonts w:hint="eastAsia"/>
              </w:rPr>
              <w:t>二级指标</w:t>
            </w:r>
          </w:p>
        </w:tc>
        <w:tc>
          <w:tcPr>
            <w:tcW w:w="1798" w:type="dxa"/>
            <w:tcBorders>
              <w:top w:val="single" w:color="auto" w:sz="4" w:space="0"/>
              <w:left w:val="nil"/>
              <w:bottom w:val="single" w:color="auto" w:sz="4" w:space="0"/>
              <w:right w:val="single" w:color="auto" w:sz="4" w:space="0"/>
            </w:tcBorders>
            <w:shd w:val="clear" w:color="auto" w:fill="auto"/>
            <w:noWrap/>
            <w:vAlign w:val="center"/>
          </w:tcPr>
          <w:p w14:paraId="6C710609">
            <w:r>
              <w:rPr>
                <w:rFonts w:hint="eastAsia"/>
              </w:rPr>
              <w:t>三级指标</w:t>
            </w:r>
          </w:p>
        </w:tc>
        <w:tc>
          <w:tcPr>
            <w:tcW w:w="4574" w:type="dxa"/>
            <w:tcBorders>
              <w:top w:val="single" w:color="auto" w:sz="4" w:space="0"/>
              <w:left w:val="nil"/>
              <w:bottom w:val="single" w:color="auto" w:sz="4" w:space="0"/>
              <w:right w:val="single" w:color="auto" w:sz="4" w:space="0"/>
            </w:tcBorders>
            <w:shd w:val="clear" w:color="auto" w:fill="auto"/>
            <w:noWrap/>
            <w:vAlign w:val="center"/>
          </w:tcPr>
          <w:p w14:paraId="36DE2F30">
            <w:r>
              <w:rPr>
                <w:rFonts w:hint="eastAsia"/>
              </w:rPr>
              <w:t>指标解释</w:t>
            </w:r>
          </w:p>
        </w:tc>
        <w:tc>
          <w:tcPr>
            <w:tcW w:w="4556" w:type="dxa"/>
            <w:tcBorders>
              <w:top w:val="single" w:color="auto" w:sz="4" w:space="0"/>
              <w:left w:val="nil"/>
              <w:bottom w:val="single" w:color="auto" w:sz="4" w:space="0"/>
              <w:right w:val="single" w:color="auto" w:sz="4" w:space="0"/>
            </w:tcBorders>
            <w:shd w:val="clear" w:color="auto" w:fill="auto"/>
            <w:noWrap/>
            <w:vAlign w:val="center"/>
          </w:tcPr>
          <w:p w14:paraId="3E7361A0">
            <w:r>
              <w:rPr>
                <w:rFonts w:hint="eastAsia"/>
              </w:rPr>
              <w:t>评分标准</w:t>
            </w:r>
          </w:p>
        </w:tc>
        <w:tc>
          <w:tcPr>
            <w:tcW w:w="638" w:type="dxa"/>
            <w:tcBorders>
              <w:top w:val="single" w:color="auto" w:sz="4" w:space="0"/>
              <w:left w:val="nil"/>
              <w:bottom w:val="single" w:color="auto" w:sz="4" w:space="0"/>
              <w:right w:val="single" w:color="auto" w:sz="4" w:space="0"/>
            </w:tcBorders>
            <w:shd w:val="clear" w:color="auto" w:fill="auto"/>
            <w:noWrap/>
            <w:vAlign w:val="center"/>
          </w:tcPr>
          <w:p w14:paraId="01C4FB52">
            <w:r>
              <w:rPr>
                <w:rFonts w:hint="eastAsia"/>
              </w:rPr>
              <w:t>分值</w:t>
            </w:r>
          </w:p>
        </w:tc>
      </w:tr>
      <w:tr w14:paraId="78C31101">
        <w:tblPrEx>
          <w:tblCellMar>
            <w:top w:w="0" w:type="dxa"/>
            <w:left w:w="108" w:type="dxa"/>
            <w:bottom w:w="0" w:type="dxa"/>
            <w:right w:w="108" w:type="dxa"/>
          </w:tblCellMar>
        </w:tblPrEx>
        <w:trPr>
          <w:trHeight w:val="695" w:hRule="atLeast"/>
        </w:trPr>
        <w:tc>
          <w:tcPr>
            <w:tcW w:w="1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DF6DDB">
            <w:r>
              <w:rPr>
                <w:rFonts w:hint="eastAsia"/>
              </w:rPr>
              <w:t>项目决策（15分）</w:t>
            </w: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024D7A">
            <w:r>
              <w:rPr>
                <w:rFonts w:hint="eastAsia"/>
              </w:rPr>
              <w:t>项目立项（7分）</w:t>
            </w:r>
          </w:p>
        </w:tc>
        <w:tc>
          <w:tcPr>
            <w:tcW w:w="1798" w:type="dxa"/>
            <w:tcBorders>
              <w:top w:val="single" w:color="auto" w:sz="4" w:space="0"/>
              <w:left w:val="nil"/>
              <w:bottom w:val="single" w:color="auto" w:sz="4" w:space="0"/>
              <w:right w:val="single" w:color="auto" w:sz="4" w:space="0"/>
            </w:tcBorders>
            <w:shd w:val="clear" w:color="auto" w:fill="auto"/>
            <w:vAlign w:val="center"/>
          </w:tcPr>
          <w:p w14:paraId="6C06270A">
            <w:r>
              <w:rPr>
                <w:rFonts w:hint="eastAsia"/>
              </w:rPr>
              <w:t>项目立项规范性</w:t>
            </w:r>
          </w:p>
        </w:tc>
        <w:tc>
          <w:tcPr>
            <w:tcW w:w="4574" w:type="dxa"/>
            <w:tcBorders>
              <w:top w:val="single" w:color="auto" w:sz="4" w:space="0"/>
              <w:left w:val="nil"/>
              <w:bottom w:val="single" w:color="auto" w:sz="4" w:space="0"/>
              <w:right w:val="single" w:color="auto" w:sz="4" w:space="0"/>
            </w:tcBorders>
            <w:shd w:val="clear" w:color="auto" w:fill="auto"/>
            <w:vAlign w:val="center"/>
          </w:tcPr>
          <w:p w14:paraId="6078E1F5">
            <w:r>
              <w:rPr>
                <w:rFonts w:hint="eastAsia"/>
              </w:rPr>
              <w:t>项目的申请、设立过程是否符合相关要求，用以反映和考核项目立项的规范情况。</w:t>
            </w:r>
          </w:p>
        </w:tc>
        <w:tc>
          <w:tcPr>
            <w:tcW w:w="4556" w:type="dxa"/>
            <w:tcBorders>
              <w:top w:val="single" w:color="auto" w:sz="4" w:space="0"/>
              <w:left w:val="nil"/>
              <w:bottom w:val="single" w:color="auto" w:sz="4" w:space="0"/>
              <w:right w:val="single" w:color="auto" w:sz="4" w:space="0"/>
            </w:tcBorders>
            <w:shd w:val="clear" w:color="auto" w:fill="auto"/>
            <w:vAlign w:val="center"/>
          </w:tcPr>
          <w:p w14:paraId="682BB533">
            <w:r>
              <w:rPr>
                <w:rFonts w:hint="eastAsia"/>
              </w:rPr>
              <w:t>项目立项规范、手续齐全记3分，项目立项不规范记2分，项目未立记零分。</w:t>
            </w:r>
          </w:p>
        </w:tc>
        <w:tc>
          <w:tcPr>
            <w:tcW w:w="638" w:type="dxa"/>
            <w:tcBorders>
              <w:top w:val="single" w:color="auto" w:sz="4" w:space="0"/>
              <w:left w:val="nil"/>
              <w:bottom w:val="single" w:color="auto" w:sz="4" w:space="0"/>
              <w:right w:val="single" w:color="auto" w:sz="4" w:space="0"/>
            </w:tcBorders>
            <w:shd w:val="clear" w:color="auto" w:fill="auto"/>
            <w:vAlign w:val="center"/>
          </w:tcPr>
          <w:p w14:paraId="0C11CF3D">
            <w:r>
              <w:rPr>
                <w:rFonts w:hint="eastAsia"/>
              </w:rPr>
              <w:t>3</w:t>
            </w:r>
          </w:p>
        </w:tc>
      </w:tr>
      <w:tr w14:paraId="62EA4FC1">
        <w:tblPrEx>
          <w:tblCellMar>
            <w:top w:w="0" w:type="dxa"/>
            <w:left w:w="108" w:type="dxa"/>
            <w:bottom w:w="0" w:type="dxa"/>
            <w:right w:w="108" w:type="dxa"/>
          </w:tblCellMar>
        </w:tblPrEx>
        <w:trPr>
          <w:trHeight w:val="748"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5938412F"/>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7AB4A215"/>
        </w:tc>
        <w:tc>
          <w:tcPr>
            <w:tcW w:w="1798" w:type="dxa"/>
            <w:tcBorders>
              <w:top w:val="single" w:color="auto" w:sz="4" w:space="0"/>
              <w:left w:val="nil"/>
              <w:bottom w:val="single" w:color="auto" w:sz="4" w:space="0"/>
              <w:right w:val="single" w:color="auto" w:sz="4" w:space="0"/>
            </w:tcBorders>
            <w:shd w:val="clear" w:color="auto" w:fill="auto"/>
            <w:vAlign w:val="center"/>
          </w:tcPr>
          <w:p w14:paraId="51C701EA">
            <w:r>
              <w:rPr>
                <w:rFonts w:hint="eastAsia"/>
              </w:rPr>
              <w:t>绩效目标合理性</w:t>
            </w:r>
          </w:p>
        </w:tc>
        <w:tc>
          <w:tcPr>
            <w:tcW w:w="4574" w:type="dxa"/>
            <w:tcBorders>
              <w:top w:val="single" w:color="auto" w:sz="4" w:space="0"/>
              <w:left w:val="nil"/>
              <w:bottom w:val="single" w:color="auto" w:sz="4" w:space="0"/>
              <w:right w:val="single" w:color="auto" w:sz="4" w:space="0"/>
            </w:tcBorders>
            <w:shd w:val="clear" w:color="auto" w:fill="auto"/>
            <w:vAlign w:val="center"/>
          </w:tcPr>
          <w:p w14:paraId="7BBAA9BE">
            <w:r>
              <w:rPr>
                <w:rFonts w:hint="eastAsia"/>
              </w:rPr>
              <w:t>项目所设定的绩效目标是否依据充分，是否符合客观实际，用以反映和考核项目绩效目标与项目实施的相符情况。</w:t>
            </w:r>
          </w:p>
        </w:tc>
        <w:tc>
          <w:tcPr>
            <w:tcW w:w="4556" w:type="dxa"/>
            <w:tcBorders>
              <w:top w:val="single" w:color="auto" w:sz="4" w:space="0"/>
              <w:left w:val="nil"/>
              <w:bottom w:val="single" w:color="auto" w:sz="4" w:space="0"/>
              <w:right w:val="single" w:color="auto" w:sz="4" w:space="0"/>
            </w:tcBorders>
            <w:shd w:val="clear" w:color="auto" w:fill="auto"/>
            <w:vAlign w:val="center"/>
          </w:tcPr>
          <w:p w14:paraId="3E0A4325">
            <w:r>
              <w:rPr>
                <w:rFonts w:hint="eastAsia"/>
              </w:rPr>
              <w:t>项目绩效目标合理记2分，项目目标不合理记1分，未设立项目目标记零分。</w:t>
            </w:r>
          </w:p>
        </w:tc>
        <w:tc>
          <w:tcPr>
            <w:tcW w:w="638" w:type="dxa"/>
            <w:tcBorders>
              <w:top w:val="single" w:color="auto" w:sz="4" w:space="0"/>
              <w:left w:val="nil"/>
              <w:bottom w:val="single" w:color="auto" w:sz="4" w:space="0"/>
              <w:right w:val="single" w:color="auto" w:sz="4" w:space="0"/>
            </w:tcBorders>
            <w:shd w:val="clear" w:color="auto" w:fill="auto"/>
            <w:vAlign w:val="center"/>
          </w:tcPr>
          <w:p w14:paraId="06185D8F">
            <w:r>
              <w:rPr>
                <w:rFonts w:hint="eastAsia"/>
              </w:rPr>
              <w:t>2</w:t>
            </w:r>
          </w:p>
        </w:tc>
      </w:tr>
      <w:tr w14:paraId="303E74FA">
        <w:tblPrEx>
          <w:tblCellMar>
            <w:top w:w="0" w:type="dxa"/>
            <w:left w:w="108" w:type="dxa"/>
            <w:bottom w:w="0" w:type="dxa"/>
            <w:right w:w="108" w:type="dxa"/>
          </w:tblCellMar>
        </w:tblPrEx>
        <w:trPr>
          <w:trHeight w:val="852"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294FE9FF"/>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17BDEC6C"/>
        </w:tc>
        <w:tc>
          <w:tcPr>
            <w:tcW w:w="1798" w:type="dxa"/>
            <w:tcBorders>
              <w:top w:val="single" w:color="auto" w:sz="4" w:space="0"/>
              <w:left w:val="nil"/>
              <w:bottom w:val="single" w:color="auto" w:sz="4" w:space="0"/>
              <w:right w:val="single" w:color="auto" w:sz="4" w:space="0"/>
            </w:tcBorders>
            <w:shd w:val="clear" w:color="auto" w:fill="auto"/>
            <w:vAlign w:val="center"/>
          </w:tcPr>
          <w:p w14:paraId="4797A324">
            <w:r>
              <w:rPr>
                <w:rFonts w:hint="eastAsia"/>
              </w:rPr>
              <w:t>绩效指标明确性</w:t>
            </w:r>
          </w:p>
        </w:tc>
        <w:tc>
          <w:tcPr>
            <w:tcW w:w="4574" w:type="dxa"/>
            <w:tcBorders>
              <w:top w:val="single" w:color="auto" w:sz="4" w:space="0"/>
              <w:left w:val="nil"/>
              <w:bottom w:val="single" w:color="auto" w:sz="4" w:space="0"/>
              <w:right w:val="single" w:color="auto" w:sz="4" w:space="0"/>
            </w:tcBorders>
            <w:shd w:val="clear" w:color="auto" w:fill="auto"/>
            <w:vAlign w:val="center"/>
          </w:tcPr>
          <w:p w14:paraId="30CDB320">
            <w:r>
              <w:rPr>
                <w:rFonts w:hint="eastAsia"/>
              </w:rPr>
              <w:t>依据绩效目标设定的绩效指标是否清晰、细化、可衡量等，用以反映和考核项目绩效目标的明细化情况。</w:t>
            </w:r>
          </w:p>
        </w:tc>
        <w:tc>
          <w:tcPr>
            <w:tcW w:w="4556" w:type="dxa"/>
            <w:tcBorders>
              <w:top w:val="single" w:color="auto" w:sz="4" w:space="0"/>
              <w:left w:val="nil"/>
              <w:bottom w:val="single" w:color="auto" w:sz="4" w:space="0"/>
              <w:right w:val="single" w:color="auto" w:sz="4" w:space="0"/>
            </w:tcBorders>
            <w:shd w:val="clear" w:color="auto" w:fill="auto"/>
            <w:vAlign w:val="center"/>
          </w:tcPr>
          <w:p w14:paraId="401EE5CF">
            <w:r>
              <w:rPr>
                <w:rFonts w:hint="eastAsia"/>
              </w:rPr>
              <w:t>项目绩效指标清晰、细化、可衡量记2分，项目指标不明确、不清楚记1分，未设立绩效目标，指标无对象记零分。</w:t>
            </w:r>
          </w:p>
        </w:tc>
        <w:tc>
          <w:tcPr>
            <w:tcW w:w="638" w:type="dxa"/>
            <w:tcBorders>
              <w:top w:val="single" w:color="auto" w:sz="4" w:space="0"/>
              <w:left w:val="nil"/>
              <w:bottom w:val="single" w:color="auto" w:sz="4" w:space="0"/>
              <w:right w:val="single" w:color="auto" w:sz="4" w:space="0"/>
            </w:tcBorders>
            <w:shd w:val="clear" w:color="auto" w:fill="auto"/>
            <w:vAlign w:val="center"/>
          </w:tcPr>
          <w:p w14:paraId="1B0505DC">
            <w:r>
              <w:rPr>
                <w:rFonts w:hint="eastAsia"/>
              </w:rPr>
              <w:t>2</w:t>
            </w:r>
          </w:p>
        </w:tc>
      </w:tr>
      <w:tr w14:paraId="098306D2">
        <w:tblPrEx>
          <w:tblCellMar>
            <w:top w:w="0" w:type="dxa"/>
            <w:left w:w="108" w:type="dxa"/>
            <w:bottom w:w="0" w:type="dxa"/>
            <w:right w:w="108" w:type="dxa"/>
          </w:tblCellMar>
        </w:tblPrEx>
        <w:trPr>
          <w:trHeight w:val="958"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03D0D7BF"/>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621656">
            <w:r>
              <w:rPr>
                <w:rFonts w:hint="eastAsia"/>
              </w:rPr>
              <w:t>资金分配（8分）</w:t>
            </w:r>
          </w:p>
        </w:tc>
        <w:tc>
          <w:tcPr>
            <w:tcW w:w="1798" w:type="dxa"/>
            <w:tcBorders>
              <w:top w:val="single" w:color="auto" w:sz="4" w:space="0"/>
              <w:left w:val="nil"/>
              <w:bottom w:val="single" w:color="auto" w:sz="4" w:space="0"/>
              <w:right w:val="single" w:color="auto" w:sz="4" w:space="0"/>
            </w:tcBorders>
            <w:shd w:val="clear" w:color="auto" w:fill="auto"/>
            <w:vAlign w:val="center"/>
          </w:tcPr>
          <w:p w14:paraId="1E925BC7">
            <w:r>
              <w:rPr>
                <w:rFonts w:hint="eastAsia"/>
              </w:rPr>
              <w:t>分配办法</w:t>
            </w:r>
          </w:p>
        </w:tc>
        <w:tc>
          <w:tcPr>
            <w:tcW w:w="4574" w:type="dxa"/>
            <w:tcBorders>
              <w:top w:val="single" w:color="auto" w:sz="4" w:space="0"/>
              <w:left w:val="nil"/>
              <w:bottom w:val="single" w:color="auto" w:sz="4" w:space="0"/>
              <w:right w:val="single" w:color="auto" w:sz="4" w:space="0"/>
            </w:tcBorders>
            <w:shd w:val="clear" w:color="auto" w:fill="auto"/>
            <w:vAlign w:val="center"/>
          </w:tcPr>
          <w:p w14:paraId="273127BB">
            <w:r>
              <w:rPr>
                <w:rFonts w:hint="eastAsia"/>
              </w:rPr>
              <w:t>制定资金管理办法，包括资金使用、分配等，明确资金使用范围、审批、拨付程序等；资金分配应因素全面、依据充分、标准合适、程序合规。</w:t>
            </w:r>
          </w:p>
        </w:tc>
        <w:tc>
          <w:tcPr>
            <w:tcW w:w="4556" w:type="dxa"/>
            <w:tcBorders>
              <w:top w:val="single" w:color="auto" w:sz="4" w:space="0"/>
              <w:left w:val="nil"/>
              <w:bottom w:val="single" w:color="auto" w:sz="4" w:space="0"/>
              <w:right w:val="single" w:color="auto" w:sz="4" w:space="0"/>
            </w:tcBorders>
            <w:shd w:val="clear" w:color="auto" w:fill="auto"/>
            <w:vAlign w:val="center"/>
          </w:tcPr>
          <w:p w14:paraId="11143C71">
            <w:r>
              <w:rPr>
                <w:rFonts w:hint="eastAsia"/>
              </w:rPr>
              <w:t>制定资金管理办法的计1分；办法中明确资金使用范围、程序，资金分配因素全面、依据充分、标准合适、程序合规的计1分。</w:t>
            </w:r>
          </w:p>
        </w:tc>
        <w:tc>
          <w:tcPr>
            <w:tcW w:w="638" w:type="dxa"/>
            <w:tcBorders>
              <w:top w:val="single" w:color="auto" w:sz="4" w:space="0"/>
              <w:left w:val="nil"/>
              <w:bottom w:val="single" w:color="auto" w:sz="4" w:space="0"/>
              <w:right w:val="single" w:color="auto" w:sz="4" w:space="0"/>
            </w:tcBorders>
            <w:shd w:val="clear" w:color="auto" w:fill="auto"/>
            <w:noWrap/>
            <w:vAlign w:val="center"/>
          </w:tcPr>
          <w:p w14:paraId="1466D24D">
            <w:r>
              <w:rPr>
                <w:rFonts w:hint="eastAsia"/>
              </w:rPr>
              <w:t>2</w:t>
            </w:r>
          </w:p>
        </w:tc>
      </w:tr>
      <w:tr w14:paraId="66381C0E">
        <w:tblPrEx>
          <w:tblCellMar>
            <w:top w:w="0" w:type="dxa"/>
            <w:left w:w="108" w:type="dxa"/>
            <w:bottom w:w="0" w:type="dxa"/>
            <w:right w:w="108" w:type="dxa"/>
          </w:tblCellMar>
        </w:tblPrEx>
        <w:trPr>
          <w:trHeight w:val="71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2B1A2705"/>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45DB332A"/>
        </w:tc>
        <w:tc>
          <w:tcPr>
            <w:tcW w:w="1798" w:type="dxa"/>
            <w:tcBorders>
              <w:top w:val="single" w:color="auto" w:sz="4" w:space="0"/>
              <w:left w:val="nil"/>
              <w:bottom w:val="single" w:color="auto" w:sz="4" w:space="0"/>
              <w:right w:val="single" w:color="auto" w:sz="4" w:space="0"/>
            </w:tcBorders>
            <w:shd w:val="clear" w:color="auto" w:fill="auto"/>
            <w:vAlign w:val="center"/>
          </w:tcPr>
          <w:p w14:paraId="351C2F1B">
            <w:r>
              <w:rPr>
                <w:rFonts w:hint="eastAsia"/>
              </w:rPr>
              <w:t>分配结果</w:t>
            </w:r>
          </w:p>
        </w:tc>
        <w:tc>
          <w:tcPr>
            <w:tcW w:w="4574" w:type="dxa"/>
            <w:tcBorders>
              <w:top w:val="single" w:color="auto" w:sz="4" w:space="0"/>
              <w:left w:val="nil"/>
              <w:bottom w:val="single" w:color="auto" w:sz="4" w:space="0"/>
              <w:right w:val="single" w:color="auto" w:sz="4" w:space="0"/>
            </w:tcBorders>
            <w:shd w:val="clear" w:color="auto" w:fill="auto"/>
            <w:vAlign w:val="center"/>
          </w:tcPr>
          <w:p w14:paraId="16841595">
            <w:r>
              <w:rPr>
                <w:rFonts w:hint="eastAsia"/>
              </w:rPr>
              <w:t>按资金管理办法分配资金并公开。</w:t>
            </w:r>
          </w:p>
        </w:tc>
        <w:tc>
          <w:tcPr>
            <w:tcW w:w="4556" w:type="dxa"/>
            <w:tcBorders>
              <w:top w:val="single" w:color="auto" w:sz="4" w:space="0"/>
              <w:left w:val="nil"/>
              <w:bottom w:val="single" w:color="auto" w:sz="4" w:space="0"/>
              <w:right w:val="single" w:color="auto" w:sz="4" w:space="0"/>
            </w:tcBorders>
            <w:shd w:val="clear" w:color="auto" w:fill="auto"/>
            <w:vAlign w:val="center"/>
          </w:tcPr>
          <w:p w14:paraId="666F1129">
            <w:r>
              <w:rPr>
                <w:rFonts w:hint="eastAsia"/>
              </w:rPr>
              <w:t>按照“因素全面、依据充分、标准合适、程序合规”的要求分配资金计1分，分配结果公示的计1分。</w:t>
            </w:r>
          </w:p>
        </w:tc>
        <w:tc>
          <w:tcPr>
            <w:tcW w:w="638" w:type="dxa"/>
            <w:tcBorders>
              <w:top w:val="single" w:color="auto" w:sz="4" w:space="0"/>
              <w:left w:val="nil"/>
              <w:bottom w:val="single" w:color="auto" w:sz="4" w:space="0"/>
              <w:right w:val="single" w:color="auto" w:sz="4" w:space="0"/>
            </w:tcBorders>
            <w:shd w:val="clear" w:color="auto" w:fill="auto"/>
            <w:noWrap/>
            <w:vAlign w:val="center"/>
          </w:tcPr>
          <w:p w14:paraId="35986F3E">
            <w:r>
              <w:rPr>
                <w:rFonts w:hint="eastAsia"/>
              </w:rPr>
              <w:t>2</w:t>
            </w:r>
          </w:p>
        </w:tc>
      </w:tr>
      <w:tr w14:paraId="7ACD94A3">
        <w:tblPrEx>
          <w:tblCellMar>
            <w:top w:w="0" w:type="dxa"/>
            <w:left w:w="108" w:type="dxa"/>
            <w:bottom w:w="0" w:type="dxa"/>
            <w:right w:w="108" w:type="dxa"/>
          </w:tblCellMar>
        </w:tblPrEx>
        <w:trPr>
          <w:trHeight w:val="833"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229DA0E3"/>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358422FF"/>
        </w:tc>
        <w:tc>
          <w:tcPr>
            <w:tcW w:w="1798" w:type="dxa"/>
            <w:tcBorders>
              <w:top w:val="single" w:color="auto" w:sz="4" w:space="0"/>
              <w:left w:val="nil"/>
              <w:bottom w:val="single" w:color="auto" w:sz="4" w:space="0"/>
              <w:right w:val="single" w:color="auto" w:sz="4" w:space="0"/>
            </w:tcBorders>
            <w:shd w:val="clear" w:color="auto" w:fill="auto"/>
            <w:vAlign w:val="center"/>
          </w:tcPr>
          <w:p w14:paraId="1652CE78">
            <w:r>
              <w:rPr>
                <w:rFonts w:hint="eastAsia"/>
              </w:rPr>
              <w:t>项目公示</w:t>
            </w:r>
          </w:p>
        </w:tc>
        <w:tc>
          <w:tcPr>
            <w:tcW w:w="4574" w:type="dxa"/>
            <w:tcBorders>
              <w:top w:val="single" w:color="auto" w:sz="4" w:space="0"/>
              <w:left w:val="nil"/>
              <w:bottom w:val="single" w:color="auto" w:sz="4" w:space="0"/>
              <w:right w:val="single" w:color="auto" w:sz="4" w:space="0"/>
            </w:tcBorders>
            <w:shd w:val="clear" w:color="auto" w:fill="auto"/>
            <w:vAlign w:val="center"/>
          </w:tcPr>
          <w:p w14:paraId="7C34D233">
            <w:r>
              <w:rPr>
                <w:rFonts w:hint="eastAsia"/>
              </w:rPr>
              <w:t>项目资金使用情况是否进行公示；公示是否及时，公示期是否达到要求；公示内容是否准确；公示内容是否完整。</w:t>
            </w:r>
          </w:p>
        </w:tc>
        <w:tc>
          <w:tcPr>
            <w:tcW w:w="4556" w:type="dxa"/>
            <w:tcBorders>
              <w:top w:val="single" w:color="auto" w:sz="4" w:space="0"/>
              <w:left w:val="nil"/>
              <w:bottom w:val="single" w:color="auto" w:sz="4" w:space="0"/>
              <w:right w:val="single" w:color="auto" w:sz="4" w:space="0"/>
            </w:tcBorders>
            <w:shd w:val="clear" w:color="auto" w:fill="auto"/>
            <w:vAlign w:val="center"/>
          </w:tcPr>
          <w:p w14:paraId="707461FF">
            <w:r>
              <w:rPr>
                <w:rFonts w:hint="eastAsia"/>
              </w:rPr>
              <w:t>各项目资金下达之前进行公示，计1分；公示及时，公示期达到要求，计1分；公示内容准确1分；公示内容完整1分。</w:t>
            </w:r>
          </w:p>
        </w:tc>
        <w:tc>
          <w:tcPr>
            <w:tcW w:w="638" w:type="dxa"/>
            <w:tcBorders>
              <w:top w:val="single" w:color="auto" w:sz="4" w:space="0"/>
              <w:left w:val="nil"/>
              <w:bottom w:val="single" w:color="auto" w:sz="4" w:space="0"/>
              <w:right w:val="single" w:color="auto" w:sz="4" w:space="0"/>
            </w:tcBorders>
            <w:shd w:val="clear" w:color="auto" w:fill="auto"/>
            <w:noWrap/>
            <w:vAlign w:val="center"/>
          </w:tcPr>
          <w:p w14:paraId="7D9B34BC">
            <w:r>
              <w:rPr>
                <w:rFonts w:hint="eastAsia"/>
              </w:rPr>
              <w:t>4</w:t>
            </w:r>
          </w:p>
        </w:tc>
      </w:tr>
      <w:tr w14:paraId="4C16815A">
        <w:tblPrEx>
          <w:tblCellMar>
            <w:top w:w="0" w:type="dxa"/>
            <w:left w:w="108" w:type="dxa"/>
            <w:bottom w:w="0" w:type="dxa"/>
            <w:right w:w="108" w:type="dxa"/>
          </w:tblCellMar>
        </w:tblPrEx>
        <w:trPr>
          <w:trHeight w:val="899" w:hRule="atLeast"/>
        </w:trPr>
        <w:tc>
          <w:tcPr>
            <w:tcW w:w="1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86B7EA">
            <w:r>
              <w:rPr>
                <w:rFonts w:hint="eastAsia"/>
              </w:rPr>
              <w:t>项目管理（20分）</w:t>
            </w: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326D23">
            <w:r>
              <w:rPr>
                <w:rFonts w:hint="eastAsia"/>
              </w:rPr>
              <w:t>业务管理（6分）</w:t>
            </w:r>
          </w:p>
        </w:tc>
        <w:tc>
          <w:tcPr>
            <w:tcW w:w="1798" w:type="dxa"/>
            <w:tcBorders>
              <w:top w:val="single" w:color="auto" w:sz="4" w:space="0"/>
              <w:left w:val="nil"/>
              <w:bottom w:val="single" w:color="auto" w:sz="4" w:space="0"/>
              <w:right w:val="single" w:color="auto" w:sz="4" w:space="0"/>
            </w:tcBorders>
            <w:shd w:val="clear" w:color="auto" w:fill="auto"/>
            <w:vAlign w:val="center"/>
          </w:tcPr>
          <w:p w14:paraId="7C23C678">
            <w:r>
              <w:rPr>
                <w:rFonts w:hint="eastAsia"/>
              </w:rPr>
              <w:t>管理制度健全性</w:t>
            </w:r>
          </w:p>
        </w:tc>
        <w:tc>
          <w:tcPr>
            <w:tcW w:w="4574" w:type="dxa"/>
            <w:tcBorders>
              <w:top w:val="single" w:color="auto" w:sz="4" w:space="0"/>
              <w:left w:val="nil"/>
              <w:bottom w:val="single" w:color="auto" w:sz="4" w:space="0"/>
              <w:right w:val="single" w:color="auto" w:sz="4" w:space="0"/>
            </w:tcBorders>
            <w:shd w:val="clear" w:color="auto" w:fill="auto"/>
            <w:vAlign w:val="center"/>
          </w:tcPr>
          <w:p w14:paraId="718084A7">
            <w:r>
              <w:rPr>
                <w:rFonts w:hint="eastAsia"/>
              </w:rPr>
              <w:t>项目实施单位的业务管理制度是否健全，用以反映和考核业务管理制度对项目顺利实施的保障情况。</w:t>
            </w:r>
          </w:p>
        </w:tc>
        <w:tc>
          <w:tcPr>
            <w:tcW w:w="4556" w:type="dxa"/>
            <w:tcBorders>
              <w:top w:val="single" w:color="auto" w:sz="4" w:space="0"/>
              <w:left w:val="nil"/>
              <w:bottom w:val="single" w:color="auto" w:sz="4" w:space="0"/>
              <w:right w:val="single" w:color="auto" w:sz="4" w:space="0"/>
            </w:tcBorders>
            <w:shd w:val="clear" w:color="auto" w:fill="auto"/>
            <w:vAlign w:val="center"/>
          </w:tcPr>
          <w:p w14:paraId="2448E2B0">
            <w:r>
              <w:rPr>
                <w:rFonts w:hint="eastAsia"/>
              </w:rPr>
              <w:t>管理制度健全记2分，每发现一项未制定专项资金管理办法或一处管理制度漏洞扣0.5分，扣完为止。</w:t>
            </w:r>
          </w:p>
        </w:tc>
        <w:tc>
          <w:tcPr>
            <w:tcW w:w="638" w:type="dxa"/>
            <w:tcBorders>
              <w:top w:val="single" w:color="auto" w:sz="4" w:space="0"/>
              <w:left w:val="nil"/>
              <w:bottom w:val="single" w:color="auto" w:sz="4" w:space="0"/>
              <w:right w:val="single" w:color="auto" w:sz="4" w:space="0"/>
            </w:tcBorders>
            <w:shd w:val="clear" w:color="auto" w:fill="auto"/>
            <w:vAlign w:val="center"/>
          </w:tcPr>
          <w:p w14:paraId="150AECC1">
            <w:r>
              <w:rPr>
                <w:rFonts w:hint="eastAsia"/>
              </w:rPr>
              <w:t>2</w:t>
            </w:r>
          </w:p>
        </w:tc>
      </w:tr>
      <w:tr w14:paraId="3AB376BA">
        <w:tblPrEx>
          <w:tblCellMar>
            <w:top w:w="0" w:type="dxa"/>
            <w:left w:w="108" w:type="dxa"/>
            <w:bottom w:w="0" w:type="dxa"/>
            <w:right w:w="108" w:type="dxa"/>
          </w:tblCellMar>
        </w:tblPrEx>
        <w:trPr>
          <w:trHeight w:val="83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2ED959C3"/>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0CCAE6FB"/>
        </w:tc>
        <w:tc>
          <w:tcPr>
            <w:tcW w:w="1798" w:type="dxa"/>
            <w:tcBorders>
              <w:top w:val="single" w:color="auto" w:sz="4" w:space="0"/>
              <w:left w:val="nil"/>
              <w:bottom w:val="single" w:color="auto" w:sz="4" w:space="0"/>
              <w:right w:val="single" w:color="auto" w:sz="4" w:space="0"/>
            </w:tcBorders>
            <w:shd w:val="clear" w:color="auto" w:fill="auto"/>
            <w:vAlign w:val="center"/>
          </w:tcPr>
          <w:p w14:paraId="591F37F2">
            <w:r>
              <w:rPr>
                <w:rFonts w:hint="eastAsia"/>
              </w:rPr>
              <w:t>制度执行有效性</w:t>
            </w:r>
          </w:p>
        </w:tc>
        <w:tc>
          <w:tcPr>
            <w:tcW w:w="4574" w:type="dxa"/>
            <w:tcBorders>
              <w:top w:val="single" w:color="auto" w:sz="4" w:space="0"/>
              <w:left w:val="nil"/>
              <w:bottom w:val="single" w:color="auto" w:sz="4" w:space="0"/>
              <w:right w:val="single" w:color="auto" w:sz="4" w:space="0"/>
            </w:tcBorders>
            <w:shd w:val="clear" w:color="auto" w:fill="auto"/>
            <w:vAlign w:val="center"/>
          </w:tcPr>
          <w:p w14:paraId="04E456D1">
            <w:r>
              <w:rPr>
                <w:rFonts w:hint="eastAsia"/>
              </w:rPr>
              <w:t>项目实施是否符合相关业务管理规定，用以反映和考核业务管理制度的有效执行情况。</w:t>
            </w:r>
          </w:p>
        </w:tc>
        <w:tc>
          <w:tcPr>
            <w:tcW w:w="4556" w:type="dxa"/>
            <w:tcBorders>
              <w:top w:val="single" w:color="auto" w:sz="4" w:space="0"/>
              <w:left w:val="nil"/>
              <w:bottom w:val="single" w:color="auto" w:sz="4" w:space="0"/>
              <w:right w:val="single" w:color="auto" w:sz="4" w:space="0"/>
            </w:tcBorders>
            <w:shd w:val="clear" w:color="auto" w:fill="auto"/>
            <w:vAlign w:val="center"/>
          </w:tcPr>
          <w:p w14:paraId="5FF78474">
            <w:r>
              <w:rPr>
                <w:rFonts w:hint="eastAsia"/>
              </w:rPr>
              <w:t>业务管理按照管理制度严格执行计2分，每发现一处未执行的问题扣0.5分，扣完为止。</w:t>
            </w:r>
          </w:p>
        </w:tc>
        <w:tc>
          <w:tcPr>
            <w:tcW w:w="638" w:type="dxa"/>
            <w:tcBorders>
              <w:top w:val="single" w:color="auto" w:sz="4" w:space="0"/>
              <w:left w:val="nil"/>
              <w:bottom w:val="single" w:color="auto" w:sz="4" w:space="0"/>
              <w:right w:val="single" w:color="auto" w:sz="4" w:space="0"/>
            </w:tcBorders>
            <w:shd w:val="clear" w:color="auto" w:fill="auto"/>
            <w:vAlign w:val="center"/>
          </w:tcPr>
          <w:p w14:paraId="55DACD24">
            <w:r>
              <w:rPr>
                <w:rFonts w:hint="eastAsia"/>
              </w:rPr>
              <w:t>2</w:t>
            </w:r>
          </w:p>
        </w:tc>
      </w:tr>
      <w:tr w14:paraId="32D78B80">
        <w:tblPrEx>
          <w:tblCellMar>
            <w:top w:w="0" w:type="dxa"/>
            <w:left w:w="108" w:type="dxa"/>
            <w:bottom w:w="0" w:type="dxa"/>
            <w:right w:w="108" w:type="dxa"/>
          </w:tblCellMar>
        </w:tblPrEx>
        <w:trPr>
          <w:trHeight w:val="1022"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11140586"/>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1F3B4369"/>
        </w:tc>
        <w:tc>
          <w:tcPr>
            <w:tcW w:w="1798" w:type="dxa"/>
            <w:tcBorders>
              <w:top w:val="single" w:color="auto" w:sz="4" w:space="0"/>
              <w:left w:val="nil"/>
              <w:bottom w:val="single" w:color="auto" w:sz="4" w:space="0"/>
              <w:right w:val="single" w:color="auto" w:sz="4" w:space="0"/>
            </w:tcBorders>
            <w:shd w:val="clear" w:color="auto" w:fill="auto"/>
            <w:vAlign w:val="center"/>
          </w:tcPr>
          <w:p w14:paraId="7C221DB7">
            <w:r>
              <w:rPr>
                <w:rFonts w:hint="eastAsia"/>
              </w:rPr>
              <w:t>项目质量可控性</w:t>
            </w:r>
          </w:p>
        </w:tc>
        <w:tc>
          <w:tcPr>
            <w:tcW w:w="4574" w:type="dxa"/>
            <w:tcBorders>
              <w:top w:val="single" w:color="auto" w:sz="4" w:space="0"/>
              <w:left w:val="nil"/>
              <w:bottom w:val="single" w:color="auto" w:sz="4" w:space="0"/>
              <w:right w:val="single" w:color="auto" w:sz="4" w:space="0"/>
            </w:tcBorders>
            <w:shd w:val="clear" w:color="auto" w:fill="auto"/>
            <w:vAlign w:val="center"/>
          </w:tcPr>
          <w:p w14:paraId="206CA925">
            <w:r>
              <w:rPr>
                <w:rFonts w:hint="eastAsia"/>
              </w:rPr>
              <w:t>项目实施单位是否为达到项目质量要求而采取了必需的措施,用以反映和考核项目实施单位对项目质量的控制情况。</w:t>
            </w:r>
          </w:p>
        </w:tc>
        <w:tc>
          <w:tcPr>
            <w:tcW w:w="4556" w:type="dxa"/>
            <w:tcBorders>
              <w:top w:val="single" w:color="auto" w:sz="4" w:space="0"/>
              <w:left w:val="nil"/>
              <w:bottom w:val="single" w:color="auto" w:sz="4" w:space="0"/>
              <w:right w:val="single" w:color="auto" w:sz="4" w:space="0"/>
            </w:tcBorders>
            <w:shd w:val="clear" w:color="auto" w:fill="auto"/>
            <w:vAlign w:val="center"/>
          </w:tcPr>
          <w:p w14:paraId="45EBC1EA">
            <w:r>
              <w:rPr>
                <w:rFonts w:hint="eastAsia"/>
              </w:rPr>
              <w:t>项目管理措施确保项目质量完全可控记2分，每发现一处措施不到位扣0.5分，扣完为止。</w:t>
            </w:r>
          </w:p>
        </w:tc>
        <w:tc>
          <w:tcPr>
            <w:tcW w:w="638" w:type="dxa"/>
            <w:tcBorders>
              <w:top w:val="single" w:color="auto" w:sz="4" w:space="0"/>
              <w:left w:val="nil"/>
              <w:bottom w:val="single" w:color="auto" w:sz="4" w:space="0"/>
              <w:right w:val="single" w:color="auto" w:sz="4" w:space="0"/>
            </w:tcBorders>
            <w:shd w:val="clear" w:color="auto" w:fill="auto"/>
            <w:vAlign w:val="center"/>
          </w:tcPr>
          <w:p w14:paraId="158238CF">
            <w:r>
              <w:rPr>
                <w:rFonts w:hint="eastAsia"/>
              </w:rPr>
              <w:t>2</w:t>
            </w:r>
          </w:p>
        </w:tc>
      </w:tr>
      <w:tr w14:paraId="4CF31B5D">
        <w:tblPrEx>
          <w:tblCellMar>
            <w:top w:w="0" w:type="dxa"/>
            <w:left w:w="108" w:type="dxa"/>
            <w:bottom w:w="0" w:type="dxa"/>
            <w:right w:w="108" w:type="dxa"/>
          </w:tblCellMar>
        </w:tblPrEx>
        <w:trPr>
          <w:trHeight w:val="1572"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6DC87CEE"/>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FB15D6">
            <w:r>
              <w:rPr>
                <w:rFonts w:hint="eastAsia"/>
              </w:rPr>
              <w:t>财务管理（6分）</w:t>
            </w:r>
          </w:p>
        </w:tc>
        <w:tc>
          <w:tcPr>
            <w:tcW w:w="1798" w:type="dxa"/>
            <w:tcBorders>
              <w:top w:val="single" w:color="auto" w:sz="4" w:space="0"/>
              <w:left w:val="nil"/>
              <w:bottom w:val="single" w:color="auto" w:sz="4" w:space="0"/>
              <w:right w:val="single" w:color="auto" w:sz="4" w:space="0"/>
            </w:tcBorders>
            <w:shd w:val="clear" w:color="auto" w:fill="auto"/>
            <w:vAlign w:val="center"/>
          </w:tcPr>
          <w:p w14:paraId="5E9E771D">
            <w:r>
              <w:rPr>
                <w:rFonts w:hint="eastAsia"/>
              </w:rPr>
              <w:t>财务制度健全性</w:t>
            </w:r>
          </w:p>
        </w:tc>
        <w:tc>
          <w:tcPr>
            <w:tcW w:w="4574" w:type="dxa"/>
            <w:tcBorders>
              <w:top w:val="single" w:color="auto" w:sz="4" w:space="0"/>
              <w:left w:val="nil"/>
              <w:bottom w:val="single" w:color="auto" w:sz="4" w:space="0"/>
              <w:right w:val="single" w:color="auto" w:sz="4" w:space="0"/>
            </w:tcBorders>
            <w:shd w:val="clear" w:color="auto" w:fill="auto"/>
            <w:vAlign w:val="center"/>
          </w:tcPr>
          <w:p w14:paraId="71E3593D">
            <w:r>
              <w:rPr>
                <w:rFonts w:hint="eastAsia"/>
              </w:rPr>
              <w:t>对项目主管单位的资金管理制度健全性进行评价，保障资金规范、安全运行。</w:t>
            </w:r>
          </w:p>
        </w:tc>
        <w:tc>
          <w:tcPr>
            <w:tcW w:w="4556" w:type="dxa"/>
            <w:tcBorders>
              <w:top w:val="single" w:color="auto" w:sz="4" w:space="0"/>
              <w:left w:val="nil"/>
              <w:bottom w:val="single" w:color="auto" w:sz="4" w:space="0"/>
              <w:right w:val="single" w:color="auto" w:sz="4" w:space="0"/>
            </w:tcBorders>
            <w:shd w:val="clear" w:color="auto" w:fill="auto"/>
            <w:vAlign w:val="center"/>
          </w:tcPr>
          <w:p w14:paraId="3476F467">
            <w:r>
              <w:rPr>
                <w:rFonts w:hint="eastAsia"/>
              </w:rPr>
              <w:t>1.市级财政专项资金是否按规定制定管理办法。未按规定制定资金管理办法的，扣1分。2.对县区转移支付资金分配前是否先制定办法。未先制定办法的，扣1分。3.制定的办法有1处不符合要求的，扣0.5分，扣完为止。</w:t>
            </w:r>
          </w:p>
        </w:tc>
        <w:tc>
          <w:tcPr>
            <w:tcW w:w="638" w:type="dxa"/>
            <w:tcBorders>
              <w:top w:val="single" w:color="auto" w:sz="4" w:space="0"/>
              <w:left w:val="nil"/>
              <w:bottom w:val="single" w:color="auto" w:sz="4" w:space="0"/>
              <w:right w:val="single" w:color="auto" w:sz="4" w:space="0"/>
            </w:tcBorders>
            <w:shd w:val="clear" w:color="auto" w:fill="auto"/>
            <w:vAlign w:val="center"/>
          </w:tcPr>
          <w:p w14:paraId="6F60C889">
            <w:r>
              <w:rPr>
                <w:rFonts w:hint="eastAsia"/>
              </w:rPr>
              <w:t>2</w:t>
            </w:r>
          </w:p>
        </w:tc>
      </w:tr>
      <w:tr w14:paraId="66075026">
        <w:tblPrEx>
          <w:tblCellMar>
            <w:top w:w="0" w:type="dxa"/>
            <w:left w:w="108" w:type="dxa"/>
            <w:bottom w:w="0" w:type="dxa"/>
            <w:right w:w="108" w:type="dxa"/>
          </w:tblCellMar>
        </w:tblPrEx>
        <w:trPr>
          <w:trHeight w:val="1347"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017E92FD"/>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646AEAB7"/>
        </w:tc>
        <w:tc>
          <w:tcPr>
            <w:tcW w:w="1798" w:type="dxa"/>
            <w:tcBorders>
              <w:top w:val="single" w:color="auto" w:sz="4" w:space="0"/>
              <w:left w:val="nil"/>
              <w:bottom w:val="single" w:color="auto" w:sz="4" w:space="0"/>
              <w:right w:val="single" w:color="auto" w:sz="4" w:space="0"/>
            </w:tcBorders>
            <w:shd w:val="clear" w:color="auto" w:fill="auto"/>
            <w:vAlign w:val="center"/>
          </w:tcPr>
          <w:p w14:paraId="73D3FAB3">
            <w:r>
              <w:rPr>
                <w:rFonts w:hint="eastAsia"/>
              </w:rPr>
              <w:t>资金使用合规性</w:t>
            </w:r>
          </w:p>
        </w:tc>
        <w:tc>
          <w:tcPr>
            <w:tcW w:w="4574" w:type="dxa"/>
            <w:tcBorders>
              <w:top w:val="single" w:color="auto" w:sz="4" w:space="0"/>
              <w:left w:val="nil"/>
              <w:bottom w:val="single" w:color="auto" w:sz="4" w:space="0"/>
              <w:right w:val="single" w:color="auto" w:sz="4" w:space="0"/>
            </w:tcBorders>
            <w:shd w:val="clear" w:color="auto" w:fill="auto"/>
            <w:vAlign w:val="center"/>
          </w:tcPr>
          <w:p w14:paraId="5AB63B77">
            <w:r>
              <w:rPr>
                <w:rFonts w:hint="eastAsia"/>
              </w:rPr>
              <w:t>对项目资金的规范运行情况进行评价。</w:t>
            </w:r>
          </w:p>
        </w:tc>
        <w:tc>
          <w:tcPr>
            <w:tcW w:w="4556" w:type="dxa"/>
            <w:tcBorders>
              <w:top w:val="single" w:color="auto" w:sz="4" w:space="0"/>
              <w:left w:val="nil"/>
              <w:bottom w:val="single" w:color="auto" w:sz="4" w:space="0"/>
              <w:right w:val="single" w:color="auto" w:sz="4" w:space="0"/>
            </w:tcBorders>
            <w:shd w:val="clear" w:color="auto" w:fill="auto"/>
            <w:vAlign w:val="center"/>
          </w:tcPr>
          <w:p w14:paraId="1C893BAC">
            <w:r>
              <w:rPr>
                <w:rFonts w:hint="eastAsia"/>
              </w:rPr>
              <w:t>1.资金用途是否符合项目预算批复，有一项不符合的，扣1分。2.预算支出级次调整是否按规定报批，有一项未按规定报经市政府同意的，扣1分。3.是否存在截留、挤占、挪用等情况，有一项存在截留、挤占、挪用的，扣1分。</w:t>
            </w:r>
          </w:p>
        </w:tc>
        <w:tc>
          <w:tcPr>
            <w:tcW w:w="638" w:type="dxa"/>
            <w:tcBorders>
              <w:top w:val="single" w:color="auto" w:sz="4" w:space="0"/>
              <w:left w:val="nil"/>
              <w:bottom w:val="single" w:color="auto" w:sz="4" w:space="0"/>
              <w:right w:val="single" w:color="auto" w:sz="4" w:space="0"/>
            </w:tcBorders>
            <w:shd w:val="clear" w:color="auto" w:fill="auto"/>
            <w:vAlign w:val="center"/>
          </w:tcPr>
          <w:p w14:paraId="30FC99B9">
            <w:r>
              <w:rPr>
                <w:rFonts w:hint="eastAsia"/>
              </w:rPr>
              <w:t>2</w:t>
            </w:r>
          </w:p>
        </w:tc>
      </w:tr>
      <w:tr w14:paraId="4212E3A4">
        <w:tblPrEx>
          <w:tblCellMar>
            <w:top w:w="0" w:type="dxa"/>
            <w:left w:w="108" w:type="dxa"/>
            <w:bottom w:w="0" w:type="dxa"/>
            <w:right w:w="108" w:type="dxa"/>
          </w:tblCellMar>
        </w:tblPrEx>
        <w:trPr>
          <w:trHeight w:val="946"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324D67EF"/>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785A4FB4"/>
        </w:tc>
        <w:tc>
          <w:tcPr>
            <w:tcW w:w="1798" w:type="dxa"/>
            <w:tcBorders>
              <w:top w:val="single" w:color="auto" w:sz="4" w:space="0"/>
              <w:left w:val="nil"/>
              <w:bottom w:val="single" w:color="auto" w:sz="4" w:space="0"/>
              <w:right w:val="single" w:color="auto" w:sz="4" w:space="0"/>
            </w:tcBorders>
            <w:shd w:val="clear" w:color="auto" w:fill="auto"/>
            <w:vAlign w:val="center"/>
          </w:tcPr>
          <w:p w14:paraId="368E9A41">
            <w:r>
              <w:rPr>
                <w:rFonts w:hint="eastAsia"/>
              </w:rPr>
              <w:t>财务监控有效性</w:t>
            </w:r>
          </w:p>
        </w:tc>
        <w:tc>
          <w:tcPr>
            <w:tcW w:w="4574" w:type="dxa"/>
            <w:tcBorders>
              <w:top w:val="single" w:color="auto" w:sz="4" w:space="0"/>
              <w:left w:val="nil"/>
              <w:bottom w:val="single" w:color="auto" w:sz="4" w:space="0"/>
              <w:right w:val="single" w:color="auto" w:sz="4" w:space="0"/>
            </w:tcBorders>
            <w:shd w:val="clear" w:color="auto" w:fill="auto"/>
            <w:vAlign w:val="center"/>
          </w:tcPr>
          <w:p w14:paraId="271863CA">
            <w:r>
              <w:rPr>
                <w:rFonts w:hint="eastAsia"/>
              </w:rPr>
              <w:t>项目实施单位是否为保障资金的安全、规范运行而采取了必要的监控措施，用以反映和考核项目实施单位对资金运行的控制情况。</w:t>
            </w:r>
          </w:p>
        </w:tc>
        <w:tc>
          <w:tcPr>
            <w:tcW w:w="4556" w:type="dxa"/>
            <w:tcBorders>
              <w:top w:val="single" w:color="auto" w:sz="4" w:space="0"/>
              <w:left w:val="nil"/>
              <w:bottom w:val="single" w:color="auto" w:sz="4" w:space="0"/>
              <w:right w:val="single" w:color="auto" w:sz="4" w:space="0"/>
            </w:tcBorders>
            <w:shd w:val="clear" w:color="auto" w:fill="auto"/>
            <w:vAlign w:val="center"/>
          </w:tcPr>
          <w:p w14:paraId="05AED674">
            <w:r>
              <w:rPr>
                <w:rFonts w:hint="eastAsia"/>
              </w:rPr>
              <w:t>监控措施确保资金安全、规范运行记2分，每发现一处措施不到位扣0.5分，扣完为止。</w:t>
            </w:r>
          </w:p>
        </w:tc>
        <w:tc>
          <w:tcPr>
            <w:tcW w:w="638" w:type="dxa"/>
            <w:tcBorders>
              <w:top w:val="single" w:color="auto" w:sz="4" w:space="0"/>
              <w:left w:val="nil"/>
              <w:bottom w:val="single" w:color="auto" w:sz="4" w:space="0"/>
              <w:right w:val="single" w:color="auto" w:sz="4" w:space="0"/>
            </w:tcBorders>
            <w:shd w:val="clear" w:color="auto" w:fill="auto"/>
            <w:vAlign w:val="center"/>
          </w:tcPr>
          <w:p w14:paraId="47BB7F0F">
            <w:r>
              <w:rPr>
                <w:rFonts w:hint="eastAsia"/>
              </w:rPr>
              <w:t>2</w:t>
            </w:r>
          </w:p>
        </w:tc>
      </w:tr>
      <w:tr w14:paraId="27AEE648">
        <w:tblPrEx>
          <w:tblCellMar>
            <w:top w:w="0" w:type="dxa"/>
            <w:left w:w="108" w:type="dxa"/>
            <w:bottom w:w="0" w:type="dxa"/>
            <w:right w:w="108" w:type="dxa"/>
          </w:tblCellMar>
        </w:tblPrEx>
        <w:trPr>
          <w:trHeight w:val="1389"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091477B7"/>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0B0491">
            <w:r>
              <w:rPr>
                <w:rFonts w:hint="eastAsia"/>
              </w:rPr>
              <w:t>资金落实（8分）</w:t>
            </w:r>
          </w:p>
        </w:tc>
        <w:tc>
          <w:tcPr>
            <w:tcW w:w="1798" w:type="dxa"/>
            <w:tcBorders>
              <w:top w:val="single" w:color="auto" w:sz="4" w:space="0"/>
              <w:left w:val="nil"/>
              <w:bottom w:val="single" w:color="auto" w:sz="4" w:space="0"/>
              <w:right w:val="single" w:color="auto" w:sz="4" w:space="0"/>
            </w:tcBorders>
            <w:shd w:val="clear" w:color="auto" w:fill="auto"/>
            <w:vAlign w:val="center"/>
          </w:tcPr>
          <w:p w14:paraId="5EBDB983">
            <w:r>
              <w:rPr>
                <w:rFonts w:hint="eastAsia"/>
              </w:rPr>
              <w:t>预算编制准确性</w:t>
            </w:r>
          </w:p>
        </w:tc>
        <w:tc>
          <w:tcPr>
            <w:tcW w:w="4574" w:type="dxa"/>
            <w:tcBorders>
              <w:top w:val="single" w:color="auto" w:sz="4" w:space="0"/>
              <w:left w:val="nil"/>
              <w:bottom w:val="single" w:color="auto" w:sz="4" w:space="0"/>
              <w:right w:val="single" w:color="auto" w:sz="4" w:space="0"/>
            </w:tcBorders>
            <w:shd w:val="clear" w:color="auto" w:fill="auto"/>
            <w:vAlign w:val="center"/>
          </w:tcPr>
          <w:p w14:paraId="617D959A">
            <w:r>
              <w:rPr>
                <w:rFonts w:hint="eastAsia"/>
              </w:rPr>
              <w:t>以预算分配下达率作为依据，对项目主管单位整体预算编制准确性进行评价。预算分配下达率=预算分配下达金额/（一般公共预算数+政府性基金预算实际到位数）。预算分配下达金额为项目主管单位分配下达市直单位和县区总额。</w:t>
            </w:r>
          </w:p>
        </w:tc>
        <w:tc>
          <w:tcPr>
            <w:tcW w:w="4556" w:type="dxa"/>
            <w:tcBorders>
              <w:top w:val="single" w:color="auto" w:sz="4" w:space="0"/>
              <w:left w:val="nil"/>
              <w:bottom w:val="single" w:color="auto" w:sz="4" w:space="0"/>
              <w:right w:val="single" w:color="auto" w:sz="4" w:space="0"/>
            </w:tcBorders>
            <w:shd w:val="clear" w:color="auto" w:fill="auto"/>
            <w:vAlign w:val="center"/>
          </w:tcPr>
          <w:p w14:paraId="2545CDF7">
            <w:r>
              <w:rPr>
                <w:rFonts w:hint="eastAsia"/>
              </w:rPr>
              <w:t>满分3分，以100%作为标准，预算分配下达率偏差（预算分配下达率偏差=1-预算分配下达率）小于等于5%得满分，大于5%小于等于10%得2分，大于10%小于等于15%得1.5分，大于15%小于等于20%得1分，大于20%不得分。</w:t>
            </w:r>
          </w:p>
        </w:tc>
        <w:tc>
          <w:tcPr>
            <w:tcW w:w="638" w:type="dxa"/>
            <w:tcBorders>
              <w:top w:val="single" w:color="auto" w:sz="4" w:space="0"/>
              <w:left w:val="nil"/>
              <w:bottom w:val="single" w:color="auto" w:sz="4" w:space="0"/>
              <w:right w:val="single" w:color="auto" w:sz="4" w:space="0"/>
            </w:tcBorders>
            <w:shd w:val="clear" w:color="auto" w:fill="auto"/>
            <w:vAlign w:val="center"/>
          </w:tcPr>
          <w:p w14:paraId="07655B59">
            <w:r>
              <w:rPr>
                <w:rFonts w:hint="eastAsia"/>
              </w:rPr>
              <w:t>3</w:t>
            </w:r>
          </w:p>
        </w:tc>
      </w:tr>
      <w:tr w14:paraId="7C5518BF">
        <w:tblPrEx>
          <w:tblCellMar>
            <w:top w:w="0" w:type="dxa"/>
            <w:left w:w="108" w:type="dxa"/>
            <w:bottom w:w="0" w:type="dxa"/>
            <w:right w:w="108" w:type="dxa"/>
          </w:tblCellMar>
        </w:tblPrEx>
        <w:trPr>
          <w:trHeight w:val="1373"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078DE727"/>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66075E6A"/>
        </w:tc>
        <w:tc>
          <w:tcPr>
            <w:tcW w:w="1798" w:type="dxa"/>
            <w:tcBorders>
              <w:top w:val="single" w:color="auto" w:sz="4" w:space="0"/>
              <w:left w:val="nil"/>
              <w:bottom w:val="single" w:color="auto" w:sz="4" w:space="0"/>
              <w:right w:val="single" w:color="auto" w:sz="4" w:space="0"/>
            </w:tcBorders>
            <w:shd w:val="clear" w:color="auto" w:fill="auto"/>
            <w:vAlign w:val="center"/>
          </w:tcPr>
          <w:p w14:paraId="09A0CDE7">
            <w:r>
              <w:rPr>
                <w:rFonts w:hint="eastAsia"/>
              </w:rPr>
              <w:t>资金实际执行率</w:t>
            </w:r>
          </w:p>
        </w:tc>
        <w:tc>
          <w:tcPr>
            <w:tcW w:w="4574" w:type="dxa"/>
            <w:tcBorders>
              <w:top w:val="single" w:color="auto" w:sz="4" w:space="0"/>
              <w:left w:val="nil"/>
              <w:bottom w:val="single" w:color="auto" w:sz="4" w:space="0"/>
              <w:right w:val="single" w:color="auto" w:sz="4" w:space="0"/>
            </w:tcBorders>
            <w:shd w:val="clear" w:color="auto" w:fill="auto"/>
            <w:vAlign w:val="center"/>
          </w:tcPr>
          <w:p w14:paraId="40AB9251">
            <w:r>
              <w:rPr>
                <w:rFonts w:hint="eastAsia"/>
              </w:rPr>
              <w:t>对项目主管单位资金支出情况进行评价，项目资金实际执行率=本项目实际支出资金/该项目调整后预算资金×100%。</w:t>
            </w:r>
          </w:p>
        </w:tc>
        <w:tc>
          <w:tcPr>
            <w:tcW w:w="4556" w:type="dxa"/>
            <w:tcBorders>
              <w:top w:val="single" w:color="auto" w:sz="4" w:space="0"/>
              <w:left w:val="nil"/>
              <w:bottom w:val="single" w:color="auto" w:sz="4" w:space="0"/>
              <w:right w:val="single" w:color="auto" w:sz="4" w:space="0"/>
            </w:tcBorders>
            <w:shd w:val="clear" w:color="auto" w:fill="auto"/>
            <w:vAlign w:val="center"/>
          </w:tcPr>
          <w:p w14:paraId="6DFA8090">
            <w:r>
              <w:rPr>
                <w:rFonts w:hint="eastAsia"/>
              </w:rPr>
              <w:t>1.满分3分。得分=3*本级预算实际执行率。 2.本级预算实际执行率低于91%的，绩效等次不得评为优；低于75%的，不得评为良好及以上等次；低于50%的，绩效等次直接确定为不合格。</w:t>
            </w:r>
          </w:p>
        </w:tc>
        <w:tc>
          <w:tcPr>
            <w:tcW w:w="638" w:type="dxa"/>
            <w:tcBorders>
              <w:top w:val="single" w:color="auto" w:sz="4" w:space="0"/>
              <w:left w:val="nil"/>
              <w:bottom w:val="single" w:color="auto" w:sz="4" w:space="0"/>
              <w:right w:val="single" w:color="auto" w:sz="4" w:space="0"/>
            </w:tcBorders>
            <w:shd w:val="clear" w:color="auto" w:fill="auto"/>
            <w:vAlign w:val="center"/>
          </w:tcPr>
          <w:p w14:paraId="7C8D20FC">
            <w:r>
              <w:rPr>
                <w:rFonts w:hint="eastAsia"/>
              </w:rPr>
              <w:t>3</w:t>
            </w:r>
          </w:p>
        </w:tc>
      </w:tr>
      <w:tr w14:paraId="7710D1B6">
        <w:tblPrEx>
          <w:tblCellMar>
            <w:top w:w="0" w:type="dxa"/>
            <w:left w:w="108" w:type="dxa"/>
            <w:bottom w:w="0" w:type="dxa"/>
            <w:right w:w="108" w:type="dxa"/>
          </w:tblCellMar>
        </w:tblPrEx>
        <w:trPr>
          <w:trHeight w:val="1694"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6C4EA52D"/>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13ED6B60"/>
        </w:tc>
        <w:tc>
          <w:tcPr>
            <w:tcW w:w="1798" w:type="dxa"/>
            <w:tcBorders>
              <w:top w:val="single" w:color="auto" w:sz="4" w:space="0"/>
              <w:left w:val="nil"/>
              <w:bottom w:val="single" w:color="auto" w:sz="4" w:space="0"/>
              <w:right w:val="single" w:color="auto" w:sz="4" w:space="0"/>
            </w:tcBorders>
            <w:shd w:val="clear" w:color="auto" w:fill="auto"/>
            <w:vAlign w:val="center"/>
          </w:tcPr>
          <w:p w14:paraId="2C90CC68">
            <w:r>
              <w:rPr>
                <w:rFonts w:hint="eastAsia"/>
              </w:rPr>
              <w:t>资金下达及时率</w:t>
            </w:r>
          </w:p>
        </w:tc>
        <w:tc>
          <w:tcPr>
            <w:tcW w:w="4574" w:type="dxa"/>
            <w:tcBorders>
              <w:top w:val="single" w:color="auto" w:sz="4" w:space="0"/>
              <w:left w:val="nil"/>
              <w:bottom w:val="single" w:color="auto" w:sz="4" w:space="0"/>
              <w:right w:val="single" w:color="auto" w:sz="4" w:space="0"/>
            </w:tcBorders>
            <w:shd w:val="clear" w:color="auto" w:fill="auto"/>
            <w:vAlign w:val="center"/>
          </w:tcPr>
          <w:p w14:paraId="65FC9BEA">
            <w:r>
              <w:rPr>
                <w:rFonts w:hint="eastAsia"/>
              </w:rPr>
              <w:t>对项目主管单位预算资金分配下达的及时性进行评价，考查资金是否按管理办法要求及时到位。资金下达及时率=9月30日前下达预算单位和县区的一般公共预算总额/年初一般公共预算总额。</w:t>
            </w:r>
          </w:p>
        </w:tc>
        <w:tc>
          <w:tcPr>
            <w:tcW w:w="4556" w:type="dxa"/>
            <w:tcBorders>
              <w:top w:val="single" w:color="auto" w:sz="4" w:space="0"/>
              <w:left w:val="nil"/>
              <w:bottom w:val="single" w:color="auto" w:sz="4" w:space="0"/>
              <w:right w:val="single" w:color="auto" w:sz="4" w:space="0"/>
            </w:tcBorders>
            <w:shd w:val="clear" w:color="auto" w:fill="auto"/>
            <w:vAlign w:val="center"/>
          </w:tcPr>
          <w:p w14:paraId="3FE7A287">
            <w:r>
              <w:rPr>
                <w:rFonts w:hint="eastAsia"/>
              </w:rPr>
              <w:t>1.满分2分，实际得分=2×资金下达及时率。2.预算调整新增项目，若为市政府文件要求或单位年初已申请但财政预算未安排的，直接得满分；除此之外，此项不得分。3.项目资金来源全部为政府性基金的，直接得满分。</w:t>
            </w:r>
          </w:p>
        </w:tc>
        <w:tc>
          <w:tcPr>
            <w:tcW w:w="638" w:type="dxa"/>
            <w:tcBorders>
              <w:top w:val="single" w:color="auto" w:sz="4" w:space="0"/>
              <w:left w:val="nil"/>
              <w:bottom w:val="single" w:color="auto" w:sz="4" w:space="0"/>
              <w:right w:val="single" w:color="auto" w:sz="4" w:space="0"/>
            </w:tcBorders>
            <w:shd w:val="clear" w:color="auto" w:fill="auto"/>
            <w:vAlign w:val="center"/>
          </w:tcPr>
          <w:p w14:paraId="0D7B7FB4">
            <w:r>
              <w:rPr>
                <w:rFonts w:hint="eastAsia"/>
              </w:rPr>
              <w:t>2</w:t>
            </w:r>
          </w:p>
        </w:tc>
      </w:tr>
      <w:tr w14:paraId="502B2FDF">
        <w:tblPrEx>
          <w:tblCellMar>
            <w:top w:w="0" w:type="dxa"/>
            <w:left w:w="108" w:type="dxa"/>
            <w:bottom w:w="0" w:type="dxa"/>
            <w:right w:w="108" w:type="dxa"/>
          </w:tblCellMar>
        </w:tblPrEx>
        <w:trPr>
          <w:trHeight w:val="915" w:hRule="atLeast"/>
        </w:trPr>
        <w:tc>
          <w:tcPr>
            <w:tcW w:w="1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69DDE8">
            <w:r>
              <w:rPr>
                <w:rFonts w:hint="eastAsia"/>
              </w:rPr>
              <w:t>项目效益（65分）</w:t>
            </w: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32C098">
            <w:r>
              <w:rPr>
                <w:rFonts w:hint="eastAsia"/>
              </w:rPr>
              <w:t>数量指标（12分）</w:t>
            </w:r>
          </w:p>
        </w:tc>
        <w:tc>
          <w:tcPr>
            <w:tcW w:w="1798" w:type="dxa"/>
            <w:tcBorders>
              <w:top w:val="single" w:color="auto" w:sz="4" w:space="0"/>
              <w:left w:val="nil"/>
              <w:bottom w:val="single" w:color="auto" w:sz="4" w:space="0"/>
              <w:right w:val="single" w:color="auto" w:sz="4" w:space="0"/>
            </w:tcBorders>
            <w:shd w:val="clear" w:color="auto" w:fill="auto"/>
            <w:vAlign w:val="center"/>
          </w:tcPr>
          <w:p w14:paraId="5DB1720D">
            <w:r>
              <w:rPr>
                <w:rFonts w:hint="eastAsia"/>
              </w:rPr>
              <w:t>推动乡村振兴示范村建设数</w:t>
            </w:r>
          </w:p>
        </w:tc>
        <w:tc>
          <w:tcPr>
            <w:tcW w:w="4574" w:type="dxa"/>
            <w:tcBorders>
              <w:top w:val="single" w:color="auto" w:sz="4" w:space="0"/>
              <w:left w:val="nil"/>
              <w:bottom w:val="single" w:color="auto" w:sz="4" w:space="0"/>
              <w:right w:val="single" w:color="auto" w:sz="4" w:space="0"/>
            </w:tcBorders>
            <w:shd w:val="clear" w:color="auto" w:fill="auto"/>
            <w:vAlign w:val="center"/>
          </w:tcPr>
          <w:p w14:paraId="2C445D53">
            <w:r>
              <w:rPr>
                <w:rFonts w:hint="eastAsia"/>
              </w:rPr>
              <w:t>要求推动100个示范村建设，实际以县区上报建设的示范村数为准。</w:t>
            </w:r>
          </w:p>
        </w:tc>
        <w:tc>
          <w:tcPr>
            <w:tcW w:w="4556" w:type="dxa"/>
            <w:tcBorders>
              <w:top w:val="single" w:color="auto" w:sz="4" w:space="0"/>
              <w:left w:val="nil"/>
              <w:bottom w:val="single" w:color="auto" w:sz="4" w:space="0"/>
              <w:right w:val="nil"/>
            </w:tcBorders>
            <w:shd w:val="clear" w:color="auto" w:fill="auto"/>
            <w:vAlign w:val="center"/>
          </w:tcPr>
          <w:p w14:paraId="76A38311">
            <w:r>
              <w:rPr>
                <w:rFonts w:hint="eastAsia"/>
              </w:rPr>
              <w:t>满分2分，要求推进100个示范村建设，按实际示范村建设完成比例得分。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F060A">
            <w:r>
              <w:rPr>
                <w:rFonts w:hint="eastAsia"/>
              </w:rPr>
              <w:t>2</w:t>
            </w:r>
          </w:p>
        </w:tc>
      </w:tr>
      <w:tr w14:paraId="63BE59EF">
        <w:tblPrEx>
          <w:tblCellMar>
            <w:top w:w="0" w:type="dxa"/>
            <w:left w:w="108" w:type="dxa"/>
            <w:bottom w:w="0" w:type="dxa"/>
            <w:right w:w="108" w:type="dxa"/>
          </w:tblCellMar>
        </w:tblPrEx>
        <w:trPr>
          <w:trHeight w:val="88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25B1060A"/>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0FACED90"/>
        </w:tc>
        <w:tc>
          <w:tcPr>
            <w:tcW w:w="1798" w:type="dxa"/>
            <w:tcBorders>
              <w:top w:val="single" w:color="auto" w:sz="4" w:space="0"/>
              <w:left w:val="nil"/>
              <w:bottom w:val="single" w:color="auto" w:sz="4" w:space="0"/>
              <w:right w:val="single" w:color="auto" w:sz="4" w:space="0"/>
            </w:tcBorders>
            <w:shd w:val="clear" w:color="auto" w:fill="auto"/>
            <w:vAlign w:val="center"/>
          </w:tcPr>
          <w:p w14:paraId="7CEFBFE0">
            <w:r>
              <w:rPr>
                <w:rFonts w:hint="eastAsia"/>
              </w:rPr>
              <w:t>推动乡村振兴示范片建设数</w:t>
            </w:r>
          </w:p>
        </w:tc>
        <w:tc>
          <w:tcPr>
            <w:tcW w:w="4574" w:type="dxa"/>
            <w:tcBorders>
              <w:top w:val="single" w:color="auto" w:sz="4" w:space="0"/>
              <w:left w:val="nil"/>
              <w:bottom w:val="single" w:color="auto" w:sz="4" w:space="0"/>
              <w:right w:val="single" w:color="auto" w:sz="4" w:space="0"/>
            </w:tcBorders>
            <w:shd w:val="clear" w:color="auto" w:fill="auto"/>
            <w:vAlign w:val="center"/>
          </w:tcPr>
          <w:p w14:paraId="4BC76CD4">
            <w:r>
              <w:rPr>
                <w:rFonts w:hint="eastAsia"/>
              </w:rPr>
              <w:t>要求推动12个示范片区建设，实际以县区上报建设的示范片区数为准。</w:t>
            </w:r>
          </w:p>
        </w:tc>
        <w:tc>
          <w:tcPr>
            <w:tcW w:w="4556" w:type="dxa"/>
            <w:tcBorders>
              <w:top w:val="single" w:color="auto" w:sz="4" w:space="0"/>
              <w:left w:val="nil"/>
              <w:bottom w:val="single" w:color="auto" w:sz="4" w:space="0"/>
              <w:right w:val="nil"/>
            </w:tcBorders>
            <w:shd w:val="clear" w:color="auto" w:fill="auto"/>
            <w:vAlign w:val="center"/>
          </w:tcPr>
          <w:p w14:paraId="49359FDA">
            <w:r>
              <w:rPr>
                <w:rFonts w:hint="eastAsia"/>
              </w:rPr>
              <w:t>满分2分，要求推进12个示范片区建设，按实际示范片区建设完成比例得分。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73FCB">
            <w:r>
              <w:rPr>
                <w:rFonts w:hint="eastAsia"/>
              </w:rPr>
              <w:t>2</w:t>
            </w:r>
          </w:p>
        </w:tc>
      </w:tr>
      <w:tr w14:paraId="371BB4F4">
        <w:tblPrEx>
          <w:tblCellMar>
            <w:top w:w="0" w:type="dxa"/>
            <w:left w:w="108" w:type="dxa"/>
            <w:bottom w:w="0" w:type="dxa"/>
            <w:right w:w="108" w:type="dxa"/>
          </w:tblCellMar>
        </w:tblPrEx>
        <w:trPr>
          <w:trHeight w:val="97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14C44E63"/>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73923534"/>
        </w:tc>
        <w:tc>
          <w:tcPr>
            <w:tcW w:w="1798" w:type="dxa"/>
            <w:tcBorders>
              <w:top w:val="single" w:color="auto" w:sz="4" w:space="0"/>
              <w:left w:val="nil"/>
              <w:bottom w:val="single" w:color="auto" w:sz="4" w:space="0"/>
              <w:right w:val="single" w:color="auto" w:sz="4" w:space="0"/>
            </w:tcBorders>
            <w:shd w:val="clear" w:color="auto" w:fill="auto"/>
            <w:vAlign w:val="center"/>
          </w:tcPr>
          <w:p w14:paraId="49DC97B9">
            <w:r>
              <w:rPr>
                <w:rFonts w:hint="eastAsia"/>
              </w:rPr>
              <w:t>平均每村实施乡村振兴项目数</w:t>
            </w:r>
          </w:p>
        </w:tc>
        <w:tc>
          <w:tcPr>
            <w:tcW w:w="4574" w:type="dxa"/>
            <w:tcBorders>
              <w:top w:val="single" w:color="auto" w:sz="4" w:space="0"/>
              <w:left w:val="nil"/>
              <w:bottom w:val="single" w:color="auto" w:sz="4" w:space="0"/>
              <w:right w:val="single" w:color="auto" w:sz="4" w:space="0"/>
            </w:tcBorders>
            <w:shd w:val="clear" w:color="auto" w:fill="auto"/>
            <w:vAlign w:val="center"/>
          </w:tcPr>
          <w:p w14:paraId="24C8C5D8">
            <w:r>
              <w:rPr>
                <w:rFonts w:hint="eastAsia"/>
              </w:rPr>
              <w:t>考查省级乡村振兴试点村、实绩突出村平均每村实施乡村振兴项目数。</w:t>
            </w:r>
          </w:p>
        </w:tc>
        <w:tc>
          <w:tcPr>
            <w:tcW w:w="4556" w:type="dxa"/>
            <w:tcBorders>
              <w:top w:val="single" w:color="auto" w:sz="4" w:space="0"/>
              <w:left w:val="nil"/>
              <w:bottom w:val="single" w:color="auto" w:sz="4" w:space="0"/>
              <w:right w:val="nil"/>
            </w:tcBorders>
            <w:shd w:val="clear" w:color="auto" w:fill="auto"/>
            <w:vAlign w:val="center"/>
          </w:tcPr>
          <w:p w14:paraId="4A7D287F">
            <w:r>
              <w:rPr>
                <w:rFonts w:hint="eastAsia"/>
              </w:rPr>
              <w:t>满分2分，目标平均每村实施乡村振兴项目数在3个以上，达到3个得满分，未达到按比例得分。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4E291">
            <w:r>
              <w:rPr>
                <w:rFonts w:hint="eastAsia"/>
              </w:rPr>
              <w:t>2</w:t>
            </w:r>
          </w:p>
        </w:tc>
      </w:tr>
      <w:tr w14:paraId="53114243">
        <w:tblPrEx>
          <w:tblCellMar>
            <w:top w:w="0" w:type="dxa"/>
            <w:left w:w="108" w:type="dxa"/>
            <w:bottom w:w="0" w:type="dxa"/>
            <w:right w:w="108" w:type="dxa"/>
          </w:tblCellMar>
        </w:tblPrEx>
        <w:trPr>
          <w:trHeight w:val="99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4C176364"/>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553F2778"/>
        </w:tc>
        <w:tc>
          <w:tcPr>
            <w:tcW w:w="1798" w:type="dxa"/>
            <w:tcBorders>
              <w:top w:val="single" w:color="auto" w:sz="4" w:space="0"/>
              <w:left w:val="nil"/>
              <w:bottom w:val="single" w:color="auto" w:sz="4" w:space="0"/>
              <w:right w:val="single" w:color="auto" w:sz="4" w:space="0"/>
            </w:tcBorders>
            <w:shd w:val="clear" w:color="auto" w:fill="auto"/>
            <w:vAlign w:val="center"/>
          </w:tcPr>
          <w:p w14:paraId="7AB39DE6">
            <w:r>
              <w:rPr>
                <w:rFonts w:hint="eastAsia"/>
              </w:rPr>
              <w:t>平均每村完成乡村振兴项目投资金额</w:t>
            </w:r>
          </w:p>
        </w:tc>
        <w:tc>
          <w:tcPr>
            <w:tcW w:w="4574" w:type="dxa"/>
            <w:tcBorders>
              <w:top w:val="single" w:color="auto" w:sz="4" w:space="0"/>
              <w:left w:val="nil"/>
              <w:bottom w:val="single" w:color="auto" w:sz="4" w:space="0"/>
              <w:right w:val="single" w:color="auto" w:sz="4" w:space="0"/>
            </w:tcBorders>
            <w:shd w:val="clear" w:color="auto" w:fill="auto"/>
            <w:vAlign w:val="center"/>
          </w:tcPr>
          <w:p w14:paraId="3E3DD11F">
            <w:r>
              <w:rPr>
                <w:rFonts w:hint="eastAsia"/>
              </w:rPr>
              <w:t>考查省级乡村振兴试点村、实绩突出村平均每村完成乡村振兴项目投资金额。</w:t>
            </w:r>
          </w:p>
        </w:tc>
        <w:tc>
          <w:tcPr>
            <w:tcW w:w="4556" w:type="dxa"/>
            <w:tcBorders>
              <w:top w:val="single" w:color="auto" w:sz="4" w:space="0"/>
              <w:left w:val="nil"/>
              <w:bottom w:val="single" w:color="auto" w:sz="4" w:space="0"/>
              <w:right w:val="nil"/>
            </w:tcBorders>
            <w:shd w:val="clear" w:color="auto" w:fill="auto"/>
            <w:vAlign w:val="center"/>
          </w:tcPr>
          <w:p w14:paraId="7368C0A4">
            <w:r>
              <w:rPr>
                <w:rFonts w:hint="eastAsia"/>
              </w:rPr>
              <w:t>满分2分，目标平均每村完成乡村振兴项目投资金额在200万以上，达到200万得满分，未达到按比例得分。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D940C">
            <w:r>
              <w:rPr>
                <w:rFonts w:hint="eastAsia"/>
              </w:rPr>
              <w:t>2</w:t>
            </w:r>
          </w:p>
        </w:tc>
      </w:tr>
      <w:tr w14:paraId="3D7011F0">
        <w:tblPrEx>
          <w:tblCellMar>
            <w:top w:w="0" w:type="dxa"/>
            <w:left w:w="108" w:type="dxa"/>
            <w:bottom w:w="0" w:type="dxa"/>
            <w:right w:w="108" w:type="dxa"/>
          </w:tblCellMar>
        </w:tblPrEx>
        <w:trPr>
          <w:trHeight w:val="1119"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5AD6B120"/>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2B4E45A1"/>
        </w:tc>
        <w:tc>
          <w:tcPr>
            <w:tcW w:w="1798" w:type="dxa"/>
            <w:tcBorders>
              <w:top w:val="single" w:color="auto" w:sz="4" w:space="0"/>
              <w:left w:val="nil"/>
              <w:bottom w:val="single" w:color="auto" w:sz="4" w:space="0"/>
              <w:right w:val="single" w:color="auto" w:sz="4" w:space="0"/>
            </w:tcBorders>
            <w:shd w:val="clear" w:color="auto" w:fill="auto"/>
            <w:vAlign w:val="center"/>
          </w:tcPr>
          <w:p w14:paraId="03DC4447">
            <w:r>
              <w:rPr>
                <w:rFonts w:hint="eastAsia"/>
              </w:rPr>
              <w:t>平均每村培育新型农业经营主体数</w:t>
            </w:r>
          </w:p>
        </w:tc>
        <w:tc>
          <w:tcPr>
            <w:tcW w:w="4574" w:type="dxa"/>
            <w:tcBorders>
              <w:top w:val="single" w:color="auto" w:sz="4" w:space="0"/>
              <w:left w:val="nil"/>
              <w:bottom w:val="single" w:color="auto" w:sz="4" w:space="0"/>
              <w:right w:val="single" w:color="auto" w:sz="4" w:space="0"/>
            </w:tcBorders>
            <w:shd w:val="clear" w:color="auto" w:fill="auto"/>
            <w:vAlign w:val="center"/>
          </w:tcPr>
          <w:p w14:paraId="21EF4CEB">
            <w:r>
              <w:rPr>
                <w:rFonts w:hint="eastAsia"/>
              </w:rPr>
              <w:t>考查省级乡村振兴试点村、实绩突出村平均每村培育新型农业经营主体数。</w:t>
            </w:r>
          </w:p>
        </w:tc>
        <w:tc>
          <w:tcPr>
            <w:tcW w:w="4556" w:type="dxa"/>
            <w:tcBorders>
              <w:top w:val="single" w:color="auto" w:sz="4" w:space="0"/>
              <w:left w:val="nil"/>
              <w:bottom w:val="single" w:color="auto" w:sz="4" w:space="0"/>
              <w:right w:val="nil"/>
            </w:tcBorders>
            <w:shd w:val="clear" w:color="auto" w:fill="auto"/>
            <w:vAlign w:val="center"/>
          </w:tcPr>
          <w:p w14:paraId="60F50453">
            <w:r>
              <w:rPr>
                <w:rFonts w:hint="eastAsia"/>
              </w:rPr>
              <w:t>满分2分，目标平均每村培育新型农业经营主体数在1个以上，达到1个得满分，未达到按比例得分。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BC551">
            <w:r>
              <w:rPr>
                <w:rFonts w:hint="eastAsia"/>
              </w:rPr>
              <w:t>2</w:t>
            </w:r>
          </w:p>
        </w:tc>
      </w:tr>
      <w:tr w14:paraId="5D31A901">
        <w:tblPrEx>
          <w:tblCellMar>
            <w:top w:w="0" w:type="dxa"/>
            <w:left w:w="108" w:type="dxa"/>
            <w:bottom w:w="0" w:type="dxa"/>
            <w:right w:w="108" w:type="dxa"/>
          </w:tblCellMar>
        </w:tblPrEx>
        <w:trPr>
          <w:trHeight w:val="1121"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63044A25"/>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53D3634E"/>
        </w:tc>
        <w:tc>
          <w:tcPr>
            <w:tcW w:w="1798" w:type="dxa"/>
            <w:tcBorders>
              <w:top w:val="single" w:color="auto" w:sz="4" w:space="0"/>
              <w:left w:val="nil"/>
              <w:bottom w:val="single" w:color="auto" w:sz="4" w:space="0"/>
              <w:right w:val="single" w:color="auto" w:sz="4" w:space="0"/>
            </w:tcBorders>
            <w:shd w:val="clear" w:color="auto" w:fill="auto"/>
            <w:vAlign w:val="center"/>
          </w:tcPr>
          <w:p w14:paraId="42395FBE">
            <w:r>
              <w:rPr>
                <w:rFonts w:hint="eastAsia"/>
              </w:rPr>
              <w:t>改造提升村庄道路公里数</w:t>
            </w:r>
          </w:p>
        </w:tc>
        <w:tc>
          <w:tcPr>
            <w:tcW w:w="4574" w:type="dxa"/>
            <w:tcBorders>
              <w:top w:val="single" w:color="auto" w:sz="4" w:space="0"/>
              <w:left w:val="nil"/>
              <w:bottom w:val="single" w:color="auto" w:sz="4" w:space="0"/>
              <w:right w:val="single" w:color="auto" w:sz="4" w:space="0"/>
            </w:tcBorders>
            <w:shd w:val="clear" w:color="auto" w:fill="auto"/>
            <w:vAlign w:val="center"/>
          </w:tcPr>
          <w:p w14:paraId="158116F1">
            <w:r>
              <w:rPr>
                <w:rFonts w:hint="eastAsia"/>
              </w:rPr>
              <w:t>考查省级乡村振兴试点村、实绩突出村改造提升村庄道路公里数。</w:t>
            </w:r>
          </w:p>
        </w:tc>
        <w:tc>
          <w:tcPr>
            <w:tcW w:w="4556" w:type="dxa"/>
            <w:tcBorders>
              <w:top w:val="single" w:color="auto" w:sz="4" w:space="0"/>
              <w:left w:val="nil"/>
              <w:bottom w:val="single" w:color="auto" w:sz="4" w:space="0"/>
              <w:right w:val="nil"/>
            </w:tcBorders>
            <w:shd w:val="clear" w:color="auto" w:fill="auto"/>
            <w:vAlign w:val="center"/>
          </w:tcPr>
          <w:p w14:paraId="7BDD164D">
            <w:r>
              <w:rPr>
                <w:rFonts w:hint="eastAsia"/>
              </w:rPr>
              <w:t>满分2分，目标改造提升村庄道路公里数在10公里以上，达到10公里得满分，未达到按比例得分。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57428">
            <w:r>
              <w:rPr>
                <w:rFonts w:hint="eastAsia"/>
              </w:rPr>
              <w:t>2</w:t>
            </w:r>
          </w:p>
        </w:tc>
      </w:tr>
      <w:tr w14:paraId="79FC12B2">
        <w:tblPrEx>
          <w:tblCellMar>
            <w:top w:w="0" w:type="dxa"/>
            <w:left w:w="108" w:type="dxa"/>
            <w:bottom w:w="0" w:type="dxa"/>
            <w:right w:w="108" w:type="dxa"/>
          </w:tblCellMar>
        </w:tblPrEx>
        <w:trPr>
          <w:trHeight w:val="84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09DDEE7B"/>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ABE249">
            <w:r>
              <w:rPr>
                <w:rFonts w:hint="eastAsia"/>
              </w:rPr>
              <w:t>质量指标（6分）</w:t>
            </w:r>
          </w:p>
        </w:tc>
        <w:tc>
          <w:tcPr>
            <w:tcW w:w="1798" w:type="dxa"/>
            <w:tcBorders>
              <w:top w:val="single" w:color="auto" w:sz="4" w:space="0"/>
              <w:left w:val="nil"/>
              <w:bottom w:val="single" w:color="auto" w:sz="4" w:space="0"/>
              <w:right w:val="single" w:color="auto" w:sz="4" w:space="0"/>
            </w:tcBorders>
            <w:shd w:val="clear" w:color="auto" w:fill="auto"/>
            <w:vAlign w:val="center"/>
          </w:tcPr>
          <w:p w14:paraId="32116ABF">
            <w:r>
              <w:rPr>
                <w:rFonts w:hint="eastAsia"/>
              </w:rPr>
              <w:t>示范村标准等次数</w:t>
            </w:r>
          </w:p>
        </w:tc>
        <w:tc>
          <w:tcPr>
            <w:tcW w:w="4574" w:type="dxa"/>
            <w:tcBorders>
              <w:top w:val="single" w:color="auto" w:sz="4" w:space="0"/>
              <w:left w:val="nil"/>
              <w:bottom w:val="single" w:color="auto" w:sz="4" w:space="0"/>
              <w:right w:val="single" w:color="auto" w:sz="4" w:space="0"/>
            </w:tcBorders>
            <w:shd w:val="clear" w:color="auto" w:fill="auto"/>
            <w:vAlign w:val="center"/>
          </w:tcPr>
          <w:p w14:paraId="5BDD9CE9">
            <w:r>
              <w:rPr>
                <w:rFonts w:hint="eastAsia"/>
              </w:rPr>
              <w:t>根据乡村振兴示范村的工作成效予以评定星级等次，要求示范村标准等次数在5次以上。</w:t>
            </w:r>
          </w:p>
        </w:tc>
        <w:tc>
          <w:tcPr>
            <w:tcW w:w="4556" w:type="dxa"/>
            <w:tcBorders>
              <w:top w:val="single" w:color="auto" w:sz="4" w:space="0"/>
              <w:left w:val="nil"/>
              <w:bottom w:val="single" w:color="auto" w:sz="4" w:space="0"/>
              <w:right w:val="nil"/>
            </w:tcBorders>
            <w:shd w:val="clear" w:color="auto" w:fill="auto"/>
            <w:vAlign w:val="center"/>
          </w:tcPr>
          <w:p w14:paraId="2C38881D">
            <w:r>
              <w:rPr>
                <w:rFonts w:hint="eastAsia"/>
              </w:rPr>
              <w:t>满分2分，要求示范村标准等次数达到5次以上，达到5次得满分，未达到按比例得分。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8D52F">
            <w:r>
              <w:rPr>
                <w:rFonts w:hint="eastAsia"/>
              </w:rPr>
              <w:t>2</w:t>
            </w:r>
          </w:p>
        </w:tc>
      </w:tr>
      <w:tr w14:paraId="7F5CAAB9">
        <w:tblPrEx>
          <w:tblCellMar>
            <w:top w:w="0" w:type="dxa"/>
            <w:left w:w="108" w:type="dxa"/>
            <w:bottom w:w="0" w:type="dxa"/>
            <w:right w:w="108" w:type="dxa"/>
          </w:tblCellMar>
        </w:tblPrEx>
        <w:trPr>
          <w:trHeight w:val="84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7BDD8053"/>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5C19712F"/>
        </w:tc>
        <w:tc>
          <w:tcPr>
            <w:tcW w:w="1798" w:type="dxa"/>
            <w:tcBorders>
              <w:top w:val="single" w:color="auto" w:sz="4" w:space="0"/>
              <w:left w:val="nil"/>
              <w:bottom w:val="single" w:color="auto" w:sz="4" w:space="0"/>
              <w:right w:val="single" w:color="auto" w:sz="4" w:space="0"/>
            </w:tcBorders>
            <w:shd w:val="clear" w:color="auto" w:fill="auto"/>
            <w:vAlign w:val="center"/>
          </w:tcPr>
          <w:p w14:paraId="0CF10B3C">
            <w:r>
              <w:rPr>
                <w:rFonts w:hint="eastAsia"/>
              </w:rPr>
              <w:t>县区转移支付绩效目标完成率</w:t>
            </w:r>
          </w:p>
        </w:tc>
        <w:tc>
          <w:tcPr>
            <w:tcW w:w="4574" w:type="dxa"/>
            <w:tcBorders>
              <w:top w:val="single" w:color="auto" w:sz="4" w:space="0"/>
              <w:left w:val="nil"/>
              <w:bottom w:val="single" w:color="auto" w:sz="4" w:space="0"/>
              <w:right w:val="single" w:color="auto" w:sz="4" w:space="0"/>
            </w:tcBorders>
            <w:shd w:val="clear" w:color="auto" w:fill="auto"/>
            <w:vAlign w:val="center"/>
          </w:tcPr>
          <w:p w14:paraId="631A9BBF">
            <w:r>
              <w:rPr>
                <w:rFonts w:hint="eastAsia"/>
              </w:rPr>
              <w:t>反映县区转移支付绩效目标完成情况。</w:t>
            </w:r>
          </w:p>
        </w:tc>
        <w:tc>
          <w:tcPr>
            <w:tcW w:w="4556" w:type="dxa"/>
            <w:tcBorders>
              <w:top w:val="single" w:color="auto" w:sz="4" w:space="0"/>
              <w:left w:val="nil"/>
              <w:bottom w:val="single" w:color="auto" w:sz="4" w:space="0"/>
              <w:right w:val="nil"/>
            </w:tcBorders>
            <w:shd w:val="clear" w:color="auto" w:fill="auto"/>
            <w:vAlign w:val="center"/>
          </w:tcPr>
          <w:p w14:paraId="74720AF9">
            <w:r>
              <w:rPr>
                <w:rFonts w:hint="eastAsia"/>
              </w:rPr>
              <w:t>满分2分，按照实际完成的项目数量/项目计划数量*100%*2分，最高不超过2分。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F017F">
            <w:r>
              <w:rPr>
                <w:rFonts w:hint="eastAsia"/>
              </w:rPr>
              <w:t>2</w:t>
            </w:r>
          </w:p>
        </w:tc>
      </w:tr>
      <w:tr w14:paraId="323EBC7B">
        <w:tblPrEx>
          <w:tblCellMar>
            <w:top w:w="0" w:type="dxa"/>
            <w:left w:w="108" w:type="dxa"/>
            <w:bottom w:w="0" w:type="dxa"/>
            <w:right w:w="108" w:type="dxa"/>
          </w:tblCellMar>
        </w:tblPrEx>
        <w:trPr>
          <w:trHeight w:val="84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72F78293"/>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28FC9365"/>
        </w:tc>
        <w:tc>
          <w:tcPr>
            <w:tcW w:w="1798" w:type="dxa"/>
            <w:tcBorders>
              <w:top w:val="single" w:color="auto" w:sz="4" w:space="0"/>
              <w:left w:val="nil"/>
              <w:bottom w:val="single" w:color="auto" w:sz="4" w:space="0"/>
              <w:right w:val="single" w:color="auto" w:sz="4" w:space="0"/>
            </w:tcBorders>
            <w:shd w:val="clear" w:color="auto" w:fill="auto"/>
            <w:vAlign w:val="center"/>
          </w:tcPr>
          <w:p w14:paraId="48F53ED8">
            <w:r>
              <w:rPr>
                <w:rFonts w:hint="eastAsia"/>
              </w:rPr>
              <w:t>辖区内县级农担公司年末平均在保放大倍数</w:t>
            </w:r>
          </w:p>
        </w:tc>
        <w:tc>
          <w:tcPr>
            <w:tcW w:w="4574" w:type="dxa"/>
            <w:tcBorders>
              <w:top w:val="single" w:color="auto" w:sz="4" w:space="0"/>
              <w:left w:val="nil"/>
              <w:bottom w:val="single" w:color="auto" w:sz="4" w:space="0"/>
              <w:right w:val="single" w:color="auto" w:sz="4" w:space="0"/>
            </w:tcBorders>
            <w:shd w:val="clear" w:color="auto" w:fill="auto"/>
            <w:vAlign w:val="center"/>
          </w:tcPr>
          <w:p w14:paraId="597E64F6">
            <w:r>
              <w:rPr>
                <w:rFonts w:hint="eastAsia"/>
              </w:rPr>
              <w:t>以期末担保余额之和/公司年均净资产之和作为计算标准。</w:t>
            </w:r>
          </w:p>
        </w:tc>
        <w:tc>
          <w:tcPr>
            <w:tcW w:w="4556" w:type="dxa"/>
            <w:tcBorders>
              <w:top w:val="single" w:color="auto" w:sz="4" w:space="0"/>
              <w:left w:val="nil"/>
              <w:bottom w:val="single" w:color="auto" w:sz="4" w:space="0"/>
              <w:right w:val="nil"/>
            </w:tcBorders>
            <w:shd w:val="clear" w:color="auto" w:fill="auto"/>
            <w:vAlign w:val="center"/>
          </w:tcPr>
          <w:p w14:paraId="322423DD">
            <w:r>
              <w:rPr>
                <w:rFonts w:hint="eastAsia"/>
              </w:rPr>
              <w:t>满分2分，目标平均放大倍数在2倍以上，达到2倍得满分，未达到按比例得分。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23832">
            <w:r>
              <w:rPr>
                <w:rFonts w:hint="eastAsia"/>
              </w:rPr>
              <w:t>2</w:t>
            </w:r>
          </w:p>
        </w:tc>
      </w:tr>
      <w:tr w14:paraId="55A65964">
        <w:tblPrEx>
          <w:tblCellMar>
            <w:top w:w="0" w:type="dxa"/>
            <w:left w:w="108" w:type="dxa"/>
            <w:bottom w:w="0" w:type="dxa"/>
            <w:right w:w="108" w:type="dxa"/>
          </w:tblCellMar>
        </w:tblPrEx>
        <w:trPr>
          <w:trHeight w:val="1084"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1EF7182E"/>
        </w:tc>
        <w:tc>
          <w:tcPr>
            <w:tcW w:w="2006" w:type="dxa"/>
            <w:tcBorders>
              <w:top w:val="single" w:color="auto" w:sz="4" w:space="0"/>
              <w:left w:val="nil"/>
              <w:bottom w:val="single" w:color="auto" w:sz="4" w:space="0"/>
              <w:right w:val="single" w:color="auto" w:sz="4" w:space="0"/>
            </w:tcBorders>
            <w:shd w:val="clear" w:color="auto" w:fill="auto"/>
            <w:vAlign w:val="center"/>
          </w:tcPr>
          <w:p w14:paraId="763394D1">
            <w:r>
              <w:rPr>
                <w:rFonts w:hint="eastAsia"/>
              </w:rPr>
              <w:t>时效指标（2分）</w:t>
            </w:r>
          </w:p>
        </w:tc>
        <w:tc>
          <w:tcPr>
            <w:tcW w:w="1798" w:type="dxa"/>
            <w:tcBorders>
              <w:top w:val="single" w:color="auto" w:sz="4" w:space="0"/>
              <w:left w:val="nil"/>
              <w:bottom w:val="single" w:color="auto" w:sz="4" w:space="0"/>
              <w:right w:val="single" w:color="auto" w:sz="4" w:space="0"/>
            </w:tcBorders>
            <w:shd w:val="clear" w:color="auto" w:fill="auto"/>
            <w:vAlign w:val="center"/>
          </w:tcPr>
          <w:p w14:paraId="5C3636BD">
            <w:r>
              <w:rPr>
                <w:rFonts w:hint="eastAsia"/>
              </w:rPr>
              <w:t>资金拨付进度</w:t>
            </w:r>
          </w:p>
        </w:tc>
        <w:tc>
          <w:tcPr>
            <w:tcW w:w="4574" w:type="dxa"/>
            <w:tcBorders>
              <w:top w:val="single" w:color="auto" w:sz="4" w:space="0"/>
              <w:left w:val="nil"/>
              <w:bottom w:val="single" w:color="auto" w:sz="4" w:space="0"/>
              <w:right w:val="single" w:color="auto" w:sz="4" w:space="0"/>
            </w:tcBorders>
            <w:shd w:val="clear" w:color="auto" w:fill="auto"/>
            <w:vAlign w:val="center"/>
          </w:tcPr>
          <w:p w14:paraId="0E2B329C">
            <w:r>
              <w:rPr>
                <w:rFonts w:hint="eastAsia"/>
              </w:rPr>
              <w:t>资金拨付进度以年底的支出金额/年度预算金额为准。</w:t>
            </w:r>
          </w:p>
        </w:tc>
        <w:tc>
          <w:tcPr>
            <w:tcW w:w="4556" w:type="dxa"/>
            <w:tcBorders>
              <w:top w:val="single" w:color="auto" w:sz="4" w:space="0"/>
              <w:left w:val="nil"/>
              <w:bottom w:val="single" w:color="auto" w:sz="4" w:space="0"/>
              <w:right w:val="nil"/>
            </w:tcBorders>
            <w:shd w:val="clear" w:color="auto" w:fill="auto"/>
            <w:vAlign w:val="center"/>
          </w:tcPr>
          <w:p w14:paraId="7FFFA0E6">
            <w:r>
              <w:rPr>
                <w:rFonts w:hint="eastAsia"/>
              </w:rPr>
              <w:t>满分2分，按预算要求，资金拨付进度在92%以上得2分，低于92%的每低一个百分点扣0.2分，扣完为止。</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77CA4">
            <w:r>
              <w:rPr>
                <w:rFonts w:hint="eastAsia"/>
              </w:rPr>
              <w:t>2</w:t>
            </w:r>
          </w:p>
        </w:tc>
      </w:tr>
      <w:tr w14:paraId="64BCB5B9">
        <w:tblPrEx>
          <w:tblCellMar>
            <w:top w:w="0" w:type="dxa"/>
            <w:left w:w="108" w:type="dxa"/>
            <w:bottom w:w="0" w:type="dxa"/>
            <w:right w:w="108" w:type="dxa"/>
          </w:tblCellMar>
        </w:tblPrEx>
        <w:trPr>
          <w:trHeight w:val="78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64A85359"/>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19573D">
            <w:r>
              <w:rPr>
                <w:rFonts w:hint="eastAsia"/>
              </w:rPr>
              <w:t>成本指标（2分）</w:t>
            </w:r>
          </w:p>
        </w:tc>
        <w:tc>
          <w:tcPr>
            <w:tcW w:w="1798" w:type="dxa"/>
            <w:tcBorders>
              <w:top w:val="single" w:color="auto" w:sz="4" w:space="0"/>
              <w:left w:val="nil"/>
              <w:bottom w:val="single" w:color="auto" w:sz="4" w:space="0"/>
              <w:right w:val="single" w:color="auto" w:sz="4" w:space="0"/>
            </w:tcBorders>
            <w:shd w:val="clear" w:color="auto" w:fill="auto"/>
            <w:vAlign w:val="center"/>
          </w:tcPr>
          <w:p w14:paraId="28D68775">
            <w:r>
              <w:rPr>
                <w:rFonts w:hint="eastAsia"/>
              </w:rPr>
              <w:t>资金整体投入</w:t>
            </w:r>
          </w:p>
        </w:tc>
        <w:tc>
          <w:tcPr>
            <w:tcW w:w="4574" w:type="dxa"/>
            <w:tcBorders>
              <w:top w:val="single" w:color="auto" w:sz="4" w:space="0"/>
              <w:left w:val="nil"/>
              <w:bottom w:val="single" w:color="auto" w:sz="4" w:space="0"/>
              <w:right w:val="single" w:color="auto" w:sz="4" w:space="0"/>
            </w:tcBorders>
            <w:shd w:val="clear" w:color="auto" w:fill="auto"/>
            <w:vAlign w:val="center"/>
          </w:tcPr>
          <w:p w14:paraId="4E06D4D7">
            <w:r>
              <w:rPr>
                <w:rFonts w:hint="eastAsia"/>
              </w:rPr>
              <w:t>按实际资金支出数与预算数的比值计算投入比例。</w:t>
            </w:r>
          </w:p>
        </w:tc>
        <w:tc>
          <w:tcPr>
            <w:tcW w:w="4556" w:type="dxa"/>
            <w:tcBorders>
              <w:top w:val="single" w:color="auto" w:sz="4" w:space="0"/>
              <w:left w:val="nil"/>
              <w:bottom w:val="single" w:color="auto" w:sz="4" w:space="0"/>
              <w:right w:val="nil"/>
            </w:tcBorders>
            <w:shd w:val="clear" w:color="auto" w:fill="auto"/>
            <w:vAlign w:val="center"/>
          </w:tcPr>
          <w:p w14:paraId="518CBF04">
            <w:r>
              <w:rPr>
                <w:rFonts w:hint="eastAsia"/>
              </w:rPr>
              <w:t>满分1分，得分等于实际下达金额/预算拨款数*100%*1分，最高不超过1分。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24EF5">
            <w:r>
              <w:rPr>
                <w:rFonts w:hint="eastAsia"/>
              </w:rPr>
              <w:t>1</w:t>
            </w:r>
          </w:p>
        </w:tc>
      </w:tr>
      <w:tr w14:paraId="7950BFBF">
        <w:tblPrEx>
          <w:tblCellMar>
            <w:top w:w="0" w:type="dxa"/>
            <w:left w:w="108" w:type="dxa"/>
            <w:bottom w:w="0" w:type="dxa"/>
            <w:right w:w="108" w:type="dxa"/>
          </w:tblCellMar>
        </w:tblPrEx>
        <w:trPr>
          <w:trHeight w:val="91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1765B98B"/>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6EF20EA8"/>
        </w:tc>
        <w:tc>
          <w:tcPr>
            <w:tcW w:w="1798" w:type="dxa"/>
            <w:tcBorders>
              <w:top w:val="single" w:color="auto" w:sz="4" w:space="0"/>
              <w:left w:val="nil"/>
              <w:bottom w:val="single" w:color="auto" w:sz="4" w:space="0"/>
              <w:right w:val="single" w:color="auto" w:sz="4" w:space="0"/>
            </w:tcBorders>
            <w:shd w:val="clear" w:color="auto" w:fill="auto"/>
            <w:vAlign w:val="center"/>
          </w:tcPr>
          <w:p w14:paraId="7A490F49">
            <w:r>
              <w:rPr>
                <w:rFonts w:hint="eastAsia"/>
              </w:rPr>
              <w:t>涵江坪盘道路建设资金投入</w:t>
            </w:r>
          </w:p>
        </w:tc>
        <w:tc>
          <w:tcPr>
            <w:tcW w:w="4574" w:type="dxa"/>
            <w:tcBorders>
              <w:top w:val="single" w:color="auto" w:sz="4" w:space="0"/>
              <w:left w:val="nil"/>
              <w:bottom w:val="single" w:color="auto" w:sz="4" w:space="0"/>
              <w:right w:val="single" w:color="auto" w:sz="4" w:space="0"/>
            </w:tcBorders>
            <w:shd w:val="clear" w:color="auto" w:fill="auto"/>
            <w:vAlign w:val="center"/>
          </w:tcPr>
          <w:p w14:paraId="1D4E087A">
            <w:r>
              <w:rPr>
                <w:rFonts w:hint="eastAsia"/>
              </w:rPr>
              <w:t>按实际资金支出数与预算数的比值计算投入比例。</w:t>
            </w:r>
          </w:p>
        </w:tc>
        <w:tc>
          <w:tcPr>
            <w:tcW w:w="4556" w:type="dxa"/>
            <w:tcBorders>
              <w:top w:val="single" w:color="auto" w:sz="4" w:space="0"/>
              <w:left w:val="nil"/>
              <w:bottom w:val="single" w:color="auto" w:sz="4" w:space="0"/>
              <w:right w:val="nil"/>
            </w:tcBorders>
            <w:shd w:val="clear" w:color="auto" w:fill="auto"/>
            <w:vAlign w:val="center"/>
          </w:tcPr>
          <w:p w14:paraId="329731AC">
            <w:r>
              <w:rPr>
                <w:rFonts w:hint="eastAsia"/>
              </w:rPr>
              <w:t>满分1分，得分等于实际下达金额/预算拨款数*100%*1分，最高不超过1分。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33CB1">
            <w:r>
              <w:rPr>
                <w:rFonts w:hint="eastAsia"/>
              </w:rPr>
              <w:t>1</w:t>
            </w:r>
          </w:p>
        </w:tc>
      </w:tr>
      <w:tr w14:paraId="09FFE425">
        <w:tblPrEx>
          <w:tblCellMar>
            <w:top w:w="0" w:type="dxa"/>
            <w:left w:w="108" w:type="dxa"/>
            <w:bottom w:w="0" w:type="dxa"/>
            <w:right w:w="108" w:type="dxa"/>
          </w:tblCellMar>
        </w:tblPrEx>
        <w:trPr>
          <w:trHeight w:val="114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3FFB2A62"/>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DFC281">
            <w:r>
              <w:rPr>
                <w:rFonts w:hint="eastAsia"/>
              </w:rPr>
              <w:t>经济效益（8分）</w:t>
            </w:r>
          </w:p>
        </w:tc>
        <w:tc>
          <w:tcPr>
            <w:tcW w:w="1798" w:type="dxa"/>
            <w:tcBorders>
              <w:top w:val="single" w:color="auto" w:sz="4" w:space="0"/>
              <w:left w:val="nil"/>
              <w:bottom w:val="single" w:color="auto" w:sz="4" w:space="0"/>
              <w:right w:val="single" w:color="auto" w:sz="4" w:space="0"/>
            </w:tcBorders>
            <w:shd w:val="clear" w:color="auto" w:fill="auto"/>
            <w:vAlign w:val="center"/>
          </w:tcPr>
          <w:p w14:paraId="2FFC3E8C">
            <w:r>
              <w:rPr>
                <w:rFonts w:hint="eastAsia"/>
              </w:rPr>
              <w:t>试点村集体经济年经营性收入达10万元以上的数量占比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3C924B30">
            <w:r>
              <w:rPr>
                <w:rFonts w:hint="eastAsia"/>
              </w:rPr>
              <w:t>反映试点村集体经济收入达10万元以上的情况。</w:t>
            </w:r>
          </w:p>
        </w:tc>
        <w:tc>
          <w:tcPr>
            <w:tcW w:w="4556" w:type="dxa"/>
            <w:tcBorders>
              <w:top w:val="single" w:color="auto" w:sz="4" w:space="0"/>
              <w:left w:val="nil"/>
              <w:bottom w:val="single" w:color="auto" w:sz="4" w:space="0"/>
              <w:right w:val="nil"/>
            </w:tcBorders>
            <w:shd w:val="clear" w:color="auto" w:fill="auto"/>
            <w:vAlign w:val="center"/>
          </w:tcPr>
          <w:p w14:paraId="5C97BA20">
            <w:r>
              <w:rPr>
                <w:rFonts w:hint="eastAsia"/>
              </w:rPr>
              <w:t>满分2分，得分等于试点村村集体经济达10万元以上村数/试点村总数*100*2分，最高不超过2分。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F08E5">
            <w:r>
              <w:rPr>
                <w:rFonts w:hint="eastAsia"/>
              </w:rPr>
              <w:t>2</w:t>
            </w:r>
          </w:p>
        </w:tc>
      </w:tr>
      <w:tr w14:paraId="41F63F47">
        <w:tblPrEx>
          <w:tblCellMar>
            <w:top w:w="0" w:type="dxa"/>
            <w:left w:w="108" w:type="dxa"/>
            <w:bottom w:w="0" w:type="dxa"/>
            <w:right w:w="108" w:type="dxa"/>
          </w:tblCellMar>
        </w:tblPrEx>
        <w:trPr>
          <w:trHeight w:val="1119"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31B6EC35"/>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41E14125"/>
        </w:tc>
        <w:tc>
          <w:tcPr>
            <w:tcW w:w="1798" w:type="dxa"/>
            <w:tcBorders>
              <w:top w:val="single" w:color="auto" w:sz="4" w:space="0"/>
              <w:left w:val="nil"/>
              <w:bottom w:val="single" w:color="auto" w:sz="4" w:space="0"/>
              <w:right w:val="single" w:color="auto" w:sz="4" w:space="0"/>
            </w:tcBorders>
            <w:shd w:val="clear" w:color="auto" w:fill="auto"/>
            <w:vAlign w:val="center"/>
          </w:tcPr>
          <w:p w14:paraId="3004F09B">
            <w:r>
              <w:rPr>
                <w:rFonts w:hint="eastAsia"/>
              </w:rPr>
              <w:t>平均每村培育主导产业数</w:t>
            </w:r>
          </w:p>
        </w:tc>
        <w:tc>
          <w:tcPr>
            <w:tcW w:w="4574" w:type="dxa"/>
            <w:tcBorders>
              <w:top w:val="single" w:color="auto" w:sz="4" w:space="0"/>
              <w:left w:val="nil"/>
              <w:bottom w:val="single" w:color="auto" w:sz="4" w:space="0"/>
              <w:right w:val="single" w:color="auto" w:sz="4" w:space="0"/>
            </w:tcBorders>
            <w:shd w:val="clear" w:color="auto" w:fill="auto"/>
            <w:vAlign w:val="center"/>
          </w:tcPr>
          <w:p w14:paraId="16540539">
            <w:r>
              <w:rPr>
                <w:rFonts w:hint="eastAsia"/>
              </w:rPr>
              <w:t>考查省级乡村振兴试点村、实绩突出村平均每村培育主导产业数。</w:t>
            </w:r>
          </w:p>
        </w:tc>
        <w:tc>
          <w:tcPr>
            <w:tcW w:w="4556" w:type="dxa"/>
            <w:tcBorders>
              <w:top w:val="single" w:color="auto" w:sz="4" w:space="0"/>
              <w:left w:val="nil"/>
              <w:bottom w:val="single" w:color="auto" w:sz="4" w:space="0"/>
              <w:right w:val="nil"/>
            </w:tcBorders>
            <w:shd w:val="clear" w:color="auto" w:fill="auto"/>
            <w:vAlign w:val="center"/>
          </w:tcPr>
          <w:p w14:paraId="4EC1FD6D">
            <w:r>
              <w:rPr>
                <w:rFonts w:hint="eastAsia"/>
              </w:rPr>
              <w:t>满分2分，目标平均每村培育主导产业数在1个以上，达到1个得满分，未达到按比例得分。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339FC">
            <w:r>
              <w:rPr>
                <w:rFonts w:hint="eastAsia"/>
              </w:rPr>
              <w:t>2</w:t>
            </w:r>
          </w:p>
        </w:tc>
      </w:tr>
      <w:tr w14:paraId="0925A525">
        <w:tblPrEx>
          <w:tblCellMar>
            <w:top w:w="0" w:type="dxa"/>
            <w:left w:w="108" w:type="dxa"/>
            <w:bottom w:w="0" w:type="dxa"/>
            <w:right w:w="108" w:type="dxa"/>
          </w:tblCellMar>
        </w:tblPrEx>
        <w:trPr>
          <w:trHeight w:val="100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0D99FB57"/>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6C89536A"/>
        </w:tc>
        <w:tc>
          <w:tcPr>
            <w:tcW w:w="1798" w:type="dxa"/>
            <w:tcBorders>
              <w:top w:val="single" w:color="auto" w:sz="4" w:space="0"/>
              <w:left w:val="nil"/>
              <w:bottom w:val="single" w:color="auto" w:sz="4" w:space="0"/>
              <w:right w:val="single" w:color="auto" w:sz="4" w:space="0"/>
            </w:tcBorders>
            <w:shd w:val="clear" w:color="auto" w:fill="auto"/>
            <w:vAlign w:val="center"/>
          </w:tcPr>
          <w:p w14:paraId="39820882">
            <w:r>
              <w:rPr>
                <w:rFonts w:hint="eastAsia"/>
              </w:rPr>
              <w:t>平均每村主导产业年总产值</w:t>
            </w:r>
          </w:p>
        </w:tc>
        <w:tc>
          <w:tcPr>
            <w:tcW w:w="4574" w:type="dxa"/>
            <w:tcBorders>
              <w:top w:val="single" w:color="auto" w:sz="4" w:space="0"/>
              <w:left w:val="nil"/>
              <w:bottom w:val="single" w:color="auto" w:sz="4" w:space="0"/>
              <w:right w:val="single" w:color="auto" w:sz="4" w:space="0"/>
            </w:tcBorders>
            <w:shd w:val="clear" w:color="auto" w:fill="auto"/>
            <w:vAlign w:val="center"/>
          </w:tcPr>
          <w:p w14:paraId="708262FC">
            <w:r>
              <w:rPr>
                <w:rFonts w:hint="eastAsia"/>
              </w:rPr>
              <w:t>考查省级乡村振兴试点村、实绩突出村平均每村主导产业年总产值。</w:t>
            </w:r>
          </w:p>
        </w:tc>
        <w:tc>
          <w:tcPr>
            <w:tcW w:w="4556" w:type="dxa"/>
            <w:tcBorders>
              <w:top w:val="single" w:color="auto" w:sz="4" w:space="0"/>
              <w:left w:val="nil"/>
              <w:bottom w:val="single" w:color="auto" w:sz="4" w:space="0"/>
              <w:right w:val="nil"/>
            </w:tcBorders>
            <w:shd w:val="clear" w:color="auto" w:fill="auto"/>
            <w:vAlign w:val="center"/>
          </w:tcPr>
          <w:p w14:paraId="06BA8928">
            <w:r>
              <w:rPr>
                <w:rFonts w:hint="eastAsia"/>
              </w:rPr>
              <w:t>满分2分，目标平均每村主导产业年总产值在500万以上，达到500万得满分，未达到按比例得分。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4C455">
            <w:r>
              <w:rPr>
                <w:rFonts w:hint="eastAsia"/>
              </w:rPr>
              <w:t>2</w:t>
            </w:r>
          </w:p>
        </w:tc>
      </w:tr>
      <w:tr w14:paraId="6C8C8FC7">
        <w:tblPrEx>
          <w:tblCellMar>
            <w:top w:w="0" w:type="dxa"/>
            <w:left w:w="108" w:type="dxa"/>
            <w:bottom w:w="0" w:type="dxa"/>
            <w:right w:w="108" w:type="dxa"/>
          </w:tblCellMar>
        </w:tblPrEx>
        <w:trPr>
          <w:trHeight w:val="114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7FE6DFAF"/>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3093DF37"/>
        </w:tc>
        <w:tc>
          <w:tcPr>
            <w:tcW w:w="1798" w:type="dxa"/>
            <w:tcBorders>
              <w:top w:val="single" w:color="auto" w:sz="4" w:space="0"/>
              <w:left w:val="nil"/>
              <w:bottom w:val="single" w:color="auto" w:sz="4" w:space="0"/>
              <w:right w:val="single" w:color="auto" w:sz="4" w:space="0"/>
            </w:tcBorders>
            <w:shd w:val="clear" w:color="auto" w:fill="auto"/>
            <w:vAlign w:val="center"/>
          </w:tcPr>
          <w:p w14:paraId="65570879">
            <w:r>
              <w:rPr>
                <w:rFonts w:hint="eastAsia"/>
              </w:rPr>
              <w:t>农村居民人均可支配收入超全省平均水平的村占比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7FB0708E">
            <w:r>
              <w:rPr>
                <w:rFonts w:hint="eastAsia"/>
              </w:rPr>
              <w:t>考查省级乡村振兴试点村、实绩突出村农村居民人均可支配收入超全省平均水平的村占比。</w:t>
            </w:r>
          </w:p>
        </w:tc>
        <w:tc>
          <w:tcPr>
            <w:tcW w:w="4556" w:type="dxa"/>
            <w:tcBorders>
              <w:top w:val="single" w:color="auto" w:sz="4" w:space="0"/>
              <w:left w:val="nil"/>
              <w:bottom w:val="single" w:color="auto" w:sz="4" w:space="0"/>
              <w:right w:val="nil"/>
            </w:tcBorders>
            <w:shd w:val="clear" w:color="auto" w:fill="auto"/>
            <w:vAlign w:val="center"/>
          </w:tcPr>
          <w:p w14:paraId="08CF7F5F">
            <w:r>
              <w:rPr>
                <w:rFonts w:hint="eastAsia"/>
              </w:rPr>
              <w:t>满分2分，目标比例在50%以上，达到50%得满分，未达到按比例得分。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47B83">
            <w:r>
              <w:rPr>
                <w:rFonts w:hint="eastAsia"/>
              </w:rPr>
              <w:t>2</w:t>
            </w:r>
          </w:p>
        </w:tc>
      </w:tr>
      <w:tr w14:paraId="2B98E9AF">
        <w:tblPrEx>
          <w:tblCellMar>
            <w:top w:w="0" w:type="dxa"/>
            <w:left w:w="108" w:type="dxa"/>
            <w:bottom w:w="0" w:type="dxa"/>
            <w:right w:w="108" w:type="dxa"/>
          </w:tblCellMar>
        </w:tblPrEx>
        <w:trPr>
          <w:trHeight w:val="96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6041035A"/>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8597A6">
            <w:r>
              <w:rPr>
                <w:rFonts w:hint="eastAsia"/>
              </w:rPr>
              <w:t>社会效益（11分）</w:t>
            </w:r>
          </w:p>
        </w:tc>
        <w:tc>
          <w:tcPr>
            <w:tcW w:w="1798" w:type="dxa"/>
            <w:tcBorders>
              <w:top w:val="single" w:color="auto" w:sz="4" w:space="0"/>
              <w:left w:val="nil"/>
              <w:bottom w:val="single" w:color="auto" w:sz="4" w:space="0"/>
              <w:right w:val="single" w:color="auto" w:sz="4" w:space="0"/>
            </w:tcBorders>
            <w:shd w:val="clear" w:color="auto" w:fill="auto"/>
            <w:vAlign w:val="center"/>
          </w:tcPr>
          <w:p w14:paraId="2A703DA8">
            <w:r>
              <w:rPr>
                <w:rFonts w:hint="eastAsia"/>
              </w:rPr>
              <w:t>示范村面貌体现方面数</w:t>
            </w:r>
          </w:p>
        </w:tc>
        <w:tc>
          <w:tcPr>
            <w:tcW w:w="4574" w:type="dxa"/>
            <w:tcBorders>
              <w:top w:val="single" w:color="auto" w:sz="4" w:space="0"/>
              <w:left w:val="nil"/>
              <w:bottom w:val="single" w:color="auto" w:sz="4" w:space="0"/>
              <w:right w:val="single" w:color="auto" w:sz="4" w:space="0"/>
            </w:tcBorders>
            <w:shd w:val="clear" w:color="auto" w:fill="auto"/>
            <w:vAlign w:val="center"/>
          </w:tcPr>
          <w:p w14:paraId="77C0E5BF">
            <w:r>
              <w:rPr>
                <w:rFonts w:hint="eastAsia"/>
              </w:rPr>
              <w:t>考查示范村面貌改变所体现的方面数。</w:t>
            </w:r>
          </w:p>
        </w:tc>
        <w:tc>
          <w:tcPr>
            <w:tcW w:w="4556" w:type="dxa"/>
            <w:tcBorders>
              <w:top w:val="single" w:color="auto" w:sz="4" w:space="0"/>
              <w:left w:val="nil"/>
              <w:bottom w:val="single" w:color="auto" w:sz="4" w:space="0"/>
              <w:right w:val="nil"/>
            </w:tcBorders>
            <w:shd w:val="clear" w:color="auto" w:fill="auto"/>
            <w:vAlign w:val="center"/>
          </w:tcPr>
          <w:p w14:paraId="695C2376">
            <w:r>
              <w:rPr>
                <w:rFonts w:hint="eastAsia"/>
              </w:rPr>
              <w:t>满分1分，按“产业兴旺、生态宜居、乡风文明、治理有效、生活富裕”方面数体现，没有体现1方面扣0.2分，直至扣完为止.</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12EAC">
            <w:r>
              <w:rPr>
                <w:rFonts w:hint="eastAsia"/>
              </w:rPr>
              <w:t>1</w:t>
            </w:r>
          </w:p>
        </w:tc>
      </w:tr>
      <w:tr w14:paraId="21D6EDBF">
        <w:tblPrEx>
          <w:tblCellMar>
            <w:top w:w="0" w:type="dxa"/>
            <w:left w:w="108" w:type="dxa"/>
            <w:bottom w:w="0" w:type="dxa"/>
            <w:right w:w="108" w:type="dxa"/>
          </w:tblCellMar>
        </w:tblPrEx>
        <w:trPr>
          <w:trHeight w:val="78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33C30540"/>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00E8CBE0"/>
        </w:tc>
        <w:tc>
          <w:tcPr>
            <w:tcW w:w="1798" w:type="dxa"/>
            <w:tcBorders>
              <w:top w:val="single" w:color="auto" w:sz="4" w:space="0"/>
              <w:left w:val="nil"/>
              <w:bottom w:val="single" w:color="auto" w:sz="4" w:space="0"/>
              <w:right w:val="single" w:color="auto" w:sz="4" w:space="0"/>
            </w:tcBorders>
            <w:shd w:val="clear" w:color="auto" w:fill="auto"/>
            <w:vAlign w:val="center"/>
          </w:tcPr>
          <w:p w14:paraId="6901244F">
            <w:r>
              <w:rPr>
                <w:rFonts w:hint="eastAsia"/>
              </w:rPr>
              <w:t>县级及以上文明村占比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7E7B184D">
            <w:r>
              <w:rPr>
                <w:rFonts w:hint="eastAsia"/>
              </w:rPr>
              <w:t>考查省级乡村振兴试点村、实绩突出村县级及以上文明村占比。</w:t>
            </w:r>
          </w:p>
        </w:tc>
        <w:tc>
          <w:tcPr>
            <w:tcW w:w="4556" w:type="dxa"/>
            <w:tcBorders>
              <w:top w:val="single" w:color="auto" w:sz="4" w:space="0"/>
              <w:left w:val="nil"/>
              <w:bottom w:val="single" w:color="auto" w:sz="4" w:space="0"/>
              <w:right w:val="nil"/>
            </w:tcBorders>
            <w:shd w:val="clear" w:color="auto" w:fill="auto"/>
            <w:vAlign w:val="center"/>
          </w:tcPr>
          <w:p w14:paraId="1829B8AF">
            <w:r>
              <w:rPr>
                <w:rFonts w:hint="eastAsia"/>
              </w:rPr>
              <w:t>满分1分，目标比例在60%以上，达到60%得满分，未达到按比例得分。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23CE8">
            <w:r>
              <w:rPr>
                <w:rFonts w:hint="eastAsia"/>
              </w:rPr>
              <w:t>1</w:t>
            </w:r>
          </w:p>
        </w:tc>
      </w:tr>
      <w:tr w14:paraId="482AE297">
        <w:tblPrEx>
          <w:tblCellMar>
            <w:top w:w="0" w:type="dxa"/>
            <w:left w:w="108" w:type="dxa"/>
            <w:bottom w:w="0" w:type="dxa"/>
            <w:right w:w="108" w:type="dxa"/>
          </w:tblCellMar>
        </w:tblPrEx>
        <w:trPr>
          <w:trHeight w:val="73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675D34A9"/>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4A953D97"/>
        </w:tc>
        <w:tc>
          <w:tcPr>
            <w:tcW w:w="1798" w:type="dxa"/>
            <w:tcBorders>
              <w:top w:val="single" w:color="auto" w:sz="4" w:space="0"/>
              <w:left w:val="nil"/>
              <w:bottom w:val="single" w:color="auto" w:sz="4" w:space="0"/>
              <w:right w:val="single" w:color="auto" w:sz="4" w:space="0"/>
            </w:tcBorders>
            <w:shd w:val="clear" w:color="auto" w:fill="auto"/>
            <w:vAlign w:val="center"/>
          </w:tcPr>
          <w:p w14:paraId="6E86A9F8">
            <w:r>
              <w:rPr>
                <w:rFonts w:hint="eastAsia"/>
              </w:rPr>
              <w:t>移风易俗无违规案例村占比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614F4135">
            <w:r>
              <w:rPr>
                <w:rFonts w:hint="eastAsia"/>
              </w:rPr>
              <w:t>考查省级乡村振兴试点村、实绩突出村移风易俗无违规案例村占比。</w:t>
            </w:r>
          </w:p>
        </w:tc>
        <w:tc>
          <w:tcPr>
            <w:tcW w:w="4556" w:type="dxa"/>
            <w:tcBorders>
              <w:top w:val="single" w:color="auto" w:sz="4" w:space="0"/>
              <w:left w:val="nil"/>
              <w:bottom w:val="single" w:color="auto" w:sz="4" w:space="0"/>
              <w:right w:val="nil"/>
            </w:tcBorders>
            <w:shd w:val="clear" w:color="auto" w:fill="auto"/>
            <w:vAlign w:val="center"/>
          </w:tcPr>
          <w:p w14:paraId="4EFC6A07">
            <w:r>
              <w:rPr>
                <w:rFonts w:hint="eastAsia"/>
              </w:rPr>
              <w:t>满分1分，目标比例在90%以上，达到90%得满分，未达到按比例得分。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824CB">
            <w:r>
              <w:rPr>
                <w:rFonts w:hint="eastAsia"/>
              </w:rPr>
              <w:t>1</w:t>
            </w:r>
          </w:p>
        </w:tc>
      </w:tr>
      <w:tr w14:paraId="6215AF71">
        <w:tblPrEx>
          <w:tblCellMar>
            <w:top w:w="0" w:type="dxa"/>
            <w:left w:w="108" w:type="dxa"/>
            <w:bottom w:w="0" w:type="dxa"/>
            <w:right w:w="108" w:type="dxa"/>
          </w:tblCellMar>
        </w:tblPrEx>
        <w:trPr>
          <w:trHeight w:val="79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05F6818F"/>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1C3C50CF"/>
        </w:tc>
        <w:tc>
          <w:tcPr>
            <w:tcW w:w="1798" w:type="dxa"/>
            <w:tcBorders>
              <w:top w:val="single" w:color="auto" w:sz="4" w:space="0"/>
              <w:left w:val="nil"/>
              <w:bottom w:val="single" w:color="auto" w:sz="4" w:space="0"/>
              <w:right w:val="single" w:color="auto" w:sz="4" w:space="0"/>
            </w:tcBorders>
            <w:shd w:val="clear" w:color="auto" w:fill="auto"/>
            <w:vAlign w:val="center"/>
          </w:tcPr>
          <w:p w14:paraId="262C9B51">
            <w:r>
              <w:rPr>
                <w:rFonts w:hint="eastAsia"/>
              </w:rPr>
              <w:t>村综合性文化服务场所覆盖率</w:t>
            </w:r>
          </w:p>
        </w:tc>
        <w:tc>
          <w:tcPr>
            <w:tcW w:w="4574" w:type="dxa"/>
            <w:tcBorders>
              <w:top w:val="single" w:color="auto" w:sz="4" w:space="0"/>
              <w:left w:val="nil"/>
              <w:bottom w:val="single" w:color="auto" w:sz="4" w:space="0"/>
              <w:right w:val="single" w:color="auto" w:sz="4" w:space="0"/>
            </w:tcBorders>
            <w:shd w:val="clear" w:color="auto" w:fill="auto"/>
            <w:vAlign w:val="center"/>
          </w:tcPr>
          <w:p w14:paraId="29F7299B">
            <w:r>
              <w:rPr>
                <w:rFonts w:hint="eastAsia"/>
              </w:rPr>
              <w:t>考查省级乡村振兴试点村、实绩突出村村综合性文化服务场所覆盖率。</w:t>
            </w:r>
          </w:p>
        </w:tc>
        <w:tc>
          <w:tcPr>
            <w:tcW w:w="4556" w:type="dxa"/>
            <w:tcBorders>
              <w:top w:val="single" w:color="auto" w:sz="4" w:space="0"/>
              <w:left w:val="nil"/>
              <w:bottom w:val="single" w:color="auto" w:sz="4" w:space="0"/>
              <w:right w:val="nil"/>
            </w:tcBorders>
            <w:shd w:val="clear" w:color="auto" w:fill="auto"/>
            <w:vAlign w:val="center"/>
          </w:tcPr>
          <w:p w14:paraId="225A55BB">
            <w:r>
              <w:rPr>
                <w:rFonts w:hint="eastAsia"/>
              </w:rPr>
              <w:t>满分1分，目标比例在98%以上，达到98%得满分，未达到按比例得分。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CE595">
            <w:r>
              <w:rPr>
                <w:rFonts w:hint="eastAsia"/>
              </w:rPr>
              <w:t>1</w:t>
            </w:r>
          </w:p>
        </w:tc>
      </w:tr>
      <w:tr w14:paraId="2908382B">
        <w:tblPrEx>
          <w:tblCellMar>
            <w:top w:w="0" w:type="dxa"/>
            <w:left w:w="108" w:type="dxa"/>
            <w:bottom w:w="0" w:type="dxa"/>
            <w:right w:w="108" w:type="dxa"/>
          </w:tblCellMar>
        </w:tblPrEx>
        <w:trPr>
          <w:trHeight w:val="87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4ADED695"/>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30770449"/>
        </w:tc>
        <w:tc>
          <w:tcPr>
            <w:tcW w:w="1798" w:type="dxa"/>
            <w:tcBorders>
              <w:top w:val="single" w:color="auto" w:sz="4" w:space="0"/>
              <w:left w:val="nil"/>
              <w:bottom w:val="single" w:color="auto" w:sz="4" w:space="0"/>
              <w:right w:val="single" w:color="auto" w:sz="4" w:space="0"/>
            </w:tcBorders>
            <w:shd w:val="clear" w:color="auto" w:fill="auto"/>
            <w:vAlign w:val="center"/>
          </w:tcPr>
          <w:p w14:paraId="587615CC">
            <w:r>
              <w:rPr>
                <w:rFonts w:hint="eastAsia"/>
              </w:rPr>
              <w:t>开展乡村特色文化保护传承的村占比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4C5935C7">
            <w:r>
              <w:rPr>
                <w:rFonts w:hint="eastAsia"/>
              </w:rPr>
              <w:t>考查省级乡村振兴试点村、实绩突出村开展乡村特色文化保护传承的村占比。</w:t>
            </w:r>
          </w:p>
        </w:tc>
        <w:tc>
          <w:tcPr>
            <w:tcW w:w="4556" w:type="dxa"/>
            <w:tcBorders>
              <w:top w:val="single" w:color="auto" w:sz="4" w:space="0"/>
              <w:left w:val="nil"/>
              <w:bottom w:val="single" w:color="auto" w:sz="4" w:space="0"/>
              <w:right w:val="nil"/>
            </w:tcBorders>
            <w:shd w:val="clear" w:color="auto" w:fill="auto"/>
            <w:vAlign w:val="center"/>
          </w:tcPr>
          <w:p w14:paraId="4DD4F8D3">
            <w:r>
              <w:rPr>
                <w:rFonts w:hint="eastAsia"/>
              </w:rPr>
              <w:t>满分1分，目标比例在80%以上，达到80%得满分，未达到按比例得分。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E44C3">
            <w:r>
              <w:rPr>
                <w:rFonts w:hint="eastAsia"/>
              </w:rPr>
              <w:t>1</w:t>
            </w:r>
          </w:p>
        </w:tc>
      </w:tr>
      <w:tr w14:paraId="4E9DE34F">
        <w:tblPrEx>
          <w:tblCellMar>
            <w:top w:w="0" w:type="dxa"/>
            <w:left w:w="108" w:type="dxa"/>
            <w:bottom w:w="0" w:type="dxa"/>
            <w:right w:w="108" w:type="dxa"/>
          </w:tblCellMar>
        </w:tblPrEx>
        <w:trPr>
          <w:trHeight w:val="79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65D99916"/>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20F16338"/>
        </w:tc>
        <w:tc>
          <w:tcPr>
            <w:tcW w:w="1798" w:type="dxa"/>
            <w:tcBorders>
              <w:top w:val="single" w:color="auto" w:sz="4" w:space="0"/>
              <w:left w:val="nil"/>
              <w:bottom w:val="single" w:color="auto" w:sz="4" w:space="0"/>
              <w:right w:val="single" w:color="auto" w:sz="4" w:space="0"/>
            </w:tcBorders>
            <w:shd w:val="clear" w:color="auto" w:fill="auto"/>
            <w:vAlign w:val="center"/>
          </w:tcPr>
          <w:p w14:paraId="2F4DC1BA">
            <w:r>
              <w:rPr>
                <w:rFonts w:hint="eastAsia"/>
              </w:rPr>
              <w:t>建有便民服务场所的村占比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1AD0F0EB">
            <w:r>
              <w:rPr>
                <w:rFonts w:hint="eastAsia"/>
              </w:rPr>
              <w:t>考查省级乡村振兴试点村、实绩突出村建有便民服务场所的村占比。</w:t>
            </w:r>
          </w:p>
        </w:tc>
        <w:tc>
          <w:tcPr>
            <w:tcW w:w="4556" w:type="dxa"/>
            <w:tcBorders>
              <w:top w:val="single" w:color="auto" w:sz="4" w:space="0"/>
              <w:left w:val="nil"/>
              <w:bottom w:val="single" w:color="auto" w:sz="4" w:space="0"/>
              <w:right w:val="nil"/>
            </w:tcBorders>
            <w:shd w:val="clear" w:color="auto" w:fill="auto"/>
            <w:vAlign w:val="center"/>
          </w:tcPr>
          <w:p w14:paraId="3F756F35">
            <w:r>
              <w:rPr>
                <w:rFonts w:hint="eastAsia"/>
              </w:rPr>
              <w:t>满分1分，目标比例100%，达到100%得满分，未达到按比例得分。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EE546">
            <w:r>
              <w:rPr>
                <w:rFonts w:hint="eastAsia"/>
              </w:rPr>
              <w:t>1</w:t>
            </w:r>
          </w:p>
        </w:tc>
      </w:tr>
      <w:tr w14:paraId="6C46701F">
        <w:tblPrEx>
          <w:tblCellMar>
            <w:top w:w="0" w:type="dxa"/>
            <w:left w:w="108" w:type="dxa"/>
            <w:bottom w:w="0" w:type="dxa"/>
            <w:right w:w="108" w:type="dxa"/>
          </w:tblCellMar>
        </w:tblPrEx>
        <w:trPr>
          <w:trHeight w:val="79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1E379D90"/>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0CD2599F"/>
        </w:tc>
        <w:tc>
          <w:tcPr>
            <w:tcW w:w="1798" w:type="dxa"/>
            <w:tcBorders>
              <w:top w:val="single" w:color="auto" w:sz="4" w:space="0"/>
              <w:left w:val="nil"/>
              <w:bottom w:val="single" w:color="auto" w:sz="4" w:space="0"/>
              <w:right w:val="single" w:color="auto" w:sz="4" w:space="0"/>
            </w:tcBorders>
            <w:shd w:val="clear" w:color="auto" w:fill="auto"/>
            <w:vAlign w:val="center"/>
          </w:tcPr>
          <w:p w14:paraId="349C3607">
            <w:r>
              <w:rPr>
                <w:rFonts w:hint="eastAsia"/>
              </w:rPr>
              <w:t>实现一村一法律顾问的村占比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6B270115">
            <w:r>
              <w:rPr>
                <w:rFonts w:hint="eastAsia"/>
              </w:rPr>
              <w:t>考查省级乡村振兴试点村、实绩突出村实现一村一法律顾问的村占比。</w:t>
            </w:r>
          </w:p>
        </w:tc>
        <w:tc>
          <w:tcPr>
            <w:tcW w:w="4556" w:type="dxa"/>
            <w:tcBorders>
              <w:top w:val="single" w:color="auto" w:sz="4" w:space="0"/>
              <w:left w:val="nil"/>
              <w:bottom w:val="single" w:color="auto" w:sz="4" w:space="0"/>
              <w:right w:val="nil"/>
            </w:tcBorders>
            <w:shd w:val="clear" w:color="auto" w:fill="auto"/>
            <w:vAlign w:val="center"/>
          </w:tcPr>
          <w:p w14:paraId="21525F84">
            <w:r>
              <w:rPr>
                <w:rFonts w:hint="eastAsia"/>
              </w:rPr>
              <w:t>满分1分，目标比例100%，达到100%得满分，未达到按比例得分。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3B2ED">
            <w:r>
              <w:rPr>
                <w:rFonts w:hint="eastAsia"/>
              </w:rPr>
              <w:t>1</w:t>
            </w:r>
          </w:p>
        </w:tc>
      </w:tr>
      <w:tr w14:paraId="26B6CC34">
        <w:tblPrEx>
          <w:tblCellMar>
            <w:top w:w="0" w:type="dxa"/>
            <w:left w:w="108" w:type="dxa"/>
            <w:bottom w:w="0" w:type="dxa"/>
            <w:right w:w="108" w:type="dxa"/>
          </w:tblCellMar>
        </w:tblPrEx>
        <w:trPr>
          <w:trHeight w:val="93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5A683E55"/>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7490D78E"/>
        </w:tc>
        <w:tc>
          <w:tcPr>
            <w:tcW w:w="1798" w:type="dxa"/>
            <w:tcBorders>
              <w:top w:val="single" w:color="auto" w:sz="4" w:space="0"/>
              <w:left w:val="nil"/>
              <w:bottom w:val="single" w:color="auto" w:sz="4" w:space="0"/>
              <w:right w:val="single" w:color="auto" w:sz="4" w:space="0"/>
            </w:tcBorders>
            <w:shd w:val="clear" w:color="auto" w:fill="auto"/>
            <w:vAlign w:val="center"/>
          </w:tcPr>
          <w:p w14:paraId="0F4F52B2">
            <w:r>
              <w:rPr>
                <w:rFonts w:hint="eastAsia"/>
              </w:rPr>
              <w:t>矛盾纠纷排查化解率达90%以上的村占比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21CFB79E">
            <w:r>
              <w:rPr>
                <w:rFonts w:hint="eastAsia"/>
              </w:rPr>
              <w:t>考查省级乡村振兴试点村、实绩突出村矛盾纠纷排查化解率达90%以上的村占比。</w:t>
            </w:r>
          </w:p>
        </w:tc>
        <w:tc>
          <w:tcPr>
            <w:tcW w:w="4556" w:type="dxa"/>
            <w:tcBorders>
              <w:top w:val="single" w:color="auto" w:sz="4" w:space="0"/>
              <w:left w:val="nil"/>
              <w:bottom w:val="single" w:color="auto" w:sz="4" w:space="0"/>
              <w:right w:val="nil"/>
            </w:tcBorders>
            <w:shd w:val="clear" w:color="auto" w:fill="auto"/>
            <w:vAlign w:val="center"/>
          </w:tcPr>
          <w:p w14:paraId="097BBA40">
            <w:r>
              <w:rPr>
                <w:rFonts w:hint="eastAsia"/>
              </w:rPr>
              <w:t>满分1分，目标比例100%，达到100%得满分，未达到按比例得分。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9797A">
            <w:r>
              <w:rPr>
                <w:rFonts w:hint="eastAsia"/>
              </w:rPr>
              <w:t>1</w:t>
            </w:r>
          </w:p>
        </w:tc>
      </w:tr>
      <w:tr w14:paraId="5D27A893">
        <w:tblPrEx>
          <w:tblCellMar>
            <w:top w:w="0" w:type="dxa"/>
            <w:left w:w="108" w:type="dxa"/>
            <w:bottom w:w="0" w:type="dxa"/>
            <w:right w:w="108" w:type="dxa"/>
          </w:tblCellMar>
        </w:tblPrEx>
        <w:trPr>
          <w:trHeight w:val="90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1AC1A2F9"/>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74794F62"/>
        </w:tc>
        <w:tc>
          <w:tcPr>
            <w:tcW w:w="1798" w:type="dxa"/>
            <w:tcBorders>
              <w:top w:val="single" w:color="auto" w:sz="4" w:space="0"/>
              <w:left w:val="nil"/>
              <w:bottom w:val="single" w:color="auto" w:sz="4" w:space="0"/>
              <w:right w:val="single" w:color="auto" w:sz="4" w:space="0"/>
            </w:tcBorders>
            <w:shd w:val="clear" w:color="auto" w:fill="auto"/>
            <w:vAlign w:val="center"/>
          </w:tcPr>
          <w:p w14:paraId="39CB1AAB">
            <w:r>
              <w:rPr>
                <w:rFonts w:hint="eastAsia"/>
              </w:rPr>
              <w:t>农村自来水普及率达100%的村占比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0052F671">
            <w:r>
              <w:rPr>
                <w:rFonts w:hint="eastAsia"/>
              </w:rPr>
              <w:t>考查省级乡村振兴试点村、实绩突出村农村自来水普及率达100%的村占比。</w:t>
            </w:r>
          </w:p>
        </w:tc>
        <w:tc>
          <w:tcPr>
            <w:tcW w:w="4556" w:type="dxa"/>
            <w:tcBorders>
              <w:top w:val="single" w:color="auto" w:sz="4" w:space="0"/>
              <w:left w:val="nil"/>
              <w:bottom w:val="single" w:color="auto" w:sz="4" w:space="0"/>
              <w:right w:val="nil"/>
            </w:tcBorders>
            <w:shd w:val="clear" w:color="auto" w:fill="auto"/>
            <w:vAlign w:val="center"/>
          </w:tcPr>
          <w:p w14:paraId="421403CE">
            <w:r>
              <w:rPr>
                <w:rFonts w:hint="eastAsia"/>
              </w:rPr>
              <w:t>满分1分，目标比例在90%以上，达到90%得满分，未达到按比例得分。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1BE1E">
            <w:r>
              <w:rPr>
                <w:rFonts w:hint="eastAsia"/>
              </w:rPr>
              <w:t>1</w:t>
            </w:r>
          </w:p>
        </w:tc>
      </w:tr>
      <w:tr w14:paraId="00EAA0D5">
        <w:tblPrEx>
          <w:tblCellMar>
            <w:top w:w="0" w:type="dxa"/>
            <w:left w:w="108" w:type="dxa"/>
            <w:bottom w:w="0" w:type="dxa"/>
            <w:right w:w="108" w:type="dxa"/>
          </w:tblCellMar>
        </w:tblPrEx>
        <w:trPr>
          <w:trHeight w:val="94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62AB043D"/>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67CD148E"/>
        </w:tc>
        <w:tc>
          <w:tcPr>
            <w:tcW w:w="1798" w:type="dxa"/>
            <w:tcBorders>
              <w:top w:val="single" w:color="auto" w:sz="4" w:space="0"/>
              <w:left w:val="nil"/>
              <w:bottom w:val="single" w:color="auto" w:sz="4" w:space="0"/>
              <w:right w:val="single" w:color="auto" w:sz="4" w:space="0"/>
            </w:tcBorders>
            <w:shd w:val="clear" w:color="auto" w:fill="auto"/>
            <w:vAlign w:val="center"/>
          </w:tcPr>
          <w:p w14:paraId="3F169C43">
            <w:r>
              <w:rPr>
                <w:rFonts w:hint="eastAsia"/>
              </w:rPr>
              <w:t>实现标准化村卫生所覆盖的村占比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7E2ABA0F">
            <w:r>
              <w:rPr>
                <w:rFonts w:hint="eastAsia"/>
              </w:rPr>
              <w:t>考查省级乡村振兴试点村、实绩突出村实现标准化村卫生所覆盖的村占比。</w:t>
            </w:r>
          </w:p>
        </w:tc>
        <w:tc>
          <w:tcPr>
            <w:tcW w:w="4556" w:type="dxa"/>
            <w:tcBorders>
              <w:top w:val="single" w:color="auto" w:sz="4" w:space="0"/>
              <w:left w:val="nil"/>
              <w:bottom w:val="single" w:color="auto" w:sz="4" w:space="0"/>
              <w:right w:val="nil"/>
            </w:tcBorders>
            <w:shd w:val="clear" w:color="auto" w:fill="auto"/>
            <w:vAlign w:val="center"/>
          </w:tcPr>
          <w:p w14:paraId="2BC8DA4D">
            <w:r>
              <w:rPr>
                <w:rFonts w:hint="eastAsia"/>
              </w:rPr>
              <w:t>满分1分，目标比例在80%以上，达到80%得满分，未达到按比例得分。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2C6C2">
            <w:r>
              <w:rPr>
                <w:rFonts w:hint="eastAsia"/>
              </w:rPr>
              <w:t>1</w:t>
            </w:r>
          </w:p>
        </w:tc>
      </w:tr>
      <w:tr w14:paraId="5D766B6C">
        <w:tblPrEx>
          <w:tblCellMar>
            <w:top w:w="0" w:type="dxa"/>
            <w:left w:w="108" w:type="dxa"/>
            <w:bottom w:w="0" w:type="dxa"/>
            <w:right w:w="108" w:type="dxa"/>
          </w:tblCellMar>
        </w:tblPrEx>
        <w:trPr>
          <w:trHeight w:val="102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184A0C03"/>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2CF7B8D1"/>
        </w:tc>
        <w:tc>
          <w:tcPr>
            <w:tcW w:w="1798" w:type="dxa"/>
            <w:tcBorders>
              <w:top w:val="single" w:color="auto" w:sz="4" w:space="0"/>
              <w:left w:val="nil"/>
              <w:bottom w:val="single" w:color="auto" w:sz="4" w:space="0"/>
              <w:right w:val="single" w:color="auto" w:sz="4" w:space="0"/>
            </w:tcBorders>
            <w:shd w:val="clear" w:color="auto" w:fill="auto"/>
            <w:vAlign w:val="center"/>
          </w:tcPr>
          <w:p w14:paraId="6AA75A37">
            <w:r>
              <w:rPr>
                <w:rFonts w:hint="eastAsia"/>
              </w:rPr>
              <w:t>无发生资金使用违规违纪问题的村占比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67756AFE">
            <w:r>
              <w:rPr>
                <w:rFonts w:hint="eastAsia"/>
              </w:rPr>
              <w:t>考查省级乡村振兴试点村、实绩突出村无发生资金使用违规违纪问题的村占比。</w:t>
            </w:r>
          </w:p>
        </w:tc>
        <w:tc>
          <w:tcPr>
            <w:tcW w:w="4556" w:type="dxa"/>
            <w:tcBorders>
              <w:top w:val="single" w:color="auto" w:sz="4" w:space="0"/>
              <w:left w:val="nil"/>
              <w:bottom w:val="single" w:color="auto" w:sz="4" w:space="0"/>
              <w:right w:val="nil"/>
            </w:tcBorders>
            <w:shd w:val="clear" w:color="auto" w:fill="auto"/>
            <w:vAlign w:val="center"/>
          </w:tcPr>
          <w:p w14:paraId="0B5E8E50">
            <w:r>
              <w:rPr>
                <w:rFonts w:hint="eastAsia"/>
              </w:rPr>
              <w:t>满分1分，目标比例100%，达到100%得满分，未达到按比例得分。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02731">
            <w:r>
              <w:rPr>
                <w:rFonts w:hint="eastAsia"/>
              </w:rPr>
              <w:t>1</w:t>
            </w:r>
          </w:p>
        </w:tc>
      </w:tr>
      <w:tr w14:paraId="1A45159D">
        <w:tblPrEx>
          <w:tblCellMar>
            <w:top w:w="0" w:type="dxa"/>
            <w:left w:w="108" w:type="dxa"/>
            <w:bottom w:w="0" w:type="dxa"/>
            <w:right w:w="108" w:type="dxa"/>
          </w:tblCellMar>
        </w:tblPrEx>
        <w:trPr>
          <w:trHeight w:val="97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48689F19"/>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0F5D20">
            <w:r>
              <w:rPr>
                <w:rFonts w:hint="eastAsia"/>
              </w:rPr>
              <w:t>生态效益（8分）</w:t>
            </w:r>
          </w:p>
        </w:tc>
        <w:tc>
          <w:tcPr>
            <w:tcW w:w="1798" w:type="dxa"/>
            <w:tcBorders>
              <w:top w:val="single" w:color="auto" w:sz="4" w:space="0"/>
              <w:left w:val="nil"/>
              <w:bottom w:val="single" w:color="auto" w:sz="4" w:space="0"/>
              <w:right w:val="single" w:color="auto" w:sz="4" w:space="0"/>
            </w:tcBorders>
            <w:shd w:val="clear" w:color="auto" w:fill="auto"/>
            <w:vAlign w:val="center"/>
          </w:tcPr>
          <w:p w14:paraId="35DB7A73">
            <w:r>
              <w:rPr>
                <w:rFonts w:hint="eastAsia"/>
              </w:rPr>
              <w:t>完成“一革命四行动任务”的村占比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1AD9F9D4">
            <w:r>
              <w:rPr>
                <w:rFonts w:hint="eastAsia"/>
              </w:rPr>
              <w:t>考查省级乡村振兴试点村、实绩突出村完成“一革命四行动任务”的村占比。</w:t>
            </w:r>
          </w:p>
        </w:tc>
        <w:tc>
          <w:tcPr>
            <w:tcW w:w="4556" w:type="dxa"/>
            <w:tcBorders>
              <w:top w:val="single" w:color="auto" w:sz="4" w:space="0"/>
              <w:left w:val="nil"/>
              <w:bottom w:val="single" w:color="auto" w:sz="4" w:space="0"/>
              <w:right w:val="nil"/>
            </w:tcBorders>
            <w:shd w:val="clear" w:color="auto" w:fill="auto"/>
            <w:vAlign w:val="center"/>
          </w:tcPr>
          <w:p w14:paraId="3009E840">
            <w:r>
              <w:rPr>
                <w:rFonts w:hint="eastAsia"/>
              </w:rPr>
              <w:t>满分2分，目标比例100%，达到100%得满分，未达到按比例得分。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C69D4">
            <w:r>
              <w:rPr>
                <w:rFonts w:hint="eastAsia"/>
              </w:rPr>
              <w:t>2</w:t>
            </w:r>
          </w:p>
        </w:tc>
      </w:tr>
      <w:tr w14:paraId="441F4393">
        <w:tblPrEx>
          <w:tblCellMar>
            <w:top w:w="0" w:type="dxa"/>
            <w:left w:w="108" w:type="dxa"/>
            <w:bottom w:w="0" w:type="dxa"/>
            <w:right w:w="108" w:type="dxa"/>
          </w:tblCellMar>
        </w:tblPrEx>
        <w:trPr>
          <w:trHeight w:val="85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43817E0E"/>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383E83F5"/>
        </w:tc>
        <w:tc>
          <w:tcPr>
            <w:tcW w:w="1798" w:type="dxa"/>
            <w:tcBorders>
              <w:top w:val="single" w:color="auto" w:sz="4" w:space="0"/>
              <w:left w:val="nil"/>
              <w:bottom w:val="single" w:color="auto" w:sz="4" w:space="0"/>
              <w:right w:val="single" w:color="auto" w:sz="4" w:space="0"/>
            </w:tcBorders>
            <w:shd w:val="clear" w:color="auto" w:fill="auto"/>
            <w:vAlign w:val="center"/>
          </w:tcPr>
          <w:p w14:paraId="2973F7C8">
            <w:r>
              <w:rPr>
                <w:rFonts w:hint="eastAsia"/>
              </w:rPr>
              <w:t>中级版以上“绿盈乡村”占比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40B5E28A">
            <w:r>
              <w:rPr>
                <w:rFonts w:hint="eastAsia"/>
              </w:rPr>
              <w:t>考查省级乡村振兴试点村、实绩突出村中级版以上“绿盈乡村”占比。</w:t>
            </w:r>
          </w:p>
        </w:tc>
        <w:tc>
          <w:tcPr>
            <w:tcW w:w="4556" w:type="dxa"/>
            <w:tcBorders>
              <w:top w:val="single" w:color="auto" w:sz="4" w:space="0"/>
              <w:left w:val="nil"/>
              <w:bottom w:val="single" w:color="auto" w:sz="4" w:space="0"/>
              <w:right w:val="nil"/>
            </w:tcBorders>
            <w:shd w:val="clear" w:color="auto" w:fill="auto"/>
            <w:vAlign w:val="center"/>
          </w:tcPr>
          <w:p w14:paraId="67ADC470">
            <w:r>
              <w:rPr>
                <w:rFonts w:hint="eastAsia"/>
              </w:rPr>
              <w:t>满分2分，目标比例在50%以上，达到50%得满分，未达到按比例得分。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04C0E">
            <w:r>
              <w:rPr>
                <w:rFonts w:hint="eastAsia"/>
              </w:rPr>
              <w:t>2</w:t>
            </w:r>
          </w:p>
        </w:tc>
      </w:tr>
      <w:tr w14:paraId="64F7D49E">
        <w:tblPrEx>
          <w:tblCellMar>
            <w:top w:w="0" w:type="dxa"/>
            <w:left w:w="108" w:type="dxa"/>
            <w:bottom w:w="0" w:type="dxa"/>
            <w:right w:w="108" w:type="dxa"/>
          </w:tblCellMar>
        </w:tblPrEx>
        <w:trPr>
          <w:trHeight w:val="96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133F4F1C"/>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7B3D93EB"/>
        </w:tc>
        <w:tc>
          <w:tcPr>
            <w:tcW w:w="1798" w:type="dxa"/>
            <w:tcBorders>
              <w:top w:val="single" w:color="auto" w:sz="4" w:space="0"/>
              <w:left w:val="nil"/>
              <w:bottom w:val="single" w:color="auto" w:sz="4" w:space="0"/>
              <w:right w:val="single" w:color="auto" w:sz="4" w:space="0"/>
            </w:tcBorders>
            <w:shd w:val="clear" w:color="auto" w:fill="auto"/>
            <w:vAlign w:val="center"/>
          </w:tcPr>
          <w:p w14:paraId="5142DAF7">
            <w:r>
              <w:rPr>
                <w:rFonts w:hint="eastAsia"/>
              </w:rPr>
              <w:t>无发生重大生态环境污染问题的村占比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50B79BD2">
            <w:r>
              <w:rPr>
                <w:rFonts w:hint="eastAsia"/>
              </w:rPr>
              <w:t>考查省级乡村振兴试点村、实绩突出村无发生重大生态环境污染问题的村占比。</w:t>
            </w:r>
          </w:p>
        </w:tc>
        <w:tc>
          <w:tcPr>
            <w:tcW w:w="4556" w:type="dxa"/>
            <w:tcBorders>
              <w:top w:val="single" w:color="auto" w:sz="4" w:space="0"/>
              <w:left w:val="nil"/>
              <w:bottom w:val="single" w:color="auto" w:sz="4" w:space="0"/>
              <w:right w:val="nil"/>
            </w:tcBorders>
            <w:shd w:val="clear" w:color="auto" w:fill="auto"/>
            <w:vAlign w:val="center"/>
          </w:tcPr>
          <w:p w14:paraId="1FFC3AE4">
            <w:r>
              <w:rPr>
                <w:rFonts w:hint="eastAsia"/>
              </w:rPr>
              <w:t>满分2分，目标比例100%，达到100%得满分，未达到按比例得分。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C41AB">
            <w:r>
              <w:rPr>
                <w:rFonts w:hint="eastAsia"/>
              </w:rPr>
              <w:t>2</w:t>
            </w:r>
          </w:p>
        </w:tc>
      </w:tr>
      <w:tr w14:paraId="736D75DD">
        <w:tblPrEx>
          <w:tblCellMar>
            <w:top w:w="0" w:type="dxa"/>
            <w:left w:w="108" w:type="dxa"/>
            <w:bottom w:w="0" w:type="dxa"/>
            <w:right w:w="108" w:type="dxa"/>
          </w:tblCellMar>
        </w:tblPrEx>
        <w:trPr>
          <w:trHeight w:val="87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15DE8C84"/>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11FFC9AB"/>
        </w:tc>
        <w:tc>
          <w:tcPr>
            <w:tcW w:w="1798" w:type="dxa"/>
            <w:tcBorders>
              <w:top w:val="single" w:color="auto" w:sz="4" w:space="0"/>
              <w:left w:val="nil"/>
              <w:bottom w:val="single" w:color="auto" w:sz="4" w:space="0"/>
              <w:right w:val="single" w:color="auto" w:sz="4" w:space="0"/>
            </w:tcBorders>
            <w:shd w:val="clear" w:color="auto" w:fill="auto"/>
            <w:vAlign w:val="center"/>
          </w:tcPr>
          <w:p w14:paraId="350F9F5C">
            <w:r>
              <w:rPr>
                <w:rFonts w:hint="eastAsia"/>
              </w:rPr>
              <w:t>开展村庄美化绿化的村占比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57F71714">
            <w:r>
              <w:rPr>
                <w:rFonts w:hint="eastAsia"/>
              </w:rPr>
              <w:t>考查省级乡村振兴试点村、实绩突出村开展村庄美化绿化的村占比。</w:t>
            </w:r>
          </w:p>
        </w:tc>
        <w:tc>
          <w:tcPr>
            <w:tcW w:w="4556" w:type="dxa"/>
            <w:tcBorders>
              <w:top w:val="single" w:color="auto" w:sz="4" w:space="0"/>
              <w:left w:val="nil"/>
              <w:bottom w:val="single" w:color="auto" w:sz="4" w:space="0"/>
              <w:right w:val="nil"/>
            </w:tcBorders>
            <w:shd w:val="clear" w:color="auto" w:fill="auto"/>
            <w:vAlign w:val="center"/>
          </w:tcPr>
          <w:p w14:paraId="1DBEBF73">
            <w:r>
              <w:rPr>
                <w:rFonts w:hint="eastAsia"/>
              </w:rPr>
              <w:t>满分2分，目标比例在90%以上，达到90%得满分，未达到按比例得分。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B8F2C">
            <w:r>
              <w:rPr>
                <w:rFonts w:hint="eastAsia"/>
              </w:rPr>
              <w:t>2</w:t>
            </w:r>
          </w:p>
        </w:tc>
      </w:tr>
      <w:tr w14:paraId="7084C231">
        <w:tblPrEx>
          <w:tblCellMar>
            <w:top w:w="0" w:type="dxa"/>
            <w:left w:w="108" w:type="dxa"/>
            <w:bottom w:w="0" w:type="dxa"/>
            <w:right w:w="108" w:type="dxa"/>
          </w:tblCellMar>
        </w:tblPrEx>
        <w:trPr>
          <w:trHeight w:val="88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355D6E71"/>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652318">
            <w:r>
              <w:rPr>
                <w:rFonts w:hint="eastAsia"/>
              </w:rPr>
              <w:t>可持续影响指标（6分）</w:t>
            </w:r>
          </w:p>
        </w:tc>
        <w:tc>
          <w:tcPr>
            <w:tcW w:w="1798" w:type="dxa"/>
            <w:tcBorders>
              <w:top w:val="single" w:color="auto" w:sz="4" w:space="0"/>
              <w:left w:val="nil"/>
              <w:bottom w:val="single" w:color="auto" w:sz="4" w:space="0"/>
              <w:right w:val="single" w:color="auto" w:sz="4" w:space="0"/>
            </w:tcBorders>
            <w:shd w:val="clear" w:color="auto" w:fill="auto"/>
            <w:vAlign w:val="center"/>
          </w:tcPr>
          <w:p w14:paraId="3D72680A">
            <w:r>
              <w:rPr>
                <w:rFonts w:hint="eastAsia"/>
              </w:rPr>
              <w:t>村庄规划管理覆盖率</w:t>
            </w:r>
          </w:p>
        </w:tc>
        <w:tc>
          <w:tcPr>
            <w:tcW w:w="4574" w:type="dxa"/>
            <w:tcBorders>
              <w:top w:val="single" w:color="auto" w:sz="4" w:space="0"/>
              <w:left w:val="nil"/>
              <w:bottom w:val="single" w:color="auto" w:sz="4" w:space="0"/>
              <w:right w:val="single" w:color="auto" w:sz="4" w:space="0"/>
            </w:tcBorders>
            <w:shd w:val="clear" w:color="auto" w:fill="auto"/>
            <w:vAlign w:val="center"/>
          </w:tcPr>
          <w:p w14:paraId="2C958DAB">
            <w:r>
              <w:rPr>
                <w:rFonts w:hint="eastAsia"/>
              </w:rPr>
              <w:t>考查省级乡村振兴试点村、实绩突出村村庄规划管理覆盖率。</w:t>
            </w:r>
          </w:p>
        </w:tc>
        <w:tc>
          <w:tcPr>
            <w:tcW w:w="4556" w:type="dxa"/>
            <w:tcBorders>
              <w:top w:val="single" w:color="auto" w:sz="4" w:space="0"/>
              <w:left w:val="nil"/>
              <w:bottom w:val="single" w:color="auto" w:sz="4" w:space="0"/>
              <w:right w:val="nil"/>
            </w:tcBorders>
            <w:shd w:val="clear" w:color="auto" w:fill="auto"/>
            <w:vAlign w:val="center"/>
          </w:tcPr>
          <w:p w14:paraId="0A884117">
            <w:r>
              <w:rPr>
                <w:rFonts w:hint="eastAsia"/>
              </w:rPr>
              <w:t>满分2分，目标比例100%，达到100%得满分，未达到按比例得分。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E6065">
            <w:r>
              <w:rPr>
                <w:rFonts w:hint="eastAsia"/>
              </w:rPr>
              <w:t>2</w:t>
            </w:r>
          </w:p>
        </w:tc>
      </w:tr>
      <w:tr w14:paraId="62621B7C">
        <w:tblPrEx>
          <w:tblCellMar>
            <w:top w:w="0" w:type="dxa"/>
            <w:left w:w="108" w:type="dxa"/>
            <w:bottom w:w="0" w:type="dxa"/>
            <w:right w:w="108" w:type="dxa"/>
          </w:tblCellMar>
        </w:tblPrEx>
        <w:trPr>
          <w:trHeight w:val="97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3D000DAB"/>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1C6732E8"/>
        </w:tc>
        <w:tc>
          <w:tcPr>
            <w:tcW w:w="1798" w:type="dxa"/>
            <w:tcBorders>
              <w:top w:val="single" w:color="auto" w:sz="4" w:space="0"/>
              <w:left w:val="nil"/>
              <w:bottom w:val="single" w:color="auto" w:sz="4" w:space="0"/>
              <w:right w:val="single" w:color="auto" w:sz="4" w:space="0"/>
            </w:tcBorders>
            <w:shd w:val="clear" w:color="auto" w:fill="auto"/>
            <w:vAlign w:val="center"/>
          </w:tcPr>
          <w:p w14:paraId="345E41D4">
            <w:r>
              <w:rPr>
                <w:rFonts w:hint="eastAsia"/>
              </w:rPr>
              <w:t>村党支部评星定级达三星级以上的村占比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2866C20C">
            <w:r>
              <w:rPr>
                <w:rFonts w:hint="eastAsia"/>
              </w:rPr>
              <w:t>考查省级乡村振兴试点村、实绩突出村村党支部评星定级达三星级以上的村占比。</w:t>
            </w:r>
          </w:p>
        </w:tc>
        <w:tc>
          <w:tcPr>
            <w:tcW w:w="4556" w:type="dxa"/>
            <w:tcBorders>
              <w:top w:val="single" w:color="auto" w:sz="4" w:space="0"/>
              <w:left w:val="nil"/>
              <w:bottom w:val="single" w:color="auto" w:sz="4" w:space="0"/>
              <w:right w:val="nil"/>
            </w:tcBorders>
            <w:shd w:val="clear" w:color="auto" w:fill="auto"/>
            <w:vAlign w:val="center"/>
          </w:tcPr>
          <w:p w14:paraId="79F578F4">
            <w:r>
              <w:rPr>
                <w:rFonts w:hint="eastAsia"/>
              </w:rPr>
              <w:t>满分2分，目标比例在95%以上，达到95%得满分，未达到按比例得分。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2C36E">
            <w:r>
              <w:rPr>
                <w:rFonts w:hint="eastAsia"/>
              </w:rPr>
              <w:t>2</w:t>
            </w:r>
          </w:p>
        </w:tc>
      </w:tr>
      <w:tr w14:paraId="007E4441">
        <w:tblPrEx>
          <w:tblCellMar>
            <w:top w:w="0" w:type="dxa"/>
            <w:left w:w="108" w:type="dxa"/>
            <w:bottom w:w="0" w:type="dxa"/>
            <w:right w:w="108" w:type="dxa"/>
          </w:tblCellMar>
        </w:tblPrEx>
        <w:trPr>
          <w:trHeight w:val="90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1424EF47"/>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3BE4437F"/>
        </w:tc>
        <w:tc>
          <w:tcPr>
            <w:tcW w:w="1798" w:type="dxa"/>
            <w:tcBorders>
              <w:top w:val="single" w:color="auto" w:sz="4" w:space="0"/>
              <w:left w:val="nil"/>
              <w:bottom w:val="single" w:color="auto" w:sz="4" w:space="0"/>
              <w:right w:val="single" w:color="auto" w:sz="4" w:space="0"/>
            </w:tcBorders>
            <w:shd w:val="clear" w:color="auto" w:fill="auto"/>
            <w:vAlign w:val="center"/>
          </w:tcPr>
          <w:p w14:paraId="2B168F53">
            <w:r>
              <w:rPr>
                <w:rFonts w:hint="eastAsia"/>
              </w:rPr>
              <w:t>建有“一约四会”的村占比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5F0F2B35">
            <w:r>
              <w:rPr>
                <w:rFonts w:hint="eastAsia"/>
              </w:rPr>
              <w:t>考查省级乡村振兴试点村、实绩突出村建有“一约四会”的村占比。</w:t>
            </w:r>
          </w:p>
        </w:tc>
        <w:tc>
          <w:tcPr>
            <w:tcW w:w="4556" w:type="dxa"/>
            <w:tcBorders>
              <w:top w:val="single" w:color="auto" w:sz="4" w:space="0"/>
              <w:left w:val="nil"/>
              <w:bottom w:val="single" w:color="auto" w:sz="4" w:space="0"/>
              <w:right w:val="nil"/>
            </w:tcBorders>
            <w:shd w:val="clear" w:color="auto" w:fill="auto"/>
            <w:vAlign w:val="center"/>
          </w:tcPr>
          <w:p w14:paraId="1AB71C55">
            <w:r>
              <w:rPr>
                <w:rFonts w:hint="eastAsia"/>
              </w:rPr>
              <w:t>满分2分，目标比例100%，达到100%得满分，未达到按比例得分。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BA81B">
            <w:r>
              <w:rPr>
                <w:rFonts w:hint="eastAsia"/>
              </w:rPr>
              <w:t>2</w:t>
            </w:r>
          </w:p>
        </w:tc>
      </w:tr>
      <w:tr w14:paraId="3167DDB2">
        <w:tblPrEx>
          <w:tblCellMar>
            <w:top w:w="0" w:type="dxa"/>
            <w:left w:w="108" w:type="dxa"/>
            <w:bottom w:w="0" w:type="dxa"/>
            <w:right w:w="108" w:type="dxa"/>
          </w:tblCellMar>
        </w:tblPrEx>
        <w:trPr>
          <w:trHeight w:val="78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56B678B1"/>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E919F0">
            <w:r>
              <w:rPr>
                <w:rFonts w:hint="eastAsia"/>
              </w:rPr>
              <w:t>服务对象满意程度（10分）</w:t>
            </w:r>
          </w:p>
        </w:tc>
        <w:tc>
          <w:tcPr>
            <w:tcW w:w="1798" w:type="dxa"/>
            <w:tcBorders>
              <w:top w:val="single" w:color="auto" w:sz="4" w:space="0"/>
              <w:left w:val="nil"/>
              <w:bottom w:val="single" w:color="auto" w:sz="4" w:space="0"/>
              <w:right w:val="single" w:color="auto" w:sz="4" w:space="0"/>
            </w:tcBorders>
            <w:shd w:val="clear" w:color="auto" w:fill="auto"/>
            <w:vAlign w:val="center"/>
          </w:tcPr>
          <w:p w14:paraId="40D6E807">
            <w:r>
              <w:rPr>
                <w:rFonts w:hint="eastAsia"/>
              </w:rPr>
              <w:t>示范村农民满意度</w:t>
            </w:r>
          </w:p>
        </w:tc>
        <w:tc>
          <w:tcPr>
            <w:tcW w:w="4574" w:type="dxa"/>
            <w:tcBorders>
              <w:top w:val="single" w:color="auto" w:sz="4" w:space="0"/>
              <w:left w:val="nil"/>
              <w:bottom w:val="single" w:color="auto" w:sz="4" w:space="0"/>
              <w:right w:val="single" w:color="auto" w:sz="4" w:space="0"/>
            </w:tcBorders>
            <w:shd w:val="clear" w:color="auto" w:fill="auto"/>
            <w:vAlign w:val="center"/>
          </w:tcPr>
          <w:p w14:paraId="447E71D3">
            <w:r>
              <w:rPr>
                <w:rFonts w:hint="eastAsia"/>
              </w:rPr>
              <w:t>以示范村抽样农民满意的人数/抽样的总数*100%为准，反应示范村农民的满意情况。</w:t>
            </w:r>
          </w:p>
        </w:tc>
        <w:tc>
          <w:tcPr>
            <w:tcW w:w="4556" w:type="dxa"/>
            <w:tcBorders>
              <w:top w:val="single" w:color="auto" w:sz="4" w:space="0"/>
              <w:left w:val="nil"/>
              <w:bottom w:val="single" w:color="auto" w:sz="4" w:space="0"/>
              <w:right w:val="nil"/>
            </w:tcBorders>
            <w:shd w:val="clear" w:color="auto" w:fill="auto"/>
            <w:vAlign w:val="center"/>
          </w:tcPr>
          <w:p w14:paraId="68F90AF2">
            <w:r>
              <w:rPr>
                <w:rFonts w:hint="eastAsia"/>
              </w:rPr>
              <w:t>满分5分，满意度达到目标值91%得满分，低于91%的每低一个百分点扣1分，扣完为止。</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8D9F7">
            <w:r>
              <w:rPr>
                <w:rFonts w:hint="eastAsia"/>
              </w:rPr>
              <w:t>5</w:t>
            </w:r>
          </w:p>
        </w:tc>
      </w:tr>
      <w:tr w14:paraId="0D98ACD0">
        <w:tblPrEx>
          <w:tblCellMar>
            <w:top w:w="0" w:type="dxa"/>
            <w:left w:w="108" w:type="dxa"/>
            <w:bottom w:w="0" w:type="dxa"/>
            <w:right w:w="108" w:type="dxa"/>
          </w:tblCellMar>
        </w:tblPrEx>
        <w:trPr>
          <w:trHeight w:val="103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14:paraId="6798B785"/>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0B2A0C77"/>
        </w:tc>
        <w:tc>
          <w:tcPr>
            <w:tcW w:w="1798" w:type="dxa"/>
            <w:tcBorders>
              <w:top w:val="single" w:color="auto" w:sz="4" w:space="0"/>
              <w:left w:val="nil"/>
              <w:bottom w:val="single" w:color="auto" w:sz="4" w:space="0"/>
              <w:right w:val="single" w:color="auto" w:sz="4" w:space="0"/>
            </w:tcBorders>
            <w:shd w:val="clear" w:color="auto" w:fill="auto"/>
            <w:vAlign w:val="center"/>
          </w:tcPr>
          <w:p w14:paraId="76E23B1A">
            <w:r>
              <w:rPr>
                <w:rFonts w:hint="eastAsia"/>
              </w:rPr>
              <w:t>满意度达90%以上的村占比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14:paraId="0F2C793D">
            <w:r>
              <w:rPr>
                <w:rFonts w:hint="eastAsia"/>
              </w:rPr>
              <w:t>考查示范村村民对乡村振兴项目满意度达90%以上的村占比。</w:t>
            </w:r>
          </w:p>
        </w:tc>
        <w:tc>
          <w:tcPr>
            <w:tcW w:w="4556" w:type="dxa"/>
            <w:tcBorders>
              <w:top w:val="single" w:color="auto" w:sz="4" w:space="0"/>
              <w:left w:val="nil"/>
              <w:bottom w:val="single" w:color="auto" w:sz="4" w:space="0"/>
              <w:right w:val="nil"/>
            </w:tcBorders>
            <w:shd w:val="clear" w:color="auto" w:fill="auto"/>
            <w:vAlign w:val="center"/>
          </w:tcPr>
          <w:p w14:paraId="0A9663CB">
            <w:r>
              <w:rPr>
                <w:rFonts w:hint="eastAsia"/>
              </w:rPr>
              <w:t>满分5分，目标比例100%，达到100%得满分，未达到按比例得分。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88FA6">
            <w:r>
              <w:rPr>
                <w:rFonts w:hint="eastAsia"/>
              </w:rPr>
              <w:t>5</w:t>
            </w:r>
          </w:p>
        </w:tc>
      </w:tr>
      <w:tr w14:paraId="73EFAB3F">
        <w:tblPrEx>
          <w:tblCellMar>
            <w:top w:w="0" w:type="dxa"/>
            <w:left w:w="108" w:type="dxa"/>
            <w:bottom w:w="0" w:type="dxa"/>
            <w:right w:w="108" w:type="dxa"/>
          </w:tblCellMar>
        </w:tblPrEx>
        <w:trPr>
          <w:trHeight w:val="270" w:hRule="atLeast"/>
        </w:trPr>
        <w:tc>
          <w:tcPr>
            <w:tcW w:w="141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DA77BAC">
            <w:r>
              <w:rPr>
                <w:rFonts w:hint="eastAsia"/>
              </w:rPr>
              <w:t>总计</w:t>
            </w:r>
          </w:p>
        </w:tc>
        <w:tc>
          <w:tcPr>
            <w:tcW w:w="638" w:type="dxa"/>
            <w:tcBorders>
              <w:top w:val="single" w:color="auto" w:sz="4" w:space="0"/>
              <w:left w:val="nil"/>
              <w:bottom w:val="single" w:color="auto" w:sz="4" w:space="0"/>
              <w:right w:val="single" w:color="auto" w:sz="4" w:space="0"/>
            </w:tcBorders>
            <w:shd w:val="clear" w:color="auto" w:fill="auto"/>
            <w:vAlign w:val="center"/>
          </w:tcPr>
          <w:p w14:paraId="50A13437">
            <w:r>
              <w:rPr>
                <w:rFonts w:hint="eastAsia"/>
              </w:rPr>
              <w:t>100</w:t>
            </w:r>
          </w:p>
        </w:tc>
      </w:tr>
    </w:tbl>
    <w:p w14:paraId="7A31F608">
      <w:pPr>
        <w:sectPr>
          <w:pgSz w:w="16838" w:h="11906" w:orient="landscape"/>
          <w:pgMar w:top="1418" w:right="1134" w:bottom="1134" w:left="1134" w:header="851" w:footer="992" w:gutter="0"/>
          <w:cols w:space="425" w:num="1"/>
          <w:docGrid w:type="lines" w:linePitch="312" w:charSpace="0"/>
        </w:sectPr>
      </w:pPr>
    </w:p>
    <w:p w14:paraId="19DB8361">
      <w:pPr>
        <w:ind w:firstLine="420" w:firstLineChars="200"/>
      </w:pPr>
      <w:bookmarkStart w:id="451" w:name="_Toc86174721"/>
      <w:bookmarkStart w:id="452" w:name="_Toc45188004"/>
      <w:r>
        <w:rPr>
          <w:rFonts w:hint="eastAsia"/>
        </w:rPr>
        <w:t>（三）绩效评价的具体方法</w:t>
      </w:r>
      <w:bookmarkEnd w:id="451"/>
      <w:bookmarkEnd w:id="452"/>
    </w:p>
    <w:p w14:paraId="13DDBEAD">
      <w:pPr>
        <w:ind w:firstLine="420" w:firstLineChars="200"/>
      </w:pPr>
      <w:r>
        <w:rPr>
          <w:rFonts w:hint="eastAsia"/>
        </w:rPr>
        <w:t>本次绩效评价运用成本效益分析法、比较分析法、因素分析法、最低成本法、公众评判法等方式，对乡村振兴专项资金项目绩效目标、绩效指标进行综合绩效评价。</w:t>
      </w:r>
    </w:p>
    <w:p w14:paraId="360D6F3C">
      <w:pPr>
        <w:ind w:firstLine="420" w:firstLineChars="200"/>
      </w:pPr>
      <w:r>
        <w:rPr>
          <w:rFonts w:hint="eastAsia"/>
        </w:rPr>
        <w:t>第一、成本效益分析法是指一定时期内的支出与效益进行对比分析，以评价绩效目标实现程度，结合预算支出确定的目标，比较支出产生的效益和付出的成本；</w:t>
      </w:r>
    </w:p>
    <w:p w14:paraId="1FD50164">
      <w:pPr>
        <w:ind w:firstLine="420" w:firstLineChars="200"/>
      </w:pPr>
      <w:r>
        <w:rPr>
          <w:rFonts w:hint="eastAsia"/>
        </w:rPr>
        <w:t>第二、比较分析法是指通过对绩效目标实施效果、历史与当期情况、不同部门和地区同类支出的比较，综合分析绩效目标实现程度；</w:t>
      </w:r>
    </w:p>
    <w:p w14:paraId="3A230F78">
      <w:pPr>
        <w:ind w:firstLine="420" w:firstLineChars="200"/>
      </w:pPr>
      <w:r>
        <w:rPr>
          <w:rFonts w:hint="eastAsia"/>
        </w:rPr>
        <w:t>第三、因素分析法是指通过综合分析影响绩效目标实现、实施效果的内外因素，评价绩效目标的实现程度；</w:t>
      </w:r>
    </w:p>
    <w:p w14:paraId="1BB91BA8">
      <w:pPr>
        <w:ind w:firstLine="420" w:firstLineChars="200"/>
      </w:pPr>
      <w:r>
        <w:rPr>
          <w:rFonts w:hint="eastAsia"/>
        </w:rPr>
        <w:t>第四、最低成本法是指对效益确定但不易计量的多个同类对象的实施成本进行比较，评价绩效目标的实现程度。在使用最低成本法的同时，需要明确不同对象的产出和结果，并适当选取其他方式综合进行绩效评价；</w:t>
      </w:r>
    </w:p>
    <w:p w14:paraId="4BA38EAE">
      <w:pPr>
        <w:ind w:firstLine="420" w:firstLineChars="200"/>
      </w:pPr>
      <w:r>
        <w:rPr>
          <w:rFonts w:hint="eastAsia"/>
        </w:rPr>
        <w:t>第五、公众评判法是指通过专家评估、公众问卷及抽样调查等对财政支出效果进行评判，评价绩效目标的实现程度。</w:t>
      </w:r>
    </w:p>
    <w:p w14:paraId="7235FD38">
      <w:pPr>
        <w:ind w:firstLine="420" w:firstLineChars="200"/>
        <w:outlineLvl w:val="0"/>
      </w:pPr>
      <w:bookmarkStart w:id="453" w:name="_Toc45188005"/>
      <w:bookmarkStart w:id="454" w:name="_Toc9633"/>
      <w:bookmarkStart w:id="455" w:name="_Toc86174722"/>
      <w:r>
        <w:rPr>
          <w:rFonts w:hint="eastAsia"/>
        </w:rPr>
        <w:t>四、项目绩效分析</w:t>
      </w:r>
      <w:bookmarkEnd w:id="453"/>
      <w:bookmarkEnd w:id="454"/>
      <w:bookmarkEnd w:id="455"/>
    </w:p>
    <w:p w14:paraId="623092C7">
      <w:pPr>
        <w:ind w:firstLine="420" w:firstLineChars="200"/>
      </w:pPr>
      <w:r>
        <w:rPr>
          <w:rFonts w:hint="eastAsia"/>
        </w:rPr>
        <w:t>为了使绩效评价工作充分做到全面、客观、有效，评价工作组审阅了莆田市农业农村局及其下属科站明细项目实施单位提供的乡村振兴专项资金相关资料，并对各项目绩效自评报告的真实性、数据的可靠性、资料的完整性、工作的有效性等进行了综合分析。在此基础上，采用现场勘察、实地调研、座谈、访谈、问卷调查等形式，收集相关信息资料，采取定性和定量分析相结合的方式，综合运用成本效益分析、比较分析、因素分析、最低成本、公众评判等方法，通过对3项一级指标、14项二级指标、51项三级指标进行了逐项逐条审核，对莆田市乡村振兴专项资金项目的立项决策、资金分配、业务管理、财务管理、资金落实、项目产出、项目效益等方面进行综合评价。</w:t>
      </w:r>
    </w:p>
    <w:p w14:paraId="1C99A9C0">
      <w:pPr>
        <w:ind w:firstLine="420" w:firstLineChars="200"/>
      </w:pPr>
      <w:bookmarkStart w:id="456" w:name="_Toc45188006"/>
      <w:bookmarkStart w:id="457" w:name="_Toc86174723"/>
      <w:r>
        <w:rPr>
          <w:rFonts w:hint="eastAsia"/>
        </w:rPr>
        <w:t>（一）项目决策（15分）</w:t>
      </w:r>
      <w:bookmarkEnd w:id="456"/>
      <w:bookmarkEnd w:id="457"/>
    </w:p>
    <w:p w14:paraId="78A3FB4C">
      <w:pPr>
        <w:ind w:firstLine="420" w:firstLineChars="200"/>
      </w:pPr>
      <w:r>
        <w:rPr>
          <w:rFonts w:hint="eastAsia"/>
        </w:rPr>
        <w:t>一级指标“项目决策”下设“项目立项”和“资金分配”2个二级指标。</w:t>
      </w:r>
    </w:p>
    <w:p w14:paraId="4C74C77D">
      <w:pPr>
        <w:ind w:firstLine="420" w:firstLineChars="200"/>
      </w:pPr>
      <w:bookmarkStart w:id="458" w:name="_Toc45188007"/>
      <w:bookmarkStart w:id="459" w:name="_Toc86174724"/>
      <w:r>
        <w:rPr>
          <w:rFonts w:hint="eastAsia"/>
        </w:rPr>
        <w:t>1.项目立项（7分）</w:t>
      </w:r>
      <w:bookmarkEnd w:id="458"/>
      <w:bookmarkEnd w:id="459"/>
    </w:p>
    <w:p w14:paraId="741CA2ED">
      <w:pPr>
        <w:ind w:firstLine="420" w:firstLineChars="200"/>
      </w:pPr>
      <w:r>
        <w:rPr>
          <w:rFonts w:hint="eastAsia"/>
        </w:rPr>
        <w:t>“项目立项”从“项目立项规范性”、“绩效目标合理性”和“绩效指标明确性”3项三级指标进行评价，满分7分，总计得7分。</w:t>
      </w:r>
    </w:p>
    <w:p w14:paraId="5C3D1E42">
      <w:pPr>
        <w:ind w:firstLine="420" w:firstLineChars="200"/>
      </w:pPr>
      <w:r>
        <w:rPr>
          <w:rFonts w:hint="eastAsia"/>
        </w:rPr>
        <w:t>“项目立项规范性”：乡村振兴专项资金是指根据《中共莆田市委实施乡村振兴战略领导小组印发&lt;开展乡村振兴“百村示范”工程建设实施方案&gt;的通知》（莆委振兴组〔2019〕1号）精神，为推动乡村振兴，由市级财政预算安排的用于乡村振兴“百村示范”工程建设的专项资金。莆田市乡村振兴专项资金的设立所依据的主要政策文件包括：《关于印发&lt;福建省乡村振兴试点示范工作方案&gt;的通知》（闽委振兴组〔2019〕3号）；《关于全省乡村振兴试点示范资金筹措使用管理有关工作的通知》（闽财农〔2019〕51号）；《关于印发&lt;福建省乡村振兴试点示范专项资金管理办法&gt;的通知》（闽财农〔2020〕4号）；《中共莆田市委 莆田市人民政府印发关于&lt;实施乡村振兴战略的实施意见&gt;的通知》（莆委发〔2018〕3号）；《关于印发&lt;实施乡村振兴战略乡村投入保障专项小组工作方案&gt;的通知》（莆财农〔2018〕146号）；《中共莆田市委实施乡村振兴战略领导小组印发&lt;开展乡村振兴“百村示范”工程建设实施方案&gt;的通知》（莆委振兴组〔2019〕1号）等，专项资金严格按照相关规定而申报，符合法律法规的规定和经济社会发展规划，项目内容列入部门年度预算。项目申报依据充分、程序规范，项目安排较为合理，项目预算调整有申报、审核，手续齐全。该项指标满分3分，得3分。</w:t>
      </w:r>
    </w:p>
    <w:p w14:paraId="09D42F35">
      <w:pPr>
        <w:ind w:firstLine="420" w:firstLineChars="200"/>
      </w:pPr>
      <w:r>
        <w:rPr>
          <w:rFonts w:hint="eastAsia"/>
        </w:rPr>
        <w:t>“绩效目标合理性”：莆田市农业农村局依据相关文件规定对乡村振兴专项资金设置了专项绩效目标，将项目绩效目标细化分解为“时效目标”“成本目标”“数量目标”“质量目标”“社会效益目标”“服务对象满意度目标”6项具体指标，各指标根据各明细项目的特点选择性地设置。绩效目标设置科学、合理，充分考虑到各明细项目的特征。该项指标满分2分，得2分。</w:t>
      </w:r>
    </w:p>
    <w:p w14:paraId="65D48FD4">
      <w:pPr>
        <w:ind w:firstLine="420" w:firstLineChars="200"/>
      </w:pPr>
      <w:r>
        <w:rPr>
          <w:rFonts w:hint="eastAsia"/>
        </w:rPr>
        <w:t>“绩效指标明确性”：莆田市农业农村局根据各明细项目的不同特点，选择性地为各项目设置“时效目标”“成本目标”“数量目标”“质量目标”“社会效益目标”“服务对象满意度目标”6个指标中的若干项，设置的指标明确细致并且可衡量。该项指标满分2分，得2分。</w:t>
      </w:r>
    </w:p>
    <w:p w14:paraId="5F2FCCCE">
      <w:pPr>
        <w:ind w:firstLine="420" w:firstLineChars="200"/>
      </w:pPr>
      <w:bookmarkStart w:id="460" w:name="_Toc45188008"/>
      <w:bookmarkStart w:id="461" w:name="_Toc86174725"/>
      <w:r>
        <w:rPr>
          <w:rFonts w:hint="eastAsia"/>
        </w:rPr>
        <w:t>2.资金分配（8分）</w:t>
      </w:r>
      <w:bookmarkEnd w:id="460"/>
      <w:bookmarkEnd w:id="461"/>
    </w:p>
    <w:p w14:paraId="6359366A">
      <w:pPr>
        <w:ind w:firstLine="420" w:firstLineChars="200"/>
      </w:pPr>
      <w:r>
        <w:rPr>
          <w:rFonts w:hint="eastAsia"/>
        </w:rPr>
        <w:t>“资金分配”从“分配办法”、“分配结果”、“项目公示”3项三级指标进行评价，满分8分，总计得8分。</w:t>
      </w:r>
    </w:p>
    <w:p w14:paraId="0D0B2461">
      <w:pPr>
        <w:ind w:firstLine="420" w:firstLineChars="200"/>
      </w:pPr>
      <w:r>
        <w:rPr>
          <w:rFonts w:hint="eastAsia"/>
        </w:rPr>
        <w:t>“分配办法”：莆田市财政局、农业农村局依据《莆田市市级财政专项乡村振兴资金管理暂行办法》（莆财农〔2019〕102号）和《关于全省乡村振兴试点示范资金筹措使用管理有关工作的通知》（闽财农〔2019〕51号）要求，明确了资金使用范围、审批、拨付程序等，明确了资金分配应达到“因素全面、依据充分、标准合适、程序合规”的要求。该项指标满分2分，得2分。</w:t>
      </w:r>
    </w:p>
    <w:p w14:paraId="61569085">
      <w:pPr>
        <w:ind w:firstLine="420" w:firstLineChars="200"/>
      </w:pPr>
      <w:r>
        <w:rPr>
          <w:rFonts w:hint="eastAsia"/>
        </w:rPr>
        <w:t>“分配结果”：莆田市农业农村局依据《莆田市市级财政专项乡村振兴资金管理暂行办法》（莆财农〔2019〕102号），按照“因素全面、依据充分、标准合适、程序合规”的要求分配资金，并对分配结果予以公示。该项指标满分2分，得2分。</w:t>
      </w:r>
    </w:p>
    <w:p w14:paraId="13582986">
      <w:pPr>
        <w:ind w:firstLine="420" w:firstLineChars="200"/>
      </w:pPr>
      <w:r>
        <w:rPr>
          <w:rFonts w:hint="eastAsia"/>
        </w:rPr>
        <w:t>“项目公示”：经核实，莆田市农业农村局乡村振兴各项目资金下达之前均有进行公示，并且公示及时，公示期达到要求，公示内容准确，公示内容完整。该项指标满分4分，得4分。</w:t>
      </w:r>
    </w:p>
    <w:p w14:paraId="381C1C87">
      <w:pPr>
        <w:ind w:firstLine="420" w:firstLineChars="200"/>
      </w:pPr>
      <w:bookmarkStart w:id="462" w:name="_Toc86174726"/>
      <w:bookmarkStart w:id="463" w:name="_Toc45188009"/>
      <w:r>
        <w:rPr>
          <w:rFonts w:hint="eastAsia"/>
        </w:rPr>
        <w:t>（二）项目管理（20分）</w:t>
      </w:r>
      <w:bookmarkEnd w:id="462"/>
      <w:bookmarkEnd w:id="463"/>
    </w:p>
    <w:p w14:paraId="4AE793EA">
      <w:pPr>
        <w:ind w:firstLine="420" w:firstLineChars="200"/>
      </w:pPr>
      <w:r>
        <w:rPr>
          <w:rFonts w:hint="eastAsia"/>
        </w:rPr>
        <w:t>一级指标“项目管理”下设“业务管理”、“财务管理”和“资金落实”3个二级指标。</w:t>
      </w:r>
    </w:p>
    <w:p w14:paraId="428AD7BC">
      <w:pPr>
        <w:ind w:firstLine="420" w:firstLineChars="200"/>
      </w:pPr>
      <w:bookmarkStart w:id="464" w:name="_Toc45188010"/>
      <w:bookmarkStart w:id="465" w:name="_Toc86174727"/>
      <w:r>
        <w:rPr>
          <w:rFonts w:hint="eastAsia"/>
        </w:rPr>
        <w:t>1.业务管理（6分）</w:t>
      </w:r>
      <w:bookmarkEnd w:id="464"/>
      <w:bookmarkEnd w:id="465"/>
    </w:p>
    <w:p w14:paraId="5DD4058F">
      <w:pPr>
        <w:ind w:firstLine="420" w:firstLineChars="200"/>
      </w:pPr>
      <w:r>
        <w:rPr>
          <w:rFonts w:hint="eastAsia"/>
        </w:rPr>
        <w:t>“业务管理”从“管理制度健全性”、“制度执行有效性”和“项目质量可控性”3项三级指标进行评价，每项分值2分，满分6分，总计得6分。</w:t>
      </w:r>
    </w:p>
    <w:p w14:paraId="534CE451">
      <w:pPr>
        <w:ind w:firstLine="420" w:firstLineChars="200"/>
      </w:pPr>
      <w:r>
        <w:rPr>
          <w:rFonts w:hint="eastAsia"/>
        </w:rPr>
        <w:t>“管理制度健全性”：乡村振兴专项资金主要由莆田市农业农村局及其下属有关科室实施推进，每个项目都有科长或者专业技术人员负责，组织机构健全，人员配备完善，同时每个项目都有相关业务部门的省、市、区县级业务管理文件。管理制度健全、完整、合规，核查过程中未发现管理制度漏洞。该项指标满分2分，得2分。</w:t>
      </w:r>
    </w:p>
    <w:p w14:paraId="4A531D97">
      <w:pPr>
        <w:ind w:firstLine="420" w:firstLineChars="200"/>
      </w:pPr>
      <w:r>
        <w:rPr>
          <w:rFonts w:hint="eastAsia"/>
        </w:rPr>
        <w:t>“制度执行有效性”：在抽样走访过程中了解到，农业农村局有关科室和区县、乡镇、村级有关部门对项目资金的使用均遵守相关规定，符合补助资金的用途，业务管理按照管理制度严格执行，资金的支出审批手续齐全，会计核算及时，核查过程中未发现未按制度执行的情况。该项指标满分2分，得2分。</w:t>
      </w:r>
    </w:p>
    <w:p w14:paraId="335AF9E3">
      <w:pPr>
        <w:ind w:firstLine="420" w:firstLineChars="200"/>
      </w:pPr>
      <w:r>
        <w:rPr>
          <w:rFonts w:hint="eastAsia"/>
        </w:rPr>
        <w:t>“项目质量可控性”：在抽样走访过程中了解到，农业农村局有关科室和区县、乡镇、村级有关部门的管理措施均能确保项目质量完全可控，核查过程中未发现措施不到位之处。该项指标满分2分，得2分。</w:t>
      </w:r>
    </w:p>
    <w:p w14:paraId="5B175AE8">
      <w:pPr>
        <w:ind w:firstLine="420" w:firstLineChars="200"/>
      </w:pPr>
      <w:bookmarkStart w:id="466" w:name="_Toc86174728"/>
      <w:bookmarkStart w:id="467" w:name="_Toc45188011"/>
      <w:r>
        <w:rPr>
          <w:rFonts w:hint="eastAsia"/>
        </w:rPr>
        <w:t>2.财务管理（6分）</w:t>
      </w:r>
      <w:bookmarkEnd w:id="466"/>
      <w:bookmarkEnd w:id="467"/>
    </w:p>
    <w:p w14:paraId="0C967EA9">
      <w:pPr>
        <w:ind w:firstLine="420" w:firstLineChars="200"/>
      </w:pPr>
      <w:r>
        <w:rPr>
          <w:rFonts w:hint="eastAsia"/>
        </w:rPr>
        <w:t>“财务管理”从“财务制度健全性”、“资金使用合规性”和“财务监控有效性”3项三级指标进行评价，每项分值2分，满分6分，总计得6分。</w:t>
      </w:r>
    </w:p>
    <w:p w14:paraId="70BD308A">
      <w:pPr>
        <w:ind w:firstLine="420" w:firstLineChars="200"/>
      </w:pPr>
      <w:r>
        <w:rPr>
          <w:rFonts w:hint="eastAsia"/>
        </w:rPr>
        <w:t>“财务制度健全性”：通过抽样走访、查阅相关材料了解到，莆田市财政局、农业农村局于2019年制定了《莆田市市级财政专项乡村振兴资金管理暂行办法》（莆财农〔2019〕102号），对该专项资金的管理和使用明确专款专用，农业农村局发展规划科、各县区农业农村局、各乡镇有关部门按照财政预算规定，制定相应的资金管理办法，核查过程中未发现不符合要求之处。该项指标满分2分，得2分。</w:t>
      </w:r>
    </w:p>
    <w:p w14:paraId="55D9C6E1">
      <w:pPr>
        <w:ind w:firstLine="420" w:firstLineChars="200"/>
      </w:pPr>
      <w:r>
        <w:rPr>
          <w:rFonts w:hint="eastAsia"/>
        </w:rPr>
        <w:t>“资金使用合规性”：评价工作组通过走访、实地调研和查阅相关材料了解到，针对该专项资金，莆田市农业农村局发展规划科不定期抽查资金支出情况，保证资金的专款专用。评价工作组认为项目资金的使用符合相关制度规定，资金使用符合预算批复和市政府批示用途，资金的拨付手续完整，支出级次调整按规定报经市政府同意，不存在截留、挤占、挪用情况。该项指标满分2分，得2分。</w:t>
      </w:r>
    </w:p>
    <w:p w14:paraId="5B417412">
      <w:pPr>
        <w:ind w:firstLine="420" w:firstLineChars="200"/>
      </w:pPr>
      <w:r>
        <w:rPr>
          <w:rFonts w:hint="eastAsia"/>
        </w:rPr>
        <w:t>“财务监控有效性”：在抽样走访过程中了解到，农业农村局有关科室和区县、乡镇、村级有关部门的监控措施均能确保资金安全、规范运行，核查过程中未发现措施不到位之处。该项指标满分2分，得2分。</w:t>
      </w:r>
    </w:p>
    <w:p w14:paraId="4F3B3B52">
      <w:pPr>
        <w:ind w:firstLine="420" w:firstLineChars="200"/>
      </w:pPr>
      <w:bookmarkStart w:id="468" w:name="_Toc86174729"/>
      <w:bookmarkStart w:id="469" w:name="_Toc45188012"/>
      <w:r>
        <w:rPr>
          <w:rFonts w:hint="eastAsia"/>
        </w:rPr>
        <w:t>3.资金落实（8分）</w:t>
      </w:r>
      <w:bookmarkEnd w:id="468"/>
      <w:bookmarkEnd w:id="469"/>
    </w:p>
    <w:p w14:paraId="7D5290CB">
      <w:pPr>
        <w:ind w:firstLine="420" w:firstLineChars="200"/>
      </w:pPr>
      <w:r>
        <w:rPr>
          <w:rFonts w:hint="eastAsia"/>
        </w:rPr>
        <w:t>“资金落实”从“预算编制准确性”、“资金实际执行率”和“资金下达及时率”3项三级指标进行评价，满分8分，总计得7.94分。</w:t>
      </w:r>
    </w:p>
    <w:p w14:paraId="5403DF64">
      <w:pPr>
        <w:ind w:firstLine="420" w:firstLineChars="200"/>
      </w:pPr>
      <w:r>
        <w:rPr>
          <w:rFonts w:hint="eastAsia"/>
        </w:rPr>
        <w:t>“预算编制准确性”：莆田市2020年度乡村振兴专项资金年初预算数3000万元，执行中未有预算调整情况，预算分配下达金额2940.5万元，预算分配下达率为98.02%。按照评分标准，预算偏差微小，较好地完成计划目标。该项指标满分3分，得3分。</w:t>
      </w:r>
    </w:p>
    <w:p w14:paraId="13CAE701">
      <w:pPr>
        <w:ind w:firstLine="420" w:firstLineChars="200"/>
      </w:pPr>
      <w:r>
        <w:rPr>
          <w:rFonts w:hint="eastAsia"/>
        </w:rPr>
        <w:t>“资金实际执行率”：莆田市2020年度乡村振兴专项资金预算金额3000万元，执行中未进行调整，实际支出资金2940.5万元，依据公式计算项目实际执行率为98.02%，然后按照评分标准进行打分。该项指标满分3分，得3×98.02%=2.94分。</w:t>
      </w:r>
    </w:p>
    <w:p w14:paraId="10315193">
      <w:pPr>
        <w:ind w:firstLine="420" w:firstLineChars="200"/>
      </w:pPr>
      <w:r>
        <w:rPr>
          <w:rFonts w:hint="eastAsia"/>
        </w:rPr>
        <w:t>“资金下达及时率”：莆田市2020年度乡村振兴专项资金年初预算3000万元，在9月30日前已全数下达，资金下达及时率100%，较好地完成计划目标。该项指标满分2分，得2分。</w:t>
      </w:r>
    </w:p>
    <w:p w14:paraId="53F0A59F">
      <w:pPr>
        <w:ind w:firstLine="420" w:firstLineChars="200"/>
      </w:pPr>
      <w:bookmarkStart w:id="470" w:name="_Toc86174730"/>
      <w:bookmarkStart w:id="471" w:name="_Toc45188013"/>
      <w:r>
        <w:rPr>
          <w:rFonts w:hint="eastAsia"/>
        </w:rPr>
        <w:t>（三）项目绩效（65分）</w:t>
      </w:r>
      <w:bookmarkEnd w:id="470"/>
      <w:bookmarkEnd w:id="471"/>
    </w:p>
    <w:p w14:paraId="6FBE4B29">
      <w:pPr>
        <w:ind w:firstLine="420" w:firstLineChars="200"/>
      </w:pPr>
      <w:bookmarkStart w:id="472" w:name="_Toc45188014"/>
      <w:bookmarkStart w:id="473" w:name="_Toc86174731"/>
      <w:r>
        <w:rPr>
          <w:rFonts w:hint="eastAsia"/>
        </w:rPr>
        <w:t>1.数量指标（12分）</w:t>
      </w:r>
      <w:bookmarkEnd w:id="472"/>
      <w:bookmarkEnd w:id="473"/>
    </w:p>
    <w:p w14:paraId="1359E9D7">
      <w:pPr>
        <w:ind w:firstLine="420" w:firstLineChars="200"/>
      </w:pPr>
      <w:r>
        <w:rPr>
          <w:rFonts w:hint="eastAsia"/>
        </w:rPr>
        <w:t>“数量指标”根据项目整体规划和明细项目设定6项三级指标进行评价，每项分值2分，满分12分，总计得12分。具体得分情况如下：</w:t>
      </w:r>
    </w:p>
    <w:p w14:paraId="2CFFF2E7">
      <w:pPr>
        <w:ind w:firstLine="420" w:firstLineChars="200"/>
      </w:pPr>
      <w:r>
        <w:rPr>
          <w:rFonts w:hint="eastAsia"/>
        </w:rPr>
        <w:t>“推动乡村振兴示范村建设数”：根据上级部署和莆田市有关文件要求，目标推动100个示范村建设，以县区上报建设的示范村数为准，实际推动100个示范村建设，较好完成计划目标。得到满分2分。</w:t>
      </w:r>
    </w:p>
    <w:p w14:paraId="6BB89400">
      <w:pPr>
        <w:ind w:firstLine="420" w:firstLineChars="200"/>
      </w:pPr>
      <w:r>
        <w:rPr>
          <w:rFonts w:hint="eastAsia"/>
        </w:rPr>
        <w:t>“推动乡村振兴示范片建设数”：根据上级部署和莆田市有关文件要求，目标推动12个示范片区建设，以县区上报建设的示范片区数为准，实际推动12个示范片区建设，较好完成计划目标。得到满分2分。</w:t>
      </w:r>
    </w:p>
    <w:p w14:paraId="0D8801EA">
      <w:pPr>
        <w:ind w:firstLine="420" w:firstLineChars="200"/>
      </w:pPr>
      <w:r>
        <w:rPr>
          <w:rFonts w:hint="eastAsia"/>
        </w:rPr>
        <w:t>“平均每村实施乡村振兴项目数”：根据上级部署和莆田市有关文件要求，目标平均每村实施乡村振兴项目数在3个以上，实际完成平均3个以上，较好完成计划目标。得到满分2分。</w:t>
      </w:r>
    </w:p>
    <w:p w14:paraId="085DC608">
      <w:pPr>
        <w:ind w:firstLine="420" w:firstLineChars="200"/>
      </w:pPr>
      <w:r>
        <w:rPr>
          <w:rFonts w:hint="eastAsia"/>
        </w:rPr>
        <w:t>“平均每村完成乡村振兴项目投资金额”：根据上级部署和莆田市有关文件要求，目标平均每村完成乡村振兴项目投资金额在200万以上，实际完成平均200万以上，较好完成计划目标。得到满分2分。</w:t>
      </w:r>
    </w:p>
    <w:p w14:paraId="602BDA0E">
      <w:pPr>
        <w:ind w:firstLine="420" w:firstLineChars="200"/>
      </w:pPr>
      <w:r>
        <w:rPr>
          <w:rFonts w:hint="eastAsia"/>
        </w:rPr>
        <w:t>“平均每村培育新型农业经营主体数”：根据上级部署和莆田市有关文件要求，目标平均每村培育新型农业经营主体数在1个以上，实际完成平均1个以上，较好完成计划目标。得到满分2分。</w:t>
      </w:r>
    </w:p>
    <w:p w14:paraId="08506E48">
      <w:pPr>
        <w:ind w:firstLine="420" w:firstLineChars="200"/>
      </w:pPr>
      <w:r>
        <w:rPr>
          <w:rFonts w:hint="eastAsia"/>
        </w:rPr>
        <w:t>“改造提升村庄道路公里数”：根据上级部署和莆田市有关文件要求，目标改造提升村庄道路公里数在10公里以上，实际完成28.2公里，超额完成计划目标。得到满分2分。</w:t>
      </w:r>
    </w:p>
    <w:p w14:paraId="5DAF19AE">
      <w:pPr>
        <w:ind w:firstLine="420" w:firstLineChars="200"/>
      </w:pPr>
      <w:bookmarkStart w:id="474" w:name="_Toc86174732"/>
      <w:bookmarkStart w:id="475" w:name="_Toc45188015"/>
      <w:r>
        <w:rPr>
          <w:rFonts w:hint="eastAsia"/>
        </w:rPr>
        <w:t>2.质量指标（6分）</w:t>
      </w:r>
      <w:bookmarkEnd w:id="474"/>
      <w:bookmarkEnd w:id="475"/>
    </w:p>
    <w:p w14:paraId="71D70982">
      <w:pPr>
        <w:ind w:firstLine="420" w:firstLineChars="200"/>
      </w:pPr>
      <w:r>
        <w:rPr>
          <w:rFonts w:hint="eastAsia"/>
        </w:rPr>
        <w:t>“质量指标”根据项目整体规划和明细项目设定3项三级指标进行评价，每项分值2分，满分6分，总计得4分。具体得分情况如下：</w:t>
      </w:r>
    </w:p>
    <w:p w14:paraId="4C86544E">
      <w:pPr>
        <w:ind w:firstLine="420" w:firstLineChars="200"/>
      </w:pPr>
      <w:r>
        <w:rPr>
          <w:rFonts w:hint="eastAsia"/>
        </w:rPr>
        <w:t>“示范村标准等次数”：目标示范村标准等次数5次，实际完成5次，较好完成计划目标。得到满分2分。</w:t>
      </w:r>
    </w:p>
    <w:p w14:paraId="0297DE22">
      <w:pPr>
        <w:ind w:firstLine="420" w:firstLineChars="200"/>
      </w:pPr>
      <w:r>
        <w:rPr>
          <w:rFonts w:hint="eastAsia"/>
        </w:rPr>
        <w:t>“县区转移支付绩效目标完成率”：县区转移支付项目目标完成5项，实际完成5项，目标完成率100%，得到满分2分。</w:t>
      </w:r>
    </w:p>
    <w:p w14:paraId="0A165367">
      <w:pPr>
        <w:ind w:firstLine="420" w:firstLineChars="200"/>
      </w:pPr>
      <w:r>
        <w:rPr>
          <w:rFonts w:hint="eastAsia"/>
        </w:rPr>
        <w:t>“辖区内县级农担公司年末平均在保放大倍数”：目标平均放大倍数在2倍以上。实际由于各县区目前无农担公司，未完成计划目标。该指标满分2分，按照评分标准得0分。</w:t>
      </w:r>
    </w:p>
    <w:p w14:paraId="2760DF7F">
      <w:pPr>
        <w:ind w:firstLine="420" w:firstLineChars="200"/>
      </w:pPr>
      <w:bookmarkStart w:id="476" w:name="_Toc45188016"/>
      <w:bookmarkStart w:id="477" w:name="_Toc86174733"/>
      <w:r>
        <w:rPr>
          <w:rFonts w:hint="eastAsia"/>
        </w:rPr>
        <w:t>3.时效指标（2分）</w:t>
      </w:r>
      <w:bookmarkEnd w:id="476"/>
      <w:bookmarkEnd w:id="477"/>
    </w:p>
    <w:p w14:paraId="3E26C949">
      <w:pPr>
        <w:ind w:firstLine="420" w:firstLineChars="200"/>
      </w:pPr>
      <w:r>
        <w:rPr>
          <w:rFonts w:hint="eastAsia"/>
        </w:rPr>
        <w:t>“时效指标”设定1项三级指标“资金拨付进度”进行评价，该项分值2分。资金拨付进度以年底的支出金额/年度预算金额为准。根据上级部署和莆田市有关文件要求，目标预算资金在年底前100%以上拨付，实际12月底前预算资金100%拨付，较好完成计划目标。得到满分2分。</w:t>
      </w:r>
    </w:p>
    <w:p w14:paraId="7C55AB5F">
      <w:pPr>
        <w:ind w:firstLine="420" w:firstLineChars="200"/>
      </w:pPr>
      <w:bookmarkStart w:id="478" w:name="_Toc86174734"/>
      <w:bookmarkStart w:id="479" w:name="_Toc45188017"/>
      <w:r>
        <w:rPr>
          <w:rFonts w:hint="eastAsia"/>
        </w:rPr>
        <w:t>4.成本指标（2分）</w:t>
      </w:r>
      <w:bookmarkEnd w:id="478"/>
      <w:bookmarkEnd w:id="479"/>
    </w:p>
    <w:p w14:paraId="786C2E8A">
      <w:pPr>
        <w:ind w:firstLine="420" w:firstLineChars="200"/>
      </w:pPr>
      <w:r>
        <w:rPr>
          <w:rFonts w:hint="eastAsia"/>
        </w:rPr>
        <w:t>“成本指标”根据项目整体规划和明细项目设定2项三级指标进行评价，每项分值1分，满分2分，总计得1.98分。具体得分情况如下：</w:t>
      </w:r>
    </w:p>
    <w:p w14:paraId="68DA50BC">
      <w:pPr>
        <w:ind w:firstLine="420" w:firstLineChars="200"/>
      </w:pPr>
      <w:r>
        <w:rPr>
          <w:rFonts w:hint="eastAsia"/>
        </w:rPr>
        <w:t>“资金整体投入”：乡村振兴专项资金初始预算3000万元，未进行预算调整，实际支出2940.5万元，投入比例98.02%。该指标满分1分，按照评分标准得到1×98.02%=0.98分。</w:t>
      </w:r>
    </w:p>
    <w:p w14:paraId="389A9B94">
      <w:pPr>
        <w:ind w:firstLine="420" w:firstLineChars="200"/>
      </w:pPr>
      <w:r>
        <w:rPr>
          <w:rFonts w:hint="eastAsia"/>
        </w:rPr>
        <w:t>“涵江坪盘道路建设资金投入”：涵江坪盘道路建设资金初始预算200万元，未进行预算调整，实际支出200万元，投入比例100%，较好完成计划目标。得到满分1分。</w:t>
      </w:r>
    </w:p>
    <w:p w14:paraId="1BAFC885">
      <w:pPr>
        <w:ind w:firstLine="420" w:firstLineChars="200"/>
      </w:pPr>
      <w:bookmarkStart w:id="480" w:name="_Toc86174735"/>
      <w:r>
        <w:rPr>
          <w:rFonts w:hint="eastAsia"/>
        </w:rPr>
        <w:t>5.经济效益指标（8分）</w:t>
      </w:r>
      <w:bookmarkEnd w:id="480"/>
    </w:p>
    <w:p w14:paraId="7F9C4D49">
      <w:pPr>
        <w:ind w:firstLine="420" w:firstLineChars="200"/>
      </w:pPr>
      <w:r>
        <w:rPr>
          <w:rFonts w:hint="eastAsia"/>
        </w:rPr>
        <w:t>“经济效益指标”根据项目整体规划和明细项目设定4项三级指标进行评价，每项分值2分，满分8分，总计得8分。具体得分情况如下：</w:t>
      </w:r>
    </w:p>
    <w:p w14:paraId="0F815C26">
      <w:pPr>
        <w:ind w:firstLine="420" w:firstLineChars="200"/>
      </w:pPr>
      <w:r>
        <w:rPr>
          <w:rFonts w:hint="eastAsia"/>
        </w:rPr>
        <w:t>“试点村集体经济年经营性收入达10万元以上的数量占比”：目标试点村村集体经济达10万元以上村数/试点村总数的比例在80%以上，实际完成80%以上，较好完成计划目标。得到满分2分。</w:t>
      </w:r>
    </w:p>
    <w:p w14:paraId="6D26C0F8">
      <w:pPr>
        <w:ind w:firstLine="420" w:firstLineChars="200"/>
      </w:pPr>
      <w:r>
        <w:rPr>
          <w:rFonts w:hint="eastAsia"/>
        </w:rPr>
        <w:t>“平均每村培育主导产业数”：目标平均每村培育主导产业数在1个以上，实际完成平均1个以上，较好完成计划目标。得到满分2分。</w:t>
      </w:r>
    </w:p>
    <w:p w14:paraId="541C49E7">
      <w:pPr>
        <w:ind w:firstLine="420" w:firstLineChars="200"/>
      </w:pPr>
      <w:r>
        <w:rPr>
          <w:rFonts w:hint="eastAsia"/>
        </w:rPr>
        <w:t>“平均每村主导产业年总产值”：目标平均每村主导产业年总产值在500万以上，实际完成平均500万以上，较好完成计划目标。得到满分2分。</w:t>
      </w:r>
    </w:p>
    <w:p w14:paraId="466DB242">
      <w:pPr>
        <w:ind w:firstLine="420" w:firstLineChars="200"/>
      </w:pPr>
      <w:r>
        <w:rPr>
          <w:rFonts w:hint="eastAsia"/>
        </w:rPr>
        <w:t>“农村居民人均可支配收入超全省平均水平的村占比”：目标比例在50%以上，实际完成50%以上，较好完成计划目标。得到满分2分。</w:t>
      </w:r>
    </w:p>
    <w:p w14:paraId="0337B62F">
      <w:pPr>
        <w:ind w:firstLine="420" w:firstLineChars="200"/>
      </w:pPr>
      <w:bookmarkStart w:id="481" w:name="_Toc45188018"/>
      <w:bookmarkStart w:id="482" w:name="_Toc86174736"/>
      <w:r>
        <w:rPr>
          <w:rFonts w:hint="eastAsia"/>
        </w:rPr>
        <w:t>6.社会效益指标（11分）</w:t>
      </w:r>
      <w:bookmarkEnd w:id="481"/>
      <w:bookmarkEnd w:id="482"/>
    </w:p>
    <w:p w14:paraId="22DCECDF">
      <w:pPr>
        <w:ind w:firstLine="420" w:firstLineChars="200"/>
      </w:pPr>
      <w:r>
        <w:rPr>
          <w:rFonts w:hint="eastAsia"/>
        </w:rPr>
        <w:t>“社会效益指标”根据项目整体规划和明细项目设定11项三级指标进行评价，每项分值1分，满分11分，总计得11分。具体得分情况如下：</w:t>
      </w:r>
    </w:p>
    <w:p w14:paraId="25B6F0D8">
      <w:pPr>
        <w:ind w:firstLine="420" w:firstLineChars="200"/>
      </w:pPr>
      <w:bookmarkStart w:id="483" w:name="_Toc45188019"/>
      <w:r>
        <w:rPr>
          <w:rFonts w:hint="eastAsia"/>
        </w:rPr>
        <w:t>“示范村面貌体现方面数”：目标示范村面貌改变体现5个方面，实际体现5个方面，较好完成计划目标。得到满分1分。</w:t>
      </w:r>
    </w:p>
    <w:p w14:paraId="28D079AB">
      <w:pPr>
        <w:ind w:firstLine="420" w:firstLineChars="200"/>
      </w:pPr>
      <w:r>
        <w:rPr>
          <w:rFonts w:hint="eastAsia"/>
        </w:rPr>
        <w:t>“县级及以上文明村占比”：目标比例在60%以上，实际完成60%以上，较好完成计划目标。得到满分1分。</w:t>
      </w:r>
    </w:p>
    <w:p w14:paraId="2CDC671C">
      <w:pPr>
        <w:ind w:firstLine="420" w:firstLineChars="200"/>
      </w:pPr>
      <w:r>
        <w:rPr>
          <w:rFonts w:hint="eastAsia"/>
        </w:rPr>
        <w:t>“移风易俗无违规案例村占比”：目标比例在90%以上，实际完成90%以上，较好完成计划目标。得到满分1分。</w:t>
      </w:r>
    </w:p>
    <w:p w14:paraId="056E6E21">
      <w:pPr>
        <w:ind w:firstLine="420" w:firstLineChars="200"/>
      </w:pPr>
      <w:r>
        <w:rPr>
          <w:rFonts w:hint="eastAsia"/>
        </w:rPr>
        <w:t>“村综合性文化服务场所覆盖率”：目标比例在98%以上，实际完成100%，超额完成计划目标。得到满分1分。</w:t>
      </w:r>
    </w:p>
    <w:p w14:paraId="187530EA">
      <w:pPr>
        <w:ind w:firstLine="420" w:firstLineChars="200"/>
      </w:pPr>
      <w:r>
        <w:rPr>
          <w:rFonts w:hint="eastAsia"/>
        </w:rPr>
        <w:t>“开展乡村特色文化保护传承的村占比”：目标比例在80%以上，实际完成88%，超额完成计划目标。得到满分1分。</w:t>
      </w:r>
    </w:p>
    <w:p w14:paraId="4F1ADAB8">
      <w:pPr>
        <w:ind w:firstLine="420" w:firstLineChars="200"/>
      </w:pPr>
      <w:r>
        <w:rPr>
          <w:rFonts w:hint="eastAsia"/>
        </w:rPr>
        <w:t>“建有便民服务场所的村占比”：目标比例100%，实际完成100%，较好完成计划目标。得到满分1分。</w:t>
      </w:r>
    </w:p>
    <w:p w14:paraId="7B761FDB">
      <w:pPr>
        <w:ind w:firstLine="420" w:firstLineChars="200"/>
      </w:pPr>
      <w:r>
        <w:rPr>
          <w:rFonts w:hint="eastAsia"/>
        </w:rPr>
        <w:t>“实现一村一法律顾问的村占比”：目标比例100%，实际完成100%，较好完成计划目标。得到满分1分。</w:t>
      </w:r>
    </w:p>
    <w:p w14:paraId="68D5D096">
      <w:pPr>
        <w:ind w:firstLine="420" w:firstLineChars="200"/>
      </w:pPr>
      <w:r>
        <w:rPr>
          <w:rFonts w:hint="eastAsia"/>
        </w:rPr>
        <w:t>“矛盾纠纷排查化解率达90%以上的村占比”：目标比例100%，实际完成100%，较好完成计划目标。得到满分1分。</w:t>
      </w:r>
    </w:p>
    <w:p w14:paraId="38D595D6">
      <w:pPr>
        <w:ind w:firstLine="420" w:firstLineChars="200"/>
      </w:pPr>
      <w:r>
        <w:rPr>
          <w:rFonts w:hint="eastAsia"/>
        </w:rPr>
        <w:t>“农村自来水普及率达100%的村占比”：目标比例在90%以上，实际完成98.67%，超额完成计划目标。得到满分1分。</w:t>
      </w:r>
    </w:p>
    <w:p w14:paraId="3CDCA271">
      <w:pPr>
        <w:ind w:firstLine="420" w:firstLineChars="200"/>
      </w:pPr>
      <w:r>
        <w:rPr>
          <w:rFonts w:hint="eastAsia"/>
        </w:rPr>
        <w:t>“实现标准化村卫生所覆盖的村占比”：目标比例在80%以上，实际完成80%以上，较好完成计划目标。得到满分1分。</w:t>
      </w:r>
    </w:p>
    <w:p w14:paraId="198C6BDD">
      <w:pPr>
        <w:ind w:firstLine="420" w:firstLineChars="200"/>
      </w:pPr>
      <w:r>
        <w:rPr>
          <w:rFonts w:hint="eastAsia"/>
        </w:rPr>
        <w:t>“无发生资金使用违规违纪问题的村占比”：目标比例100%，实际完成100%，较好完成计划目标。得到满分1分。</w:t>
      </w:r>
    </w:p>
    <w:p w14:paraId="2CBBF5B7">
      <w:pPr>
        <w:ind w:firstLine="420" w:firstLineChars="200"/>
      </w:pPr>
      <w:bookmarkStart w:id="484" w:name="_Toc86174737"/>
      <w:r>
        <w:rPr>
          <w:rFonts w:hint="eastAsia"/>
        </w:rPr>
        <w:t>7.生态效益指标（8分）</w:t>
      </w:r>
      <w:bookmarkEnd w:id="484"/>
    </w:p>
    <w:p w14:paraId="282EE0DA">
      <w:pPr>
        <w:ind w:firstLine="420" w:firstLineChars="200"/>
      </w:pPr>
      <w:r>
        <w:rPr>
          <w:rFonts w:hint="eastAsia"/>
        </w:rPr>
        <w:t>“生态效益指标”根据项目整体规划和明细项目设定4项三级指标进行评价，每项分值2分，满分8分，总计得8分。具体得分情况如下：</w:t>
      </w:r>
    </w:p>
    <w:p w14:paraId="69DBCAD2">
      <w:pPr>
        <w:ind w:firstLine="420" w:firstLineChars="200"/>
      </w:pPr>
      <w:r>
        <w:rPr>
          <w:rFonts w:hint="eastAsia"/>
        </w:rPr>
        <w:t>“完成‘一革命四行动任务’的村占比”：目标比例100%，实际完成100%，较好完成计划目标。得到满分2分。</w:t>
      </w:r>
    </w:p>
    <w:p w14:paraId="571CC145">
      <w:pPr>
        <w:ind w:firstLine="420" w:firstLineChars="200"/>
      </w:pPr>
      <w:r>
        <w:rPr>
          <w:rFonts w:hint="eastAsia"/>
        </w:rPr>
        <w:t>“中级版以上‘绿盈乡村’占比”：目标比例在50%以上，实际完成50%以上，较好完成计划目标。得到满分2分。</w:t>
      </w:r>
    </w:p>
    <w:p w14:paraId="62E53710">
      <w:pPr>
        <w:ind w:firstLine="420" w:firstLineChars="200"/>
      </w:pPr>
      <w:r>
        <w:rPr>
          <w:rFonts w:hint="eastAsia"/>
        </w:rPr>
        <w:t>“无发生重大生态环境污染问题的村占比”：目标比例100%，实际完成100%，较好完成计划目标。得到满分2分。</w:t>
      </w:r>
    </w:p>
    <w:p w14:paraId="4942A32A">
      <w:pPr>
        <w:ind w:firstLine="420" w:firstLineChars="200"/>
      </w:pPr>
      <w:r>
        <w:rPr>
          <w:rFonts w:hint="eastAsia"/>
        </w:rPr>
        <w:t>“开展村庄美化绿化的村占比”：目标比例在90%以上，实际完成90%以上，较好完成计划目标。得到满分2分。</w:t>
      </w:r>
    </w:p>
    <w:p w14:paraId="3386A845">
      <w:pPr>
        <w:ind w:firstLine="420" w:firstLineChars="200"/>
      </w:pPr>
      <w:bookmarkStart w:id="485" w:name="_Toc86174738"/>
      <w:r>
        <w:rPr>
          <w:rFonts w:hint="eastAsia"/>
        </w:rPr>
        <w:t>8.可持续影响指标（6分）</w:t>
      </w:r>
      <w:bookmarkEnd w:id="485"/>
    </w:p>
    <w:p w14:paraId="348EEF06">
      <w:pPr>
        <w:ind w:firstLine="420" w:firstLineChars="200"/>
      </w:pPr>
      <w:r>
        <w:rPr>
          <w:rFonts w:hint="eastAsia"/>
        </w:rPr>
        <w:t>“可持续影响指标”根据项目整体规划和明细项目设定3项三级指标进行评价，每项分值2分，满分6分，总计得5.75分。具体得分情况如下：</w:t>
      </w:r>
    </w:p>
    <w:p w14:paraId="1770F415">
      <w:pPr>
        <w:ind w:firstLine="420" w:firstLineChars="200"/>
      </w:pPr>
      <w:r>
        <w:rPr>
          <w:rFonts w:hint="eastAsia"/>
        </w:rPr>
        <w:t>“村庄规划管理覆盖率”：目标比例100%，实际完成98.67%。该指标满分2分，按照评分标准得到2×98.67%=1.97分。</w:t>
      </w:r>
    </w:p>
    <w:p w14:paraId="0ABA85A9">
      <w:pPr>
        <w:ind w:firstLine="420" w:firstLineChars="200"/>
      </w:pPr>
      <w:r>
        <w:rPr>
          <w:rFonts w:hint="eastAsia"/>
        </w:rPr>
        <w:t>“村党支部评星定级达三星级以上的村占比”：目标比例在95%以上，实际完成100%，超额完成计划目标。得到满分2分。</w:t>
      </w:r>
    </w:p>
    <w:p w14:paraId="052178F3">
      <w:pPr>
        <w:ind w:firstLine="420" w:firstLineChars="200"/>
      </w:pPr>
      <w:r>
        <w:rPr>
          <w:rFonts w:hint="eastAsia"/>
        </w:rPr>
        <w:t>“建有‘一约四会’的村占比”：目标比例100%，实际完成89%。该指标满分2分，按照评分标准得到2×89%=1.78分。</w:t>
      </w:r>
    </w:p>
    <w:p w14:paraId="0006AB06">
      <w:pPr>
        <w:ind w:firstLine="420" w:firstLineChars="200"/>
      </w:pPr>
      <w:bookmarkStart w:id="486" w:name="_Toc86174739"/>
      <w:r>
        <w:rPr>
          <w:rFonts w:hint="eastAsia"/>
        </w:rPr>
        <w:t>9.服务对象满意程度指标（10分）</w:t>
      </w:r>
      <w:bookmarkEnd w:id="483"/>
      <w:bookmarkEnd w:id="486"/>
    </w:p>
    <w:p w14:paraId="1A508D98">
      <w:pPr>
        <w:ind w:firstLine="420" w:firstLineChars="200"/>
      </w:pPr>
      <w:r>
        <w:rPr>
          <w:rFonts w:hint="eastAsia"/>
        </w:rPr>
        <w:t>“服务对象满意程度指标”设定2项三级指标进行评价，每项分值5分，满分10分，总计得10分。具体得分情况如下：</w:t>
      </w:r>
    </w:p>
    <w:p w14:paraId="2CAFE474">
      <w:pPr>
        <w:ind w:firstLine="420" w:firstLineChars="200"/>
      </w:pPr>
      <w:r>
        <w:rPr>
          <w:rFonts w:hint="eastAsia"/>
        </w:rPr>
        <w:t>“示范村农民满意度”：随机走访调查了4个示范村，每村随机调查30户村民，共计120户村民，全部村民均对乡村振兴工作表示满意，满意度达到100%。根据上级部署和莆田市有关文件要求，目标满意度91%，超额完成计划目标，得到满分5分。</w:t>
      </w:r>
    </w:p>
    <w:p w14:paraId="075E684E">
      <w:pPr>
        <w:ind w:firstLine="420" w:firstLineChars="200"/>
      </w:pPr>
      <w:r>
        <w:rPr>
          <w:rFonts w:hint="eastAsia"/>
        </w:rPr>
        <w:t>“满意度达90%以上的村占比”：目标比例100%，随机走访调查的4个示范村村民满意度均达到100%，较好完成计划目标，得到满分5分。</w:t>
      </w:r>
    </w:p>
    <w:p w14:paraId="5C3C3810">
      <w:pPr>
        <w:ind w:firstLine="420" w:firstLineChars="200"/>
        <w:outlineLvl w:val="0"/>
      </w:pPr>
      <w:bookmarkStart w:id="487" w:name="_Toc1253"/>
      <w:bookmarkStart w:id="488" w:name="_Toc45188020"/>
      <w:bookmarkStart w:id="489" w:name="_Toc86174740"/>
      <w:r>
        <w:rPr>
          <w:rFonts w:hint="eastAsia"/>
        </w:rPr>
        <w:t>五、绩效评价结论</w:t>
      </w:r>
      <w:bookmarkEnd w:id="487"/>
      <w:bookmarkEnd w:id="488"/>
      <w:bookmarkEnd w:id="489"/>
    </w:p>
    <w:p w14:paraId="04D97183">
      <w:pPr>
        <w:ind w:firstLine="420" w:firstLineChars="200"/>
      </w:pPr>
      <w:r>
        <w:rPr>
          <w:rFonts w:hint="eastAsia"/>
        </w:rPr>
        <w:t>经科学评价，莆田市乡村振兴专项资金中期绩效评价得分97.67分，评价等级为优秀。具体评分情况详见附件1。</w:t>
      </w:r>
    </w:p>
    <w:p w14:paraId="4C8368AA">
      <w:pPr>
        <w:ind w:firstLine="420" w:firstLineChars="200"/>
      </w:pPr>
      <w:r>
        <w:rPr>
          <w:rFonts w:hint="eastAsia"/>
        </w:rPr>
        <w:t>项目绩效评价工作组全体成员一致认为，莆田市乡村振兴专项资金政策立项依据充分，业务管理制度和财务管理制度健全，相关人员熟悉并能有效执行相应的规章制度，各项产出指标完成较好，取得了较好的经济、社会、生态效益，绩效目标基本完成。乡村振兴专项资金的投入，对于促进莆田市乡村全面振兴、全面建成小康社会具有重大的推动作用，发挥了财政资金的杠杆效应，取得了良好的效益。</w:t>
      </w:r>
    </w:p>
    <w:p w14:paraId="100AF82D">
      <w:pPr>
        <w:ind w:firstLine="420" w:firstLineChars="200"/>
      </w:pPr>
      <w:r>
        <w:rPr>
          <w:rFonts w:hint="eastAsia"/>
        </w:rPr>
        <w:t>对于该项目中的经验做法，绩效评价工作组进行了总结，针对绩效评分中被扣分的项目，工作组进行了问题原因分析，并提出改进意见，以期能对提高和改善莆田市乡村振兴专项资金的使用效益，加强乡村振兴专项资金的预算与管理提供建议与帮助。</w:t>
      </w:r>
    </w:p>
    <w:p w14:paraId="58437B5B">
      <w:pPr>
        <w:ind w:firstLine="420" w:firstLineChars="200"/>
        <w:outlineLvl w:val="0"/>
      </w:pPr>
      <w:bookmarkStart w:id="490" w:name="_Toc8095"/>
      <w:bookmarkStart w:id="491" w:name="_Toc45188021"/>
      <w:bookmarkStart w:id="492" w:name="_Toc86174741"/>
      <w:r>
        <w:rPr>
          <w:rFonts w:hint="eastAsia"/>
        </w:rPr>
        <w:t>六、经验做法、存在问题及原因分析</w:t>
      </w:r>
      <w:bookmarkEnd w:id="490"/>
      <w:bookmarkEnd w:id="491"/>
      <w:bookmarkEnd w:id="492"/>
    </w:p>
    <w:p w14:paraId="6AB5C60E">
      <w:pPr>
        <w:ind w:firstLine="420" w:firstLineChars="200"/>
      </w:pPr>
      <w:bookmarkStart w:id="493" w:name="_Toc86174742"/>
      <w:bookmarkStart w:id="494" w:name="_Toc45188022"/>
      <w:r>
        <w:rPr>
          <w:rFonts w:hint="eastAsia"/>
        </w:rPr>
        <w:t>（一）经验做法</w:t>
      </w:r>
      <w:bookmarkEnd w:id="493"/>
      <w:bookmarkEnd w:id="494"/>
    </w:p>
    <w:p w14:paraId="430CB6AD">
      <w:pPr>
        <w:ind w:firstLine="420" w:firstLineChars="200"/>
      </w:pPr>
      <w:r>
        <w:rPr>
          <w:rFonts w:hint="eastAsia"/>
        </w:rPr>
        <w:t>通过上述莆田市乡村振兴专项资金绩效分析，对该项目值得借鉴的经验做法总结如下。</w:t>
      </w:r>
    </w:p>
    <w:p w14:paraId="5C738B30">
      <w:pPr>
        <w:ind w:firstLine="420" w:firstLineChars="200"/>
      </w:pPr>
      <w:bookmarkStart w:id="495" w:name="_Toc86174743"/>
      <w:r>
        <w:rPr>
          <w:rFonts w:hint="eastAsia"/>
        </w:rPr>
        <w:t>1.强抓重点项目，做好试点示范</w:t>
      </w:r>
      <w:bookmarkEnd w:id="495"/>
    </w:p>
    <w:p w14:paraId="4729138B">
      <w:pPr>
        <w:ind w:firstLine="420" w:firstLineChars="200"/>
      </w:pPr>
      <w:r>
        <w:rPr>
          <w:rFonts w:hint="eastAsia"/>
        </w:rPr>
        <w:t>莆田市乡村振兴专项资金推动了特色产业发展、人居环境整治等一百多项重点任务、重点项目落得到实；6个乡镇、82个村列入省级乡村振兴试点示范，乡村基础设施与公共服务得到大幅度提升，打造乡村振兴“串点连线成片”示范线路20多条；构建全市乡村振兴项目库，完善试点村项目信息，推动项目建设，同时督促全市非省级特色乡镇、试点村完成三年建设发展方案的制定；市级及各县区均出台了乡村振兴专项资金的管理办法和分配方案，明确专项资金补助标准、专项资金申请、分配和拨付程序，支持试点村项目建设，保障乡村振兴试点投入；建立乡村振兴试点示范挂钩联系制度，出台《关于建立乡村振兴试点示范挂钩联系制度的通知》，市领导和县区党政主要领导带头挂钩推动试点示范工作，成效显著。重点项目和试点示范的大力推进，为全市其他各地的乡村振兴工作提供了样板，将极大地促进全市乡村全面振兴的进程。</w:t>
      </w:r>
    </w:p>
    <w:p w14:paraId="42889F13">
      <w:pPr>
        <w:ind w:firstLine="420" w:firstLineChars="200"/>
      </w:pPr>
      <w:bookmarkStart w:id="496" w:name="_Toc86174744"/>
      <w:r>
        <w:rPr>
          <w:rFonts w:hint="eastAsia"/>
        </w:rPr>
        <w:t>2.紧跟时代潮流，大胆开拓创新</w:t>
      </w:r>
      <w:bookmarkEnd w:id="496"/>
    </w:p>
    <w:p w14:paraId="3F5B1C07">
      <w:pPr>
        <w:ind w:firstLine="420" w:firstLineChars="200"/>
      </w:pPr>
      <w:r>
        <w:rPr>
          <w:rFonts w:hint="eastAsia"/>
        </w:rPr>
        <w:t>全省首家成立振兴乡村集团公司，实现“破壳消薄”（破除消除村集体经济空壳村和薄弱村），全市所有村的村集体经营性收入超过10万元/村。建立了乡村振兴综合服务平台——“壶兰乡村”，并正式上线服务，为实现乡村全面振兴提供大数据的导向应用和服务支撑。另有“创新国有投融资机制助力脱贫攻坚与乡村振兴工作”得到省政府领导批示肯定。以上创新举措体现了莆田市乡村振兴工作的开拓精神，密切结合实际并紧跟时代潮流，在深入调研的基础上取得了实效。</w:t>
      </w:r>
    </w:p>
    <w:p w14:paraId="766C77F3">
      <w:pPr>
        <w:ind w:firstLine="420" w:firstLineChars="200"/>
      </w:pPr>
      <w:bookmarkStart w:id="497" w:name="_Toc86174745"/>
      <w:r>
        <w:rPr>
          <w:rFonts w:hint="eastAsia"/>
        </w:rPr>
        <w:t>3.力推国家典型，积累宝贵经验</w:t>
      </w:r>
      <w:bookmarkEnd w:id="497"/>
    </w:p>
    <w:p w14:paraId="75B2B0DD">
      <w:pPr>
        <w:ind w:firstLine="420" w:firstLineChars="200"/>
      </w:pPr>
      <w:r>
        <w:rPr>
          <w:rFonts w:hint="eastAsia"/>
        </w:rPr>
        <w:t>在乡村振兴专项资金的支持下，莆田市树立了一批国家级的典型。例如，钟山镇上榜全国“一村一品”示范镇，涵江区成为全国率先实现农业农村现代化的试点县区，木兰溪治水理念和治水经验在全国推广，16个村评为国家森林乡村，仙游县被文旅部评为“中国民间文化艺术之乡”，“一网四化构筑关爱体系，全力打造留守儿童关爱工作新格局”成为首批全国农村公共服务典型案例，涵江区江口镇东大村和仙游县钟山镇南兴村被评为全国乡村治理示范村，湄洲岛被列为国家5A旅游景区和全国农村生活垃圾分类和资源化利用示范县，等等。各国家级典型的树立，不仅增强了全市乡村振兴工作的信心，而且为其他有条件的村镇申报荣誉和争取资源提供了经验。</w:t>
      </w:r>
    </w:p>
    <w:p w14:paraId="21C1AB1D">
      <w:pPr>
        <w:ind w:firstLine="420" w:firstLineChars="200"/>
      </w:pPr>
      <w:bookmarkStart w:id="498" w:name="_Toc45188027"/>
      <w:bookmarkStart w:id="499" w:name="_Toc86174746"/>
      <w:r>
        <w:rPr>
          <w:rFonts w:hint="eastAsia"/>
        </w:rPr>
        <w:t>（二）存在问题</w:t>
      </w:r>
      <w:bookmarkEnd w:id="498"/>
      <w:r>
        <w:rPr>
          <w:rFonts w:hint="eastAsia"/>
        </w:rPr>
        <w:t>及原因分析</w:t>
      </w:r>
      <w:bookmarkEnd w:id="499"/>
    </w:p>
    <w:p w14:paraId="09CDF5EC">
      <w:pPr>
        <w:ind w:firstLine="420" w:firstLineChars="200"/>
      </w:pPr>
      <w:r>
        <w:rPr>
          <w:rFonts w:hint="eastAsia"/>
        </w:rPr>
        <w:t>通过上述莆田市乡村振兴专项资金的绩效分析，发现目前乡村振兴专项资金在管理、运行和产出效益方面还存在一些不足之处，评价工作组将这些问题及其产生原因总结如下。</w:t>
      </w:r>
    </w:p>
    <w:p w14:paraId="445C151A">
      <w:pPr>
        <w:ind w:firstLine="420" w:firstLineChars="200"/>
      </w:pPr>
      <w:bookmarkStart w:id="500" w:name="_Toc86174747"/>
      <w:r>
        <w:rPr>
          <w:rFonts w:hint="eastAsia"/>
        </w:rPr>
        <w:t>1.政策宣传力度不够，特色产业引领不足</w:t>
      </w:r>
      <w:bookmarkEnd w:id="500"/>
    </w:p>
    <w:p w14:paraId="2E7A52A0">
      <w:pPr>
        <w:ind w:firstLine="420" w:firstLineChars="200"/>
      </w:pPr>
      <w:r>
        <w:rPr>
          <w:rFonts w:hint="eastAsia"/>
        </w:rPr>
        <w:t>在乡村振兴的整体工作开展中，对群众的宣传发动还稍显不足，群众的参与度不高；农村现代化建设投入不足，农民主体作用发挥不够，工作推进仍不平衡；特色产业发展和品牌引领上还存在不足，农村规模特色产业典型的作用还没得有有效发挥，产业带动经济发展的效果不够明显。</w:t>
      </w:r>
    </w:p>
    <w:p w14:paraId="02061455">
      <w:pPr>
        <w:ind w:firstLine="420" w:firstLineChars="200"/>
      </w:pPr>
      <w:bookmarkStart w:id="501" w:name="_Toc86174748"/>
      <w:r>
        <w:rPr>
          <w:rFonts w:hint="eastAsia"/>
        </w:rPr>
        <w:t>2.项目谋划有待加强，部分项目进度较慢</w:t>
      </w:r>
      <w:bookmarkEnd w:id="501"/>
    </w:p>
    <w:p w14:paraId="25FFF4BE">
      <w:pPr>
        <w:ind w:firstLine="420" w:firstLineChars="200"/>
      </w:pPr>
      <w:r>
        <w:rPr>
          <w:rFonts w:hint="eastAsia"/>
        </w:rPr>
        <w:t>2020年前期各试点村项目谋划不够充分，对实施项目工程的前期酝酿不足，前期工作占用序时较长导致工程进度滞后，部分项目没有按时完成专项资金的使用。主要原因一方面是2020年疫情影响，导致上半年项目进展缓慢，另一方面是项目申报时缺乏科学细致的谋划，导致项目在真正开始实施前需对此前规划进行进一步调整。</w:t>
      </w:r>
    </w:p>
    <w:p w14:paraId="4A7A1494">
      <w:pPr>
        <w:ind w:firstLine="420" w:firstLineChars="200"/>
      </w:pPr>
      <w:bookmarkStart w:id="502" w:name="_Toc86174749"/>
      <w:r>
        <w:rPr>
          <w:rFonts w:hint="eastAsia"/>
        </w:rPr>
        <w:t>3.各类资源比较分散，缺乏合理有效整合</w:t>
      </w:r>
      <w:bookmarkEnd w:id="502"/>
    </w:p>
    <w:p w14:paraId="2F64E1E4">
      <w:pPr>
        <w:ind w:firstLine="420" w:firstLineChars="200"/>
      </w:pPr>
      <w:r>
        <w:rPr>
          <w:rFonts w:hint="eastAsia"/>
        </w:rPr>
        <w:t>乡村振兴各类资金补助较为分散，行业内资金整合与行业间资金统筹的相互衔接不畅，未能起到“四两拨千斤”作用。优秀人才下乡的积极性不高，缺乏相应的导向机制和保障政策。部门推动乡村振兴的政策措施仍有待进一步协调，条块项目和资金需整合。</w:t>
      </w:r>
    </w:p>
    <w:p w14:paraId="400980DD">
      <w:pPr>
        <w:ind w:firstLine="420" w:firstLineChars="200"/>
        <w:outlineLvl w:val="0"/>
      </w:pPr>
      <w:bookmarkStart w:id="503" w:name="_Toc19856"/>
      <w:bookmarkStart w:id="504" w:name="_Toc45188035"/>
      <w:bookmarkStart w:id="505" w:name="_Toc86174750"/>
      <w:r>
        <w:rPr>
          <w:rFonts w:hint="eastAsia"/>
        </w:rPr>
        <w:t>七、相关建议</w:t>
      </w:r>
      <w:bookmarkEnd w:id="503"/>
      <w:bookmarkEnd w:id="504"/>
      <w:bookmarkEnd w:id="505"/>
    </w:p>
    <w:p w14:paraId="48784791">
      <w:pPr>
        <w:ind w:firstLine="420" w:firstLineChars="200"/>
      </w:pPr>
      <w:r>
        <w:rPr>
          <w:rFonts w:hint="eastAsia"/>
        </w:rPr>
        <w:t>虽然莆田市乡村振兴专项资金绩效表现优秀，但是仍然有改进的空间，针对绩效评价中发现的问题，以及有关的因素分析，为了进一步提高乡村振兴专项资金绩效，评价工作组提出如下建议。</w:t>
      </w:r>
    </w:p>
    <w:p w14:paraId="3D0D1600">
      <w:pPr>
        <w:ind w:firstLine="420" w:firstLineChars="200"/>
      </w:pPr>
      <w:bookmarkStart w:id="506" w:name="_Toc45188036"/>
      <w:bookmarkStart w:id="507" w:name="_Toc86174751"/>
      <w:r>
        <w:rPr>
          <w:rFonts w:hint="eastAsia"/>
        </w:rPr>
        <w:t>（一）</w:t>
      </w:r>
      <w:bookmarkEnd w:id="506"/>
      <w:r>
        <w:rPr>
          <w:rFonts w:hint="eastAsia"/>
        </w:rPr>
        <w:t>加大政策宣传力度，发挥产业特色优势</w:t>
      </w:r>
      <w:bookmarkEnd w:id="507"/>
    </w:p>
    <w:p w14:paraId="70F4BDA9">
      <w:pPr>
        <w:ind w:firstLine="420" w:firstLineChars="200"/>
      </w:pPr>
      <w:r>
        <w:rPr>
          <w:rFonts w:hint="eastAsia"/>
        </w:rPr>
        <w:t>不断加大媒体的宣传力度，努力营造“乡村振兴，全民参与”的积极氛围，广泛宣传乡村振兴战略实施的重大意义；优化财政供给结构，推进行业内资金整合与行业间资金统筹相互衔接配合，充分发挥财政资金的引导作用；充分挖掘现有农业产业优势，充分调动镇、村积极性，因地制宜、科学谋划农业特色产业项目，助推乡村产业振兴，推动乡村振兴战略落地落实。</w:t>
      </w:r>
    </w:p>
    <w:p w14:paraId="6DECDB76">
      <w:pPr>
        <w:ind w:firstLine="420" w:firstLineChars="200"/>
      </w:pPr>
      <w:bookmarkStart w:id="508" w:name="_Toc86174752"/>
      <w:r>
        <w:rPr>
          <w:rFonts w:hint="eastAsia"/>
        </w:rPr>
        <w:t>（二）强化资金使用管理，监督项目实施过程</w:t>
      </w:r>
      <w:bookmarkEnd w:id="508"/>
    </w:p>
    <w:p w14:paraId="32E50E26">
      <w:pPr>
        <w:ind w:firstLine="420" w:firstLineChars="200"/>
      </w:pPr>
      <w:r>
        <w:rPr>
          <w:rFonts w:hint="eastAsia"/>
        </w:rPr>
        <w:t>对此问题应强化项目管理。加强各职能部门的协作关系，提高管理效率，对工程项目实行项目责任人负责制，压实责任，坚持“谁主管，谁负责”的原则，督促项目负责人员自觉做到各项基础性资料的收集与项目管理同步进行。同时对于目前还处在前期阶段的项目要加强项目前期工作谋划，保障项目落地。树立前期决策工作质量好坏直接影响项目投资效益的观念，要精细谋划、科学决策，保证项目前期科研、设计工作的质量。</w:t>
      </w:r>
    </w:p>
    <w:p w14:paraId="75B2BC08">
      <w:pPr>
        <w:ind w:firstLine="420" w:firstLineChars="200"/>
      </w:pPr>
      <w:bookmarkStart w:id="509" w:name="_Toc86174753"/>
      <w:r>
        <w:rPr>
          <w:rFonts w:hint="eastAsia"/>
        </w:rPr>
        <w:t>（三）重视各类资源整合，统筹优化全局分配</w:t>
      </w:r>
      <w:bookmarkEnd w:id="509"/>
    </w:p>
    <w:p w14:paraId="627D1A63">
      <w:pPr>
        <w:ind w:firstLine="420" w:firstLineChars="200"/>
      </w:pPr>
      <w:r>
        <w:rPr>
          <w:rFonts w:hint="eastAsia"/>
        </w:rPr>
        <w:t>实施乡村振兴战略要强化资金支持，对涉农资金，如美丽乡村建设、人居环境整治、农村基础设施建设、农村公共服务建设资金等进行整合，予以统筹使用。专项资金可按照投资一体化思路，依托投融资平台，通过政府与社会资本合作、政府购买服务、担保贴息、以奖代补、民办公助、风险补偿等措施，来撬动社会资金投入乡村振兴建设。同时，强化乡村振兴的信贷资金保障，拓宽乡村振兴直接融资渠道，加大再贷款再贴现的政策支持，发挥差别化存款准备金的正向激励，强化农村普惠金融服务点建设，深化金融服务支持乡村振兴。</w:t>
      </w:r>
    </w:p>
    <w:p w14:paraId="3A4CB5C8">
      <w:pPr>
        <w:ind w:firstLine="420" w:firstLineChars="200"/>
      </w:pPr>
    </w:p>
    <w:p w14:paraId="1A3C87ED">
      <w:pPr>
        <w:ind w:firstLine="420" w:firstLineChars="200"/>
      </w:pPr>
    </w:p>
    <w:p w14:paraId="6875510D">
      <w:pPr>
        <w:ind w:firstLine="420" w:firstLineChars="200"/>
      </w:pPr>
    </w:p>
    <w:p w14:paraId="746C8F18">
      <w:pPr>
        <w:ind w:firstLine="420" w:firstLineChars="200"/>
      </w:pPr>
    </w:p>
    <w:p w14:paraId="4D1D4732">
      <w:pPr>
        <w:ind w:firstLine="420" w:firstLineChars="200"/>
      </w:pPr>
    </w:p>
    <w:p w14:paraId="51A368DA">
      <w:pPr>
        <w:ind w:firstLine="420" w:firstLineChars="200"/>
      </w:pPr>
    </w:p>
    <w:p w14:paraId="0697A3B2">
      <w:pPr>
        <w:ind w:firstLine="420" w:firstLineChars="200"/>
      </w:pPr>
    </w:p>
    <w:p w14:paraId="787AF2F3">
      <w:pPr>
        <w:ind w:firstLine="420" w:firstLineChars="200"/>
      </w:pPr>
    </w:p>
    <w:p w14:paraId="559F6F3D">
      <w:pPr>
        <w:ind w:firstLine="420" w:firstLineChars="200"/>
      </w:pPr>
    </w:p>
    <w:p w14:paraId="3459DE9D">
      <w:pPr>
        <w:ind w:firstLine="420" w:firstLineChars="200"/>
      </w:pPr>
    </w:p>
    <w:p w14:paraId="0DBA6AE7">
      <w:pPr>
        <w:ind w:firstLine="420" w:firstLineChars="200"/>
      </w:pPr>
    </w:p>
    <w:p w14:paraId="33153F76">
      <w:pPr>
        <w:ind w:firstLine="420" w:firstLineChars="200"/>
      </w:pPr>
    </w:p>
    <w:p w14:paraId="6B7EE7D2">
      <w:pPr>
        <w:ind w:firstLine="420" w:firstLineChars="200"/>
      </w:pPr>
    </w:p>
    <w:p w14:paraId="135C5468">
      <w:pPr>
        <w:ind w:firstLine="420" w:firstLineChars="200"/>
      </w:pPr>
    </w:p>
    <w:p w14:paraId="66ECEBDF">
      <w:pPr>
        <w:ind w:firstLine="420" w:firstLineChars="200"/>
      </w:pPr>
    </w:p>
    <w:p w14:paraId="3203C522">
      <w:pPr>
        <w:ind w:firstLine="420" w:firstLineChars="200"/>
      </w:pPr>
    </w:p>
    <w:p w14:paraId="3B56FB3E">
      <w:pPr>
        <w:ind w:firstLine="420" w:firstLineChars="200"/>
      </w:pPr>
    </w:p>
    <w:p w14:paraId="3A60CD46">
      <w:pPr>
        <w:ind w:firstLine="420" w:firstLineChars="200"/>
      </w:pPr>
    </w:p>
    <w:p w14:paraId="51E74B03">
      <w:pPr>
        <w:ind w:firstLine="420" w:firstLineChars="200"/>
      </w:pPr>
    </w:p>
    <w:p w14:paraId="3A2B94DF">
      <w:pPr>
        <w:ind w:firstLine="420" w:firstLineChars="200"/>
      </w:pPr>
    </w:p>
    <w:p w14:paraId="2CDBDA9E">
      <w:pPr>
        <w:ind w:firstLine="420" w:firstLineChars="200"/>
      </w:pPr>
    </w:p>
    <w:p w14:paraId="7F09DC28">
      <w:pPr>
        <w:ind w:firstLine="420" w:firstLineChars="200"/>
      </w:pPr>
    </w:p>
    <w:p w14:paraId="70C77F05">
      <w:pPr>
        <w:ind w:firstLine="420" w:firstLineChars="200"/>
      </w:pPr>
    </w:p>
    <w:p w14:paraId="15426EFC">
      <w:pPr>
        <w:ind w:firstLine="420" w:firstLineChars="200"/>
      </w:pPr>
    </w:p>
    <w:p w14:paraId="1102760A">
      <w:pPr>
        <w:ind w:firstLine="420" w:firstLineChars="200"/>
      </w:pPr>
    </w:p>
    <w:p w14:paraId="0941C999">
      <w:pPr>
        <w:ind w:firstLine="420" w:firstLineChars="200"/>
      </w:pPr>
    </w:p>
    <w:p w14:paraId="1396B830">
      <w:pPr>
        <w:ind w:firstLine="420" w:firstLineChars="200"/>
      </w:pPr>
    </w:p>
    <w:p w14:paraId="27003322">
      <w:pPr>
        <w:ind w:firstLine="420" w:firstLineChars="200"/>
      </w:pPr>
    </w:p>
    <w:p w14:paraId="3FFAD256">
      <w:pPr>
        <w:ind w:firstLine="420" w:firstLineChars="200"/>
      </w:pPr>
    </w:p>
    <w:p w14:paraId="275E65C4">
      <w:pPr>
        <w:ind w:firstLine="420" w:firstLineChars="200"/>
      </w:pPr>
    </w:p>
    <w:p w14:paraId="1E625D4B">
      <w:pPr>
        <w:ind w:firstLine="420" w:firstLineChars="200"/>
      </w:pPr>
    </w:p>
    <w:p w14:paraId="03949F63">
      <w:pPr>
        <w:ind w:firstLine="420" w:firstLineChars="200"/>
      </w:pPr>
    </w:p>
    <w:p w14:paraId="45723B47">
      <w:pPr>
        <w:ind w:firstLine="420" w:firstLineChars="200"/>
      </w:pPr>
    </w:p>
    <w:p w14:paraId="5325E58F">
      <w:pPr>
        <w:pStyle w:val="2"/>
        <w:jc w:val="center"/>
      </w:pPr>
      <w:bookmarkStart w:id="510" w:name="_Toc4693"/>
      <w:r>
        <w:rPr>
          <w:rFonts w:hint="eastAsia"/>
        </w:rPr>
        <w:t>莆田市本级项目前期经费专项资金绩效评价报告</w:t>
      </w:r>
      <w:bookmarkEnd w:id="510"/>
    </w:p>
    <w:p w14:paraId="3CAA3113">
      <w:pPr>
        <w:ind w:firstLine="420" w:firstLineChars="200"/>
      </w:pPr>
      <w:r>
        <w:rPr>
          <w:rFonts w:hint="eastAsia"/>
        </w:rPr>
        <w:t>为提高财政资金使用效益，合理配置公共财政资源，根据《中华人民共和国预算法》及中共莆田市委、市政府印发的《关于全面实施预算绩效管理的实施意见》（莆委发〔2019〕2号）和《莆田市市级财政预算绩效评价管理暂行办法》（莆财绩〔2019〕11号）等文件精神，莆田市财政局委托莆田学院财政绩效管理研究中心成立绩效评价小组，对莆田市本级项目前期经费专项资金开展绩效评价工作。评价情况如下：</w:t>
      </w:r>
    </w:p>
    <w:p w14:paraId="271D015E">
      <w:pPr>
        <w:ind w:firstLine="420" w:firstLineChars="200"/>
        <w:outlineLvl w:val="0"/>
      </w:pPr>
      <w:bookmarkStart w:id="511" w:name="_Toc15727"/>
      <w:bookmarkStart w:id="512" w:name="_Toc84000058"/>
      <w:r>
        <w:rPr>
          <w:rFonts w:hint="eastAsia"/>
        </w:rPr>
        <w:t>一、政策基本情况</w:t>
      </w:r>
      <w:bookmarkEnd w:id="511"/>
      <w:bookmarkEnd w:id="512"/>
    </w:p>
    <w:p w14:paraId="1F91B5B2">
      <w:pPr>
        <w:ind w:firstLine="420" w:firstLineChars="200"/>
      </w:pPr>
      <w:bookmarkStart w:id="513" w:name="_Toc84000059"/>
      <w:r>
        <w:rPr>
          <w:rFonts w:hint="eastAsia"/>
        </w:rPr>
        <w:t>（一）政策背景</w:t>
      </w:r>
      <w:bookmarkEnd w:id="513"/>
    </w:p>
    <w:p w14:paraId="7213B3EB">
      <w:pPr>
        <w:ind w:firstLine="420" w:firstLineChars="200"/>
      </w:pPr>
      <w:r>
        <w:rPr>
          <w:rFonts w:hint="eastAsia"/>
        </w:rPr>
        <w:t>莆田市本级项目前期工作经费是根据中共莆田市委莆田市人民政府《关于加快推进重大项目建设的若干意见》（莆委发[2010]7号）、莆田市人民政府办公室《关于加快推进政府性投资项目前期工作的意见》（莆政办[2017]111号）立项的专项资金，执行周期为2018年至2020年。</w:t>
      </w:r>
    </w:p>
    <w:p w14:paraId="20A1C751">
      <w:pPr>
        <w:ind w:firstLine="420" w:firstLineChars="200"/>
      </w:pPr>
      <w:r>
        <w:rPr>
          <w:rFonts w:hint="eastAsia"/>
        </w:rPr>
        <w:t>项目前期工作是指项目从策划到正式开工建设之前所发生的一系列工作，以及与固定资产投资有关的规划研究、政策法规研究、软课题研究等工作（不包括项目开工前的“五通一平”预备工作）。</w:t>
      </w:r>
    </w:p>
    <w:p w14:paraId="4E4F9479">
      <w:pPr>
        <w:ind w:firstLine="420" w:firstLineChars="200"/>
      </w:pPr>
      <w:r>
        <w:rPr>
          <w:rFonts w:hint="eastAsia"/>
        </w:rPr>
        <w:t>项目前期经费是指项目前期过程中形成的费用，主要有项目技术、行政文书（包括项目建议书、可行性研究、初步设计、施工图设计、规划研究成果、软课题研究成果等文件资料）在研讨、编制、审查、论证等业务工作方面所产生的费用，如：勘察费、设计费、调研费、委托编制费、论证费、概算审查费、项目评估评审费、劳务费、资料费等费用，以及经同级政府批准的与前期工作相关的其他费用。项目前期经费推动重点项目前期工作加快进度，提高了招商项目转化率，增强了项目储备，为经济发展提供了有力支撑。由于机构改革，莆田市本级重大项目前期经费专项资金绩效评价以2020年数据为样本进行评价。2020年，市财政预算安排重大项目前期工作经费4000万元。项目管理单位为莆田市发改委。</w:t>
      </w:r>
    </w:p>
    <w:p w14:paraId="4E1BD1AE">
      <w:pPr>
        <w:ind w:firstLine="420" w:firstLineChars="200"/>
      </w:pPr>
      <w:bookmarkStart w:id="514" w:name="_Toc84000060"/>
      <w:r>
        <w:rPr>
          <w:rFonts w:hint="eastAsia"/>
        </w:rPr>
        <w:t>（二）政策实施情况</w:t>
      </w:r>
      <w:bookmarkEnd w:id="514"/>
    </w:p>
    <w:p w14:paraId="20307715">
      <w:pPr>
        <w:ind w:firstLine="420" w:firstLineChars="200"/>
      </w:pPr>
      <w:r>
        <w:rPr>
          <w:rFonts w:hint="eastAsia"/>
        </w:rPr>
        <w:t>1.2020年全市开放招商工作成效</w:t>
      </w:r>
    </w:p>
    <w:p w14:paraId="3B854360">
      <w:pPr>
        <w:ind w:firstLine="420" w:firstLineChars="200"/>
      </w:pPr>
      <w:r>
        <w:rPr>
          <w:rFonts w:hint="eastAsia"/>
        </w:rPr>
        <w:t>2020年，全市新增对接项目446个，其中，产业类项目351个，计划总投资2895.7亿元，洽谈项目转化率65%、已签约项目开工率64%；总部和平台类项目95个，完成签约及公司注册69个，2020年纳税达到500万元以上的10个。引进亿元以上产业类项目139个，超额完成全年任务。其中，10亿元以上项目31个，20亿元以上项目17个，100亿元以上项目3个。秀屿区的丙烷制丙烯项目、城厢区的大唐5G项目等2个项目被认定为2020年度全市开放招商“金娃娃”项目；2020年省对市绩效考核指标中央企项目招商成效排名全省前三。</w:t>
      </w:r>
    </w:p>
    <w:p w14:paraId="3DA62F59">
      <w:pPr>
        <w:ind w:firstLine="420" w:firstLineChars="200"/>
      </w:pPr>
      <w:r>
        <w:rPr>
          <w:rFonts w:hint="eastAsia"/>
        </w:rPr>
        <w:t>2.2020年重点项目建设情况</w:t>
      </w:r>
    </w:p>
    <w:p w14:paraId="0DD5976B">
      <w:pPr>
        <w:ind w:firstLine="420" w:firstLineChars="200"/>
      </w:pPr>
      <w:r>
        <w:rPr>
          <w:rFonts w:hint="eastAsia"/>
        </w:rPr>
        <w:t>2020年全市共安排市重点项目（含省重点项目）330个，总投资4999.7亿元，年度计划投资719.9亿元。330个项目全年累计完成投资788.8亿元，占年度投资计划的109.6%。其中，</w:t>
      </w:r>
    </w:p>
    <w:p w14:paraId="1CBF393A">
      <w:pPr>
        <w:ind w:firstLine="420" w:firstLineChars="200"/>
      </w:pPr>
      <w:r>
        <w:rPr>
          <w:rFonts w:hint="eastAsia"/>
        </w:rPr>
        <w:t>100个促开工项目总投资1162.5亿元，年度计划投资159.8亿元，1-12月完成投资143.8亿元，占年度投资计划的90.0%。大唐5G产业东南总部基地、恒达机电、仙游仙港电子信息厂房建设、仙游城乡供水一体化、顶墩下黄棚户区改造、莆田市老年文体教育中心等72个项目实现开工。</w:t>
      </w:r>
    </w:p>
    <w:p w14:paraId="432C4D89">
      <w:pPr>
        <w:ind w:firstLine="420" w:firstLineChars="200"/>
      </w:pPr>
      <w:r>
        <w:rPr>
          <w:rFonts w:hint="eastAsia"/>
        </w:rPr>
        <w:t>100个促竣工项目总投资1015.2亿元，年度计划投资199.7亿元，1-12月完成投资239.8亿元，占年度投资计划的120.1%。长城华兴玻璃、仙游3C产业园、华峰生态科技产业园、瑞仕国际潜力少年综合中心、滨溪北路、仙游六馆等87个项目实现竣工（含部分建成）。</w:t>
      </w:r>
    </w:p>
    <w:p w14:paraId="01AEC692">
      <w:pPr>
        <w:ind w:firstLine="420" w:firstLineChars="200"/>
      </w:pPr>
      <w:r>
        <w:rPr>
          <w:rFonts w:hint="eastAsia"/>
        </w:rPr>
        <w:t>100个促进度项目总投资1997.6亿元，年度计划投资360.4亿元，1-12月完成投资405.2亿元，占年度投资计划的112.4%。新建福厦铁路莆田段、三棵树涂料系列产品生产项目、华锦纺织、妈祖国际健康城等82个项目投资完成超亿元。</w:t>
      </w:r>
    </w:p>
    <w:p w14:paraId="7DB33FEB">
      <w:pPr>
        <w:ind w:firstLine="420" w:firstLineChars="200"/>
      </w:pPr>
      <w:r>
        <w:rPr>
          <w:rFonts w:hint="eastAsia"/>
        </w:rPr>
        <w:t>30个促前期项目总投资824亿元。城厢区龙德井危旧房改造项目等11个项目取得阶段性成果。</w:t>
      </w:r>
    </w:p>
    <w:p w14:paraId="3222C9C5">
      <w:pPr>
        <w:ind w:firstLine="420" w:firstLineChars="200"/>
      </w:pPr>
      <w:bookmarkStart w:id="515" w:name="_Toc84000061"/>
      <w:r>
        <w:rPr>
          <w:rFonts w:hint="eastAsia"/>
        </w:rPr>
        <w:t>（三）资金来源和使用情况</w:t>
      </w:r>
      <w:bookmarkEnd w:id="515"/>
    </w:p>
    <w:p w14:paraId="0C001362">
      <w:pPr>
        <w:ind w:firstLine="420" w:firstLineChars="200"/>
      </w:pPr>
      <w:r>
        <w:rPr>
          <w:rFonts w:hint="eastAsia"/>
        </w:rPr>
        <w:t>1.资金来源</w:t>
      </w:r>
    </w:p>
    <w:p w14:paraId="0E8ACCEE">
      <w:pPr>
        <w:ind w:firstLine="420" w:firstLineChars="200"/>
      </w:pPr>
      <w:r>
        <w:rPr>
          <w:rFonts w:hint="eastAsia"/>
        </w:rPr>
        <w:t>根据《中共莆田市委 莆田市人民政府关于加快重点项目建设的若干意见》（莆委发[2010]7号）、《莆田市人民政府办公室关于加快推进政府性投资项目前期工作的意见》（莆政办[2017]111号）等有关政策文件，由市财政每年增加预算安排2000万元，作为计划内市政、交通、水利、文化、体育、教育、卫生等项目前期工作经费，由市发改委统一管理，统筹安排使用。按照资金预算安排，2020年市本级项目前期经费为4000万元，属基金预算拨款，在部门发展性项目支出。</w:t>
      </w:r>
    </w:p>
    <w:p w14:paraId="39345732">
      <w:pPr>
        <w:ind w:firstLine="420" w:firstLineChars="200"/>
      </w:pPr>
      <w:r>
        <w:rPr>
          <w:rFonts w:hint="eastAsia"/>
        </w:rPr>
        <w:t>2.资金实际拨付</w:t>
      </w:r>
    </w:p>
    <w:p w14:paraId="4BD4CB33">
      <w:pPr>
        <w:ind w:firstLine="420" w:firstLineChars="200"/>
      </w:pPr>
      <w:r>
        <w:rPr>
          <w:rFonts w:hint="eastAsia"/>
        </w:rPr>
        <w:t>2020年财政局向市直单位拨付1607.1万元，年底回收584.65万元，具体详见表1。根据《莆田市财政局 莆田市发展和改革委员会关于下达2020年市本级项目前期经费的通知》（莆财建[2020]48号），财政局下达2020年市本级项目前期经费290万元，专项用于2020年省市在建重点项目复工奖励。根据《莆田市应对新型冠状病毒感染肺炎疫情工作指导部关于切实加强疫情科学防控有序推进企业和项目复工复产二十条措施的通知》文件精神，以及《莆田市财政局关于市发改委调整2020年度市本级前期经费专项资金预算支出级次的意见》（莆财建函[2020]59号），其中430万由市本级支出调整为转移支付补助县区支出；根据莆财建[2020]55号、莆财建[2020]66号、莆财建[2020]107号，专项用于2020年第一季度、第二季度、第三季度“五个一批”项目综合考评奖励，每季度100万元，三个季度共拨付奖励300万元。根据莆财建[2020]122号，财政局下达2020年时本级项目前期经费130万元，专项用于2020年口罩生产补助120万元、疫情防控补助10万元，补助县区合计720万元，具体详见表2。</w:t>
      </w:r>
    </w:p>
    <w:p w14:paraId="0FAD1A8F">
      <w:pPr>
        <w:ind w:firstLine="420" w:firstLineChars="200"/>
      </w:pPr>
      <w:r>
        <w:rPr>
          <w:rFonts w:hint="eastAsia"/>
        </w:rPr>
        <w:t>表1 市直单位资金拨付与使用情况</w:t>
      </w:r>
    </w:p>
    <w:p w14:paraId="468C2DD9">
      <w:pPr>
        <w:ind w:firstLine="420" w:firstLineChars="200"/>
      </w:pPr>
      <w:r>
        <w:rPr>
          <w:rFonts w:hint="eastAsia"/>
        </w:rPr>
        <w:t>单位：万元</w:t>
      </w:r>
    </w:p>
    <w:tbl>
      <w:tblPr>
        <w:tblStyle w:val="17"/>
        <w:tblpPr w:leftFromText="180" w:rightFromText="180" w:vertAnchor="text" w:tblpXSpec="center" w:tblpY="1"/>
        <w:tblOverlap w:val="never"/>
        <w:tblW w:w="8616" w:type="dxa"/>
        <w:jc w:val="center"/>
        <w:tblLayout w:type="fixed"/>
        <w:tblCellMar>
          <w:top w:w="0" w:type="dxa"/>
          <w:left w:w="108" w:type="dxa"/>
          <w:bottom w:w="0" w:type="dxa"/>
          <w:right w:w="108" w:type="dxa"/>
        </w:tblCellMar>
      </w:tblPr>
      <w:tblGrid>
        <w:gridCol w:w="724"/>
        <w:gridCol w:w="1639"/>
        <w:gridCol w:w="2531"/>
        <w:gridCol w:w="1432"/>
        <w:gridCol w:w="969"/>
        <w:gridCol w:w="1321"/>
      </w:tblGrid>
      <w:tr w14:paraId="33E75992">
        <w:tblPrEx>
          <w:tblCellMar>
            <w:top w:w="0" w:type="dxa"/>
            <w:left w:w="108" w:type="dxa"/>
            <w:bottom w:w="0" w:type="dxa"/>
            <w:right w:w="108" w:type="dxa"/>
          </w:tblCellMar>
        </w:tblPrEx>
        <w:trPr>
          <w:trHeight w:val="432"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241D1">
            <w:r>
              <w:rPr>
                <w:rFonts w:hint="eastAsia"/>
              </w:rPr>
              <w:t>序号</w:t>
            </w:r>
          </w:p>
        </w:tc>
        <w:tc>
          <w:tcPr>
            <w:tcW w:w="1639" w:type="dxa"/>
            <w:tcBorders>
              <w:top w:val="single" w:color="auto" w:sz="4" w:space="0"/>
              <w:left w:val="nil"/>
              <w:bottom w:val="single" w:color="auto" w:sz="4" w:space="0"/>
              <w:right w:val="single" w:color="auto" w:sz="4" w:space="0"/>
            </w:tcBorders>
            <w:shd w:val="clear" w:color="auto" w:fill="auto"/>
            <w:noWrap/>
            <w:vAlign w:val="center"/>
          </w:tcPr>
          <w:p w14:paraId="232E2E58">
            <w:r>
              <w:rPr>
                <w:rFonts w:hint="eastAsia"/>
              </w:rPr>
              <w:t>发文号</w:t>
            </w:r>
          </w:p>
        </w:tc>
        <w:tc>
          <w:tcPr>
            <w:tcW w:w="2531" w:type="dxa"/>
            <w:tcBorders>
              <w:top w:val="single" w:color="auto" w:sz="4" w:space="0"/>
              <w:left w:val="nil"/>
              <w:bottom w:val="single" w:color="auto" w:sz="4" w:space="0"/>
              <w:right w:val="single" w:color="auto" w:sz="4" w:space="0"/>
            </w:tcBorders>
            <w:shd w:val="clear" w:color="auto" w:fill="auto"/>
            <w:vAlign w:val="center"/>
          </w:tcPr>
          <w:p w14:paraId="147CD4D9">
            <w:r>
              <w:rPr>
                <w:rFonts w:hint="eastAsia"/>
              </w:rPr>
              <w:t>单位名称</w:t>
            </w:r>
          </w:p>
        </w:tc>
        <w:tc>
          <w:tcPr>
            <w:tcW w:w="1432" w:type="dxa"/>
            <w:tcBorders>
              <w:top w:val="single" w:color="auto" w:sz="4" w:space="0"/>
              <w:left w:val="nil"/>
              <w:bottom w:val="single" w:color="auto" w:sz="4" w:space="0"/>
              <w:right w:val="single" w:color="auto" w:sz="4" w:space="0"/>
            </w:tcBorders>
            <w:shd w:val="clear" w:color="auto" w:fill="auto"/>
            <w:noWrap/>
            <w:vAlign w:val="center"/>
          </w:tcPr>
          <w:p w14:paraId="3E6FFBBD">
            <w:r>
              <w:rPr>
                <w:rFonts w:hint="eastAsia"/>
              </w:rPr>
              <w:t>科目及代码</w:t>
            </w:r>
          </w:p>
        </w:tc>
        <w:tc>
          <w:tcPr>
            <w:tcW w:w="969" w:type="dxa"/>
            <w:tcBorders>
              <w:top w:val="single" w:color="auto" w:sz="4" w:space="0"/>
              <w:left w:val="nil"/>
              <w:bottom w:val="single" w:color="auto" w:sz="4" w:space="0"/>
              <w:right w:val="single" w:color="auto" w:sz="4" w:space="0"/>
            </w:tcBorders>
            <w:shd w:val="clear" w:color="auto" w:fill="auto"/>
            <w:noWrap/>
            <w:vAlign w:val="center"/>
          </w:tcPr>
          <w:p w14:paraId="70B67720">
            <w:r>
              <w:rPr>
                <w:rFonts w:hint="eastAsia"/>
              </w:rPr>
              <w:t>金额</w:t>
            </w:r>
          </w:p>
        </w:tc>
        <w:tc>
          <w:tcPr>
            <w:tcW w:w="1321" w:type="dxa"/>
            <w:tcBorders>
              <w:top w:val="single" w:color="auto" w:sz="4" w:space="0"/>
              <w:left w:val="nil"/>
              <w:bottom w:val="single" w:color="auto" w:sz="4" w:space="0"/>
              <w:right w:val="single" w:color="auto" w:sz="4" w:space="0"/>
            </w:tcBorders>
            <w:shd w:val="clear" w:color="auto" w:fill="auto"/>
            <w:noWrap/>
            <w:vAlign w:val="center"/>
          </w:tcPr>
          <w:p w14:paraId="7E704B1E">
            <w:r>
              <w:rPr>
                <w:rFonts w:hint="eastAsia"/>
              </w:rPr>
              <w:t>年终收回</w:t>
            </w:r>
          </w:p>
        </w:tc>
      </w:tr>
      <w:tr w14:paraId="49F01F8B">
        <w:tblPrEx>
          <w:tblCellMar>
            <w:top w:w="0" w:type="dxa"/>
            <w:left w:w="108" w:type="dxa"/>
            <w:bottom w:w="0" w:type="dxa"/>
            <w:right w:w="108" w:type="dxa"/>
          </w:tblCellMar>
        </w:tblPrEx>
        <w:trPr>
          <w:trHeight w:val="60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0BCDC850">
            <w:r>
              <w:rPr>
                <w:rFonts w:hint="eastAsia"/>
              </w:rPr>
              <w:t>1</w:t>
            </w:r>
          </w:p>
        </w:tc>
        <w:tc>
          <w:tcPr>
            <w:tcW w:w="1639" w:type="dxa"/>
            <w:tcBorders>
              <w:top w:val="nil"/>
              <w:left w:val="nil"/>
              <w:bottom w:val="single" w:color="auto" w:sz="4" w:space="0"/>
              <w:right w:val="single" w:color="auto" w:sz="4" w:space="0"/>
            </w:tcBorders>
            <w:shd w:val="clear" w:color="auto" w:fill="auto"/>
            <w:vAlign w:val="center"/>
          </w:tcPr>
          <w:p w14:paraId="6EDAA669">
            <w:r>
              <w:rPr>
                <w:rFonts w:hint="eastAsia"/>
              </w:rPr>
              <w:t>莆财建表[2020]35号</w:t>
            </w:r>
          </w:p>
        </w:tc>
        <w:tc>
          <w:tcPr>
            <w:tcW w:w="2531" w:type="dxa"/>
            <w:tcBorders>
              <w:top w:val="nil"/>
              <w:left w:val="nil"/>
              <w:bottom w:val="single" w:color="auto" w:sz="4" w:space="0"/>
              <w:right w:val="single" w:color="auto" w:sz="4" w:space="0"/>
            </w:tcBorders>
            <w:shd w:val="clear" w:color="auto" w:fill="auto"/>
            <w:vAlign w:val="center"/>
          </w:tcPr>
          <w:p w14:paraId="4385432A">
            <w:r>
              <w:rPr>
                <w:rFonts w:hint="eastAsia"/>
              </w:rPr>
              <w:t>市信息中心</w:t>
            </w:r>
          </w:p>
        </w:tc>
        <w:tc>
          <w:tcPr>
            <w:tcW w:w="1432" w:type="dxa"/>
            <w:tcBorders>
              <w:top w:val="nil"/>
              <w:left w:val="nil"/>
              <w:bottom w:val="single" w:color="auto" w:sz="4" w:space="0"/>
              <w:right w:val="single" w:color="auto" w:sz="4" w:space="0"/>
            </w:tcBorders>
            <w:shd w:val="clear" w:color="000000" w:fill="FFFFFF"/>
            <w:vAlign w:val="center"/>
          </w:tcPr>
          <w:p w14:paraId="583C6F5C">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14:paraId="1764FF42">
            <w:r>
              <w:rPr>
                <w:rFonts w:hint="eastAsia"/>
              </w:rPr>
              <w:t>19.8</w:t>
            </w:r>
          </w:p>
        </w:tc>
        <w:tc>
          <w:tcPr>
            <w:tcW w:w="1321" w:type="dxa"/>
            <w:tcBorders>
              <w:top w:val="nil"/>
              <w:left w:val="nil"/>
              <w:bottom w:val="single" w:color="auto" w:sz="4" w:space="0"/>
              <w:right w:val="single" w:color="auto" w:sz="4" w:space="0"/>
            </w:tcBorders>
            <w:shd w:val="clear" w:color="auto" w:fill="auto"/>
            <w:noWrap/>
            <w:vAlign w:val="center"/>
          </w:tcPr>
          <w:p w14:paraId="4BDC49BF">
            <w:r>
              <w:rPr>
                <w:rFonts w:hint="eastAsia"/>
              </w:rPr>
              <w:t>1.8</w:t>
            </w:r>
          </w:p>
        </w:tc>
      </w:tr>
      <w:tr w14:paraId="4933FFFC">
        <w:tblPrEx>
          <w:tblCellMar>
            <w:top w:w="0" w:type="dxa"/>
            <w:left w:w="108" w:type="dxa"/>
            <w:bottom w:w="0" w:type="dxa"/>
            <w:right w:w="108" w:type="dxa"/>
          </w:tblCellMar>
        </w:tblPrEx>
        <w:trPr>
          <w:trHeight w:val="713"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7AEAEC11">
            <w:r>
              <w:rPr>
                <w:rFonts w:hint="eastAsia"/>
              </w:rPr>
              <w:t>2</w:t>
            </w:r>
          </w:p>
        </w:tc>
        <w:tc>
          <w:tcPr>
            <w:tcW w:w="1639" w:type="dxa"/>
            <w:tcBorders>
              <w:top w:val="nil"/>
              <w:left w:val="nil"/>
              <w:bottom w:val="single" w:color="auto" w:sz="4" w:space="0"/>
              <w:right w:val="single" w:color="auto" w:sz="4" w:space="0"/>
            </w:tcBorders>
            <w:shd w:val="clear" w:color="auto" w:fill="auto"/>
            <w:vAlign w:val="center"/>
          </w:tcPr>
          <w:p w14:paraId="6B7E32B9">
            <w:r>
              <w:rPr>
                <w:rFonts w:hint="eastAsia"/>
              </w:rPr>
              <w:t>莆财建表[2020]36号</w:t>
            </w:r>
          </w:p>
        </w:tc>
        <w:tc>
          <w:tcPr>
            <w:tcW w:w="2531" w:type="dxa"/>
            <w:tcBorders>
              <w:top w:val="nil"/>
              <w:left w:val="nil"/>
              <w:bottom w:val="single" w:color="auto" w:sz="4" w:space="0"/>
              <w:right w:val="single" w:color="auto" w:sz="4" w:space="0"/>
            </w:tcBorders>
            <w:shd w:val="clear" w:color="auto" w:fill="auto"/>
            <w:vAlign w:val="center"/>
          </w:tcPr>
          <w:p w14:paraId="5E5D93FD">
            <w:r>
              <w:rPr>
                <w:rFonts w:hint="eastAsia"/>
              </w:rPr>
              <w:t>市军民融合办</w:t>
            </w:r>
          </w:p>
        </w:tc>
        <w:tc>
          <w:tcPr>
            <w:tcW w:w="1432" w:type="dxa"/>
            <w:tcBorders>
              <w:top w:val="nil"/>
              <w:left w:val="nil"/>
              <w:bottom w:val="single" w:color="auto" w:sz="4" w:space="0"/>
              <w:right w:val="single" w:color="auto" w:sz="4" w:space="0"/>
            </w:tcBorders>
            <w:shd w:val="clear" w:color="000000" w:fill="FFFFFF"/>
            <w:vAlign w:val="center"/>
          </w:tcPr>
          <w:p w14:paraId="6B06D97A">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14:paraId="7C9C5C0B">
            <w:r>
              <w:rPr>
                <w:rFonts w:hint="eastAsia"/>
              </w:rPr>
              <w:t>100</w:t>
            </w:r>
          </w:p>
        </w:tc>
        <w:tc>
          <w:tcPr>
            <w:tcW w:w="1321" w:type="dxa"/>
            <w:tcBorders>
              <w:top w:val="nil"/>
              <w:left w:val="nil"/>
              <w:bottom w:val="single" w:color="auto" w:sz="4" w:space="0"/>
              <w:right w:val="single" w:color="auto" w:sz="4" w:space="0"/>
            </w:tcBorders>
            <w:shd w:val="clear" w:color="auto" w:fill="auto"/>
            <w:noWrap/>
            <w:vAlign w:val="center"/>
          </w:tcPr>
          <w:p w14:paraId="6D096AD0">
            <w:r>
              <w:rPr>
                <w:rFonts w:hint="eastAsia"/>
              </w:rPr>
              <w:t>60</w:t>
            </w:r>
          </w:p>
        </w:tc>
      </w:tr>
      <w:tr w14:paraId="2F313BCD">
        <w:tblPrEx>
          <w:tblCellMar>
            <w:top w:w="0" w:type="dxa"/>
            <w:left w:w="108" w:type="dxa"/>
            <w:bottom w:w="0" w:type="dxa"/>
            <w:right w:w="108" w:type="dxa"/>
          </w:tblCellMar>
        </w:tblPrEx>
        <w:trPr>
          <w:trHeight w:val="566"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63449D27">
            <w:r>
              <w:rPr>
                <w:rFonts w:hint="eastAsia"/>
              </w:rPr>
              <w:t>3</w:t>
            </w:r>
          </w:p>
        </w:tc>
        <w:tc>
          <w:tcPr>
            <w:tcW w:w="1639" w:type="dxa"/>
            <w:tcBorders>
              <w:top w:val="nil"/>
              <w:left w:val="nil"/>
              <w:bottom w:val="single" w:color="auto" w:sz="4" w:space="0"/>
              <w:right w:val="single" w:color="auto" w:sz="4" w:space="0"/>
            </w:tcBorders>
            <w:shd w:val="clear" w:color="auto" w:fill="auto"/>
            <w:vAlign w:val="center"/>
          </w:tcPr>
          <w:p w14:paraId="5E6BC51F">
            <w:r>
              <w:rPr>
                <w:rFonts w:hint="eastAsia"/>
              </w:rPr>
              <w:t>莆财建表[2020]37号</w:t>
            </w:r>
          </w:p>
        </w:tc>
        <w:tc>
          <w:tcPr>
            <w:tcW w:w="2531" w:type="dxa"/>
            <w:tcBorders>
              <w:top w:val="nil"/>
              <w:left w:val="nil"/>
              <w:bottom w:val="single" w:color="auto" w:sz="4" w:space="0"/>
              <w:right w:val="single" w:color="auto" w:sz="4" w:space="0"/>
            </w:tcBorders>
            <w:shd w:val="clear" w:color="auto" w:fill="auto"/>
            <w:vAlign w:val="center"/>
          </w:tcPr>
          <w:p w14:paraId="41B694E1">
            <w:r>
              <w:rPr>
                <w:rFonts w:hint="eastAsia"/>
              </w:rPr>
              <w:t>市铁办</w:t>
            </w:r>
          </w:p>
        </w:tc>
        <w:tc>
          <w:tcPr>
            <w:tcW w:w="1432" w:type="dxa"/>
            <w:tcBorders>
              <w:top w:val="nil"/>
              <w:left w:val="nil"/>
              <w:bottom w:val="single" w:color="auto" w:sz="4" w:space="0"/>
              <w:right w:val="single" w:color="auto" w:sz="4" w:space="0"/>
            </w:tcBorders>
            <w:shd w:val="clear" w:color="000000" w:fill="FFFFFF"/>
            <w:vAlign w:val="center"/>
          </w:tcPr>
          <w:p w14:paraId="5CA62155">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14:paraId="5E5079E9">
            <w:r>
              <w:rPr>
                <w:rFonts w:hint="eastAsia"/>
              </w:rPr>
              <w:t>20</w:t>
            </w:r>
          </w:p>
        </w:tc>
        <w:tc>
          <w:tcPr>
            <w:tcW w:w="1321" w:type="dxa"/>
            <w:tcBorders>
              <w:top w:val="nil"/>
              <w:left w:val="nil"/>
              <w:bottom w:val="single" w:color="auto" w:sz="4" w:space="0"/>
              <w:right w:val="single" w:color="auto" w:sz="4" w:space="0"/>
            </w:tcBorders>
            <w:shd w:val="clear" w:color="auto" w:fill="auto"/>
            <w:noWrap/>
            <w:vAlign w:val="center"/>
          </w:tcPr>
          <w:p w14:paraId="63D64B68">
            <w:r>
              <w:rPr>
                <w:rFonts w:hint="eastAsia"/>
              </w:rPr>
              <w:t>0</w:t>
            </w:r>
          </w:p>
        </w:tc>
      </w:tr>
      <w:tr w14:paraId="427D255D">
        <w:tblPrEx>
          <w:tblCellMar>
            <w:top w:w="0" w:type="dxa"/>
            <w:left w:w="108" w:type="dxa"/>
            <w:bottom w:w="0" w:type="dxa"/>
            <w:right w:w="108" w:type="dxa"/>
          </w:tblCellMar>
        </w:tblPrEx>
        <w:trPr>
          <w:trHeight w:val="64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4CA9D3B6">
            <w:r>
              <w:rPr>
                <w:rFonts w:hint="eastAsia"/>
              </w:rPr>
              <w:t>4</w:t>
            </w:r>
          </w:p>
        </w:tc>
        <w:tc>
          <w:tcPr>
            <w:tcW w:w="1639" w:type="dxa"/>
            <w:tcBorders>
              <w:top w:val="nil"/>
              <w:left w:val="nil"/>
              <w:bottom w:val="single" w:color="auto" w:sz="4" w:space="0"/>
              <w:right w:val="single" w:color="auto" w:sz="4" w:space="0"/>
            </w:tcBorders>
            <w:shd w:val="clear" w:color="auto" w:fill="auto"/>
            <w:vAlign w:val="center"/>
          </w:tcPr>
          <w:p w14:paraId="7CE5BA01">
            <w:r>
              <w:rPr>
                <w:rFonts w:hint="eastAsia"/>
              </w:rPr>
              <w:t>莆财建表[2020]39号</w:t>
            </w:r>
          </w:p>
        </w:tc>
        <w:tc>
          <w:tcPr>
            <w:tcW w:w="2531" w:type="dxa"/>
            <w:tcBorders>
              <w:top w:val="nil"/>
              <w:left w:val="nil"/>
              <w:bottom w:val="single" w:color="auto" w:sz="4" w:space="0"/>
              <w:right w:val="single" w:color="auto" w:sz="4" w:space="0"/>
            </w:tcBorders>
            <w:shd w:val="clear" w:color="auto" w:fill="auto"/>
            <w:vAlign w:val="center"/>
          </w:tcPr>
          <w:p w14:paraId="131AE963">
            <w:r>
              <w:rPr>
                <w:rFonts w:hint="eastAsia"/>
              </w:rPr>
              <w:t>湄洲湾职业技术学校</w:t>
            </w:r>
          </w:p>
        </w:tc>
        <w:tc>
          <w:tcPr>
            <w:tcW w:w="1432" w:type="dxa"/>
            <w:tcBorders>
              <w:top w:val="nil"/>
              <w:left w:val="nil"/>
              <w:bottom w:val="single" w:color="auto" w:sz="4" w:space="0"/>
              <w:right w:val="single" w:color="auto" w:sz="4" w:space="0"/>
            </w:tcBorders>
            <w:shd w:val="clear" w:color="000000" w:fill="FFFFFF"/>
            <w:vAlign w:val="center"/>
          </w:tcPr>
          <w:p w14:paraId="583AD8CF">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14:paraId="1FCFE22C">
            <w:r>
              <w:rPr>
                <w:rFonts w:hint="eastAsia"/>
              </w:rPr>
              <w:t>20</w:t>
            </w:r>
          </w:p>
        </w:tc>
        <w:tc>
          <w:tcPr>
            <w:tcW w:w="1321" w:type="dxa"/>
            <w:tcBorders>
              <w:top w:val="nil"/>
              <w:left w:val="nil"/>
              <w:bottom w:val="single" w:color="auto" w:sz="4" w:space="0"/>
              <w:right w:val="single" w:color="auto" w:sz="4" w:space="0"/>
            </w:tcBorders>
            <w:shd w:val="clear" w:color="auto" w:fill="auto"/>
            <w:noWrap/>
            <w:vAlign w:val="center"/>
          </w:tcPr>
          <w:p w14:paraId="26C4D627">
            <w:r>
              <w:rPr>
                <w:rFonts w:hint="eastAsia"/>
              </w:rPr>
              <w:t>0</w:t>
            </w:r>
          </w:p>
        </w:tc>
      </w:tr>
      <w:tr w14:paraId="0E0BB763">
        <w:tblPrEx>
          <w:tblCellMar>
            <w:top w:w="0" w:type="dxa"/>
            <w:left w:w="108" w:type="dxa"/>
            <w:bottom w:w="0" w:type="dxa"/>
            <w:right w:w="108" w:type="dxa"/>
          </w:tblCellMar>
        </w:tblPrEx>
        <w:trPr>
          <w:trHeight w:val="5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737022CC">
            <w:r>
              <w:rPr>
                <w:rFonts w:hint="eastAsia"/>
              </w:rPr>
              <w:t>5</w:t>
            </w:r>
          </w:p>
        </w:tc>
        <w:tc>
          <w:tcPr>
            <w:tcW w:w="1639" w:type="dxa"/>
            <w:tcBorders>
              <w:top w:val="nil"/>
              <w:left w:val="nil"/>
              <w:bottom w:val="single" w:color="auto" w:sz="4" w:space="0"/>
              <w:right w:val="single" w:color="auto" w:sz="4" w:space="0"/>
            </w:tcBorders>
            <w:shd w:val="clear" w:color="auto" w:fill="auto"/>
            <w:vAlign w:val="center"/>
          </w:tcPr>
          <w:p w14:paraId="72CDC5C6">
            <w:r>
              <w:rPr>
                <w:rFonts w:hint="eastAsia"/>
              </w:rPr>
              <w:t>莆财建表[2020]41号</w:t>
            </w:r>
          </w:p>
        </w:tc>
        <w:tc>
          <w:tcPr>
            <w:tcW w:w="2531" w:type="dxa"/>
            <w:tcBorders>
              <w:top w:val="nil"/>
              <w:left w:val="nil"/>
              <w:bottom w:val="single" w:color="auto" w:sz="4" w:space="0"/>
              <w:right w:val="single" w:color="auto" w:sz="4" w:space="0"/>
            </w:tcBorders>
            <w:shd w:val="clear" w:color="auto" w:fill="auto"/>
            <w:vAlign w:val="center"/>
          </w:tcPr>
          <w:p w14:paraId="6E32617D">
            <w:r>
              <w:rPr>
                <w:rFonts w:hint="eastAsia"/>
              </w:rPr>
              <w:t>市城投集团</w:t>
            </w:r>
          </w:p>
        </w:tc>
        <w:tc>
          <w:tcPr>
            <w:tcW w:w="1432" w:type="dxa"/>
            <w:tcBorders>
              <w:top w:val="nil"/>
              <w:left w:val="nil"/>
              <w:bottom w:val="single" w:color="auto" w:sz="4" w:space="0"/>
              <w:right w:val="single" w:color="auto" w:sz="4" w:space="0"/>
            </w:tcBorders>
            <w:shd w:val="clear" w:color="000000" w:fill="FFFFFF"/>
            <w:vAlign w:val="center"/>
          </w:tcPr>
          <w:p w14:paraId="29D1F767">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14:paraId="7AF396AE">
            <w:r>
              <w:rPr>
                <w:rFonts w:hint="eastAsia"/>
              </w:rPr>
              <w:t>20</w:t>
            </w:r>
          </w:p>
        </w:tc>
        <w:tc>
          <w:tcPr>
            <w:tcW w:w="1321" w:type="dxa"/>
            <w:tcBorders>
              <w:top w:val="nil"/>
              <w:left w:val="nil"/>
              <w:bottom w:val="single" w:color="auto" w:sz="4" w:space="0"/>
              <w:right w:val="single" w:color="auto" w:sz="4" w:space="0"/>
            </w:tcBorders>
            <w:shd w:val="clear" w:color="auto" w:fill="auto"/>
            <w:noWrap/>
            <w:vAlign w:val="center"/>
          </w:tcPr>
          <w:p w14:paraId="284A9508">
            <w:r>
              <w:rPr>
                <w:rFonts w:hint="eastAsia"/>
              </w:rPr>
              <w:t>0</w:t>
            </w:r>
          </w:p>
        </w:tc>
      </w:tr>
      <w:tr w14:paraId="11A020E0">
        <w:tblPrEx>
          <w:tblCellMar>
            <w:top w:w="0" w:type="dxa"/>
            <w:left w:w="108" w:type="dxa"/>
            <w:bottom w:w="0" w:type="dxa"/>
            <w:right w:w="108" w:type="dxa"/>
          </w:tblCellMar>
        </w:tblPrEx>
        <w:trPr>
          <w:trHeight w:val="49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7CD70AB3">
            <w:r>
              <w:rPr>
                <w:rFonts w:hint="eastAsia"/>
              </w:rPr>
              <w:t>6</w:t>
            </w:r>
          </w:p>
        </w:tc>
        <w:tc>
          <w:tcPr>
            <w:tcW w:w="1639" w:type="dxa"/>
            <w:tcBorders>
              <w:top w:val="nil"/>
              <w:left w:val="nil"/>
              <w:bottom w:val="single" w:color="auto" w:sz="4" w:space="0"/>
              <w:right w:val="single" w:color="auto" w:sz="4" w:space="0"/>
            </w:tcBorders>
            <w:shd w:val="clear" w:color="auto" w:fill="auto"/>
            <w:vAlign w:val="center"/>
          </w:tcPr>
          <w:p w14:paraId="1F69A99B">
            <w:r>
              <w:rPr>
                <w:rFonts w:hint="eastAsia"/>
              </w:rPr>
              <w:t>莆财建表[2020]47号</w:t>
            </w:r>
          </w:p>
        </w:tc>
        <w:tc>
          <w:tcPr>
            <w:tcW w:w="2531" w:type="dxa"/>
            <w:tcBorders>
              <w:top w:val="nil"/>
              <w:left w:val="nil"/>
              <w:bottom w:val="single" w:color="auto" w:sz="4" w:space="0"/>
              <w:right w:val="single" w:color="auto" w:sz="4" w:space="0"/>
            </w:tcBorders>
            <w:shd w:val="clear" w:color="auto" w:fill="auto"/>
            <w:vAlign w:val="center"/>
          </w:tcPr>
          <w:p w14:paraId="0B4DF42F">
            <w:r>
              <w:rPr>
                <w:rFonts w:hint="eastAsia"/>
              </w:rPr>
              <w:t>市发改委</w:t>
            </w:r>
          </w:p>
        </w:tc>
        <w:tc>
          <w:tcPr>
            <w:tcW w:w="1432" w:type="dxa"/>
            <w:tcBorders>
              <w:top w:val="nil"/>
              <w:left w:val="nil"/>
              <w:bottom w:val="single" w:color="auto" w:sz="4" w:space="0"/>
              <w:right w:val="single" w:color="auto" w:sz="4" w:space="0"/>
            </w:tcBorders>
            <w:shd w:val="clear" w:color="000000" w:fill="FFFFFF"/>
            <w:vAlign w:val="center"/>
          </w:tcPr>
          <w:p w14:paraId="76ECA058">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14:paraId="502CD37B">
            <w:r>
              <w:rPr>
                <w:rFonts w:hint="eastAsia"/>
              </w:rPr>
              <w:t>311.3</w:t>
            </w:r>
          </w:p>
        </w:tc>
        <w:tc>
          <w:tcPr>
            <w:tcW w:w="1321" w:type="dxa"/>
            <w:tcBorders>
              <w:top w:val="nil"/>
              <w:left w:val="nil"/>
              <w:bottom w:val="single" w:color="auto" w:sz="4" w:space="0"/>
              <w:right w:val="single" w:color="auto" w:sz="4" w:space="0"/>
            </w:tcBorders>
            <w:shd w:val="clear" w:color="auto" w:fill="auto"/>
            <w:noWrap/>
            <w:vAlign w:val="center"/>
          </w:tcPr>
          <w:p w14:paraId="29C86581">
            <w:r>
              <w:rPr>
                <w:rFonts w:hint="eastAsia"/>
              </w:rPr>
              <w:t>100</w:t>
            </w:r>
          </w:p>
        </w:tc>
      </w:tr>
      <w:tr w14:paraId="406D7EA7">
        <w:tblPrEx>
          <w:tblCellMar>
            <w:top w:w="0" w:type="dxa"/>
            <w:left w:w="108" w:type="dxa"/>
            <w:bottom w:w="0" w:type="dxa"/>
            <w:right w:w="108" w:type="dxa"/>
          </w:tblCellMar>
        </w:tblPrEx>
        <w:trPr>
          <w:trHeight w:val="54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1F760FA4">
            <w:r>
              <w:rPr>
                <w:rFonts w:hint="eastAsia"/>
              </w:rPr>
              <w:t>7</w:t>
            </w:r>
          </w:p>
        </w:tc>
        <w:tc>
          <w:tcPr>
            <w:tcW w:w="1639" w:type="dxa"/>
            <w:tcBorders>
              <w:top w:val="nil"/>
              <w:left w:val="nil"/>
              <w:bottom w:val="single" w:color="auto" w:sz="4" w:space="0"/>
              <w:right w:val="single" w:color="auto" w:sz="4" w:space="0"/>
            </w:tcBorders>
            <w:shd w:val="clear" w:color="auto" w:fill="auto"/>
            <w:vAlign w:val="center"/>
          </w:tcPr>
          <w:p w14:paraId="11FBF5CE">
            <w:r>
              <w:rPr>
                <w:rFonts w:hint="eastAsia"/>
              </w:rPr>
              <w:t>莆财建表[2020]59号</w:t>
            </w:r>
          </w:p>
        </w:tc>
        <w:tc>
          <w:tcPr>
            <w:tcW w:w="2531" w:type="dxa"/>
            <w:tcBorders>
              <w:top w:val="nil"/>
              <w:left w:val="nil"/>
              <w:bottom w:val="single" w:color="auto" w:sz="4" w:space="0"/>
              <w:right w:val="single" w:color="auto" w:sz="4" w:space="0"/>
            </w:tcBorders>
            <w:shd w:val="clear" w:color="auto" w:fill="auto"/>
            <w:vAlign w:val="center"/>
          </w:tcPr>
          <w:p w14:paraId="069624F3">
            <w:r>
              <w:rPr>
                <w:rFonts w:hint="eastAsia"/>
              </w:rPr>
              <w:t>市发改委</w:t>
            </w:r>
          </w:p>
        </w:tc>
        <w:tc>
          <w:tcPr>
            <w:tcW w:w="1432" w:type="dxa"/>
            <w:tcBorders>
              <w:top w:val="nil"/>
              <w:left w:val="nil"/>
              <w:bottom w:val="single" w:color="auto" w:sz="4" w:space="0"/>
              <w:right w:val="single" w:color="auto" w:sz="4" w:space="0"/>
            </w:tcBorders>
            <w:shd w:val="clear" w:color="000000" w:fill="FFFFFF"/>
            <w:vAlign w:val="center"/>
          </w:tcPr>
          <w:p w14:paraId="7E80C08F">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14:paraId="09ED149D">
            <w:r>
              <w:rPr>
                <w:rFonts w:hint="eastAsia"/>
              </w:rPr>
              <w:t>106</w:t>
            </w:r>
          </w:p>
        </w:tc>
        <w:tc>
          <w:tcPr>
            <w:tcW w:w="1321" w:type="dxa"/>
            <w:tcBorders>
              <w:top w:val="nil"/>
              <w:left w:val="nil"/>
              <w:bottom w:val="single" w:color="auto" w:sz="4" w:space="0"/>
              <w:right w:val="single" w:color="auto" w:sz="4" w:space="0"/>
            </w:tcBorders>
            <w:shd w:val="clear" w:color="auto" w:fill="auto"/>
            <w:noWrap/>
            <w:vAlign w:val="center"/>
          </w:tcPr>
          <w:p w14:paraId="496132D0">
            <w:r>
              <w:rPr>
                <w:rFonts w:hint="eastAsia"/>
              </w:rPr>
              <w:t>19.2</w:t>
            </w:r>
          </w:p>
        </w:tc>
      </w:tr>
      <w:tr w14:paraId="580915B4">
        <w:tblPrEx>
          <w:tblCellMar>
            <w:top w:w="0" w:type="dxa"/>
            <w:left w:w="108" w:type="dxa"/>
            <w:bottom w:w="0" w:type="dxa"/>
            <w:right w:w="108" w:type="dxa"/>
          </w:tblCellMar>
        </w:tblPrEx>
        <w:trPr>
          <w:trHeight w:val="49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1A9E11A2">
            <w:r>
              <w:rPr>
                <w:rFonts w:hint="eastAsia"/>
              </w:rPr>
              <w:t>8</w:t>
            </w:r>
          </w:p>
        </w:tc>
        <w:tc>
          <w:tcPr>
            <w:tcW w:w="1639" w:type="dxa"/>
            <w:tcBorders>
              <w:top w:val="nil"/>
              <w:left w:val="nil"/>
              <w:bottom w:val="single" w:color="auto" w:sz="4" w:space="0"/>
              <w:right w:val="single" w:color="auto" w:sz="4" w:space="0"/>
            </w:tcBorders>
            <w:shd w:val="clear" w:color="auto" w:fill="auto"/>
            <w:vAlign w:val="center"/>
          </w:tcPr>
          <w:p w14:paraId="7CC6CB95">
            <w:r>
              <w:rPr>
                <w:rFonts w:hint="eastAsia"/>
              </w:rPr>
              <w:t>莆财建表[2020]67号</w:t>
            </w:r>
          </w:p>
        </w:tc>
        <w:tc>
          <w:tcPr>
            <w:tcW w:w="2531" w:type="dxa"/>
            <w:tcBorders>
              <w:top w:val="nil"/>
              <w:left w:val="nil"/>
              <w:bottom w:val="single" w:color="auto" w:sz="4" w:space="0"/>
              <w:right w:val="single" w:color="auto" w:sz="4" w:space="0"/>
            </w:tcBorders>
            <w:shd w:val="clear" w:color="auto" w:fill="auto"/>
            <w:vAlign w:val="center"/>
          </w:tcPr>
          <w:p w14:paraId="503BC162">
            <w:r>
              <w:rPr>
                <w:rFonts w:hint="eastAsia"/>
              </w:rPr>
              <w:t>莆田学院附属医院</w:t>
            </w:r>
          </w:p>
        </w:tc>
        <w:tc>
          <w:tcPr>
            <w:tcW w:w="1432" w:type="dxa"/>
            <w:tcBorders>
              <w:top w:val="nil"/>
              <w:left w:val="nil"/>
              <w:bottom w:val="single" w:color="auto" w:sz="4" w:space="0"/>
              <w:right w:val="single" w:color="auto" w:sz="4" w:space="0"/>
            </w:tcBorders>
            <w:shd w:val="clear" w:color="000000" w:fill="FFFFFF"/>
            <w:vAlign w:val="center"/>
          </w:tcPr>
          <w:p w14:paraId="2ED83140">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14:paraId="1652C797">
            <w:r>
              <w:rPr>
                <w:rFonts w:hint="eastAsia"/>
              </w:rPr>
              <w:t>10</w:t>
            </w:r>
          </w:p>
        </w:tc>
        <w:tc>
          <w:tcPr>
            <w:tcW w:w="1321" w:type="dxa"/>
            <w:tcBorders>
              <w:top w:val="nil"/>
              <w:left w:val="nil"/>
              <w:bottom w:val="single" w:color="auto" w:sz="4" w:space="0"/>
              <w:right w:val="single" w:color="auto" w:sz="4" w:space="0"/>
            </w:tcBorders>
            <w:shd w:val="clear" w:color="auto" w:fill="auto"/>
            <w:noWrap/>
            <w:vAlign w:val="center"/>
          </w:tcPr>
          <w:p w14:paraId="6E99A1AE">
            <w:r>
              <w:rPr>
                <w:rFonts w:hint="eastAsia"/>
              </w:rPr>
              <w:t>0</w:t>
            </w:r>
          </w:p>
        </w:tc>
      </w:tr>
      <w:tr w14:paraId="3CC51563">
        <w:tblPrEx>
          <w:tblCellMar>
            <w:top w:w="0" w:type="dxa"/>
            <w:left w:w="108" w:type="dxa"/>
            <w:bottom w:w="0" w:type="dxa"/>
            <w:right w:w="108" w:type="dxa"/>
          </w:tblCellMar>
        </w:tblPrEx>
        <w:trPr>
          <w:trHeight w:val="548"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75F96E6F">
            <w:r>
              <w:rPr>
                <w:rFonts w:hint="eastAsia"/>
              </w:rPr>
              <w:t>9</w:t>
            </w:r>
          </w:p>
        </w:tc>
        <w:tc>
          <w:tcPr>
            <w:tcW w:w="1639" w:type="dxa"/>
            <w:tcBorders>
              <w:top w:val="nil"/>
              <w:left w:val="nil"/>
              <w:bottom w:val="single" w:color="auto" w:sz="4" w:space="0"/>
              <w:right w:val="single" w:color="auto" w:sz="4" w:space="0"/>
            </w:tcBorders>
            <w:shd w:val="clear" w:color="auto" w:fill="auto"/>
            <w:vAlign w:val="center"/>
          </w:tcPr>
          <w:p w14:paraId="40977DE5">
            <w:r>
              <w:rPr>
                <w:rFonts w:hint="eastAsia"/>
              </w:rPr>
              <w:t>莆财建表[2020]148号</w:t>
            </w:r>
          </w:p>
        </w:tc>
        <w:tc>
          <w:tcPr>
            <w:tcW w:w="2531" w:type="dxa"/>
            <w:tcBorders>
              <w:top w:val="nil"/>
              <w:left w:val="nil"/>
              <w:bottom w:val="single" w:color="auto" w:sz="4" w:space="0"/>
              <w:right w:val="single" w:color="auto" w:sz="4" w:space="0"/>
            </w:tcBorders>
            <w:shd w:val="clear" w:color="auto" w:fill="auto"/>
            <w:vAlign w:val="center"/>
          </w:tcPr>
          <w:p w14:paraId="14F7D6B4">
            <w:r>
              <w:rPr>
                <w:rFonts w:hint="eastAsia"/>
              </w:rPr>
              <w:t>湄洲湾职业技术学校</w:t>
            </w:r>
          </w:p>
        </w:tc>
        <w:tc>
          <w:tcPr>
            <w:tcW w:w="1432" w:type="dxa"/>
            <w:tcBorders>
              <w:top w:val="nil"/>
              <w:left w:val="nil"/>
              <w:bottom w:val="single" w:color="auto" w:sz="4" w:space="0"/>
              <w:right w:val="single" w:color="auto" w:sz="4" w:space="0"/>
            </w:tcBorders>
            <w:shd w:val="clear" w:color="000000" w:fill="FFFFFF"/>
            <w:vAlign w:val="center"/>
          </w:tcPr>
          <w:p w14:paraId="52D8DF09">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14:paraId="7999CD02">
            <w:r>
              <w:rPr>
                <w:rFonts w:hint="eastAsia"/>
              </w:rPr>
              <w:t>100</w:t>
            </w:r>
          </w:p>
        </w:tc>
        <w:tc>
          <w:tcPr>
            <w:tcW w:w="1321" w:type="dxa"/>
            <w:tcBorders>
              <w:top w:val="nil"/>
              <w:left w:val="nil"/>
              <w:bottom w:val="single" w:color="auto" w:sz="4" w:space="0"/>
              <w:right w:val="single" w:color="auto" w:sz="4" w:space="0"/>
            </w:tcBorders>
            <w:shd w:val="clear" w:color="auto" w:fill="auto"/>
            <w:noWrap/>
            <w:vAlign w:val="center"/>
          </w:tcPr>
          <w:p w14:paraId="019241AF">
            <w:r>
              <w:rPr>
                <w:rFonts w:hint="eastAsia"/>
              </w:rPr>
              <w:t>100</w:t>
            </w:r>
          </w:p>
        </w:tc>
      </w:tr>
      <w:tr w14:paraId="4C9E2D1A">
        <w:tblPrEx>
          <w:tblCellMar>
            <w:top w:w="0" w:type="dxa"/>
            <w:left w:w="108" w:type="dxa"/>
            <w:bottom w:w="0" w:type="dxa"/>
            <w:right w:w="108" w:type="dxa"/>
          </w:tblCellMar>
        </w:tblPrEx>
        <w:trPr>
          <w:trHeight w:val="628"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260D948F">
            <w:r>
              <w:rPr>
                <w:rFonts w:hint="eastAsia"/>
              </w:rPr>
              <w:t>10</w:t>
            </w:r>
          </w:p>
        </w:tc>
        <w:tc>
          <w:tcPr>
            <w:tcW w:w="1639" w:type="dxa"/>
            <w:tcBorders>
              <w:top w:val="nil"/>
              <w:left w:val="nil"/>
              <w:bottom w:val="single" w:color="auto" w:sz="4" w:space="0"/>
              <w:right w:val="single" w:color="auto" w:sz="4" w:space="0"/>
            </w:tcBorders>
            <w:shd w:val="clear" w:color="auto" w:fill="auto"/>
            <w:vAlign w:val="center"/>
          </w:tcPr>
          <w:p w14:paraId="53BBFF5B">
            <w:r>
              <w:rPr>
                <w:rFonts w:hint="eastAsia"/>
              </w:rPr>
              <w:t>莆财建表[2020]149号</w:t>
            </w:r>
          </w:p>
        </w:tc>
        <w:tc>
          <w:tcPr>
            <w:tcW w:w="2531" w:type="dxa"/>
            <w:tcBorders>
              <w:top w:val="nil"/>
              <w:left w:val="nil"/>
              <w:bottom w:val="single" w:color="auto" w:sz="4" w:space="0"/>
              <w:right w:val="single" w:color="auto" w:sz="4" w:space="0"/>
            </w:tcBorders>
            <w:shd w:val="clear" w:color="auto" w:fill="auto"/>
            <w:vAlign w:val="center"/>
          </w:tcPr>
          <w:p w14:paraId="7CD02DD9">
            <w:r>
              <w:rPr>
                <w:rFonts w:hint="eastAsia"/>
              </w:rPr>
              <w:t>市发改委</w:t>
            </w:r>
          </w:p>
        </w:tc>
        <w:tc>
          <w:tcPr>
            <w:tcW w:w="1432" w:type="dxa"/>
            <w:tcBorders>
              <w:top w:val="nil"/>
              <w:left w:val="nil"/>
              <w:bottom w:val="single" w:color="auto" w:sz="4" w:space="0"/>
              <w:right w:val="single" w:color="auto" w:sz="4" w:space="0"/>
            </w:tcBorders>
            <w:shd w:val="clear" w:color="000000" w:fill="FFFFFF"/>
            <w:vAlign w:val="center"/>
          </w:tcPr>
          <w:p w14:paraId="1E2BA3EC">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14:paraId="2D277861">
            <w:r>
              <w:rPr>
                <w:rFonts w:hint="eastAsia"/>
              </w:rPr>
              <w:t>202.5</w:t>
            </w:r>
          </w:p>
        </w:tc>
        <w:tc>
          <w:tcPr>
            <w:tcW w:w="1321" w:type="dxa"/>
            <w:tcBorders>
              <w:top w:val="nil"/>
              <w:left w:val="nil"/>
              <w:bottom w:val="single" w:color="auto" w:sz="4" w:space="0"/>
              <w:right w:val="single" w:color="auto" w:sz="4" w:space="0"/>
            </w:tcBorders>
            <w:shd w:val="clear" w:color="auto" w:fill="auto"/>
            <w:noWrap/>
            <w:vAlign w:val="center"/>
          </w:tcPr>
          <w:p w14:paraId="37DE69B4">
            <w:r>
              <w:rPr>
                <w:rFonts w:hint="eastAsia"/>
              </w:rPr>
              <w:t>0</w:t>
            </w:r>
          </w:p>
        </w:tc>
      </w:tr>
      <w:tr w14:paraId="48A28A61">
        <w:tblPrEx>
          <w:tblCellMar>
            <w:top w:w="0" w:type="dxa"/>
            <w:left w:w="108" w:type="dxa"/>
            <w:bottom w:w="0" w:type="dxa"/>
            <w:right w:w="108" w:type="dxa"/>
          </w:tblCellMar>
        </w:tblPrEx>
        <w:trPr>
          <w:trHeight w:val="55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032C5767">
            <w:r>
              <w:rPr>
                <w:rFonts w:hint="eastAsia"/>
              </w:rPr>
              <w:t>11</w:t>
            </w:r>
          </w:p>
        </w:tc>
        <w:tc>
          <w:tcPr>
            <w:tcW w:w="1639" w:type="dxa"/>
            <w:tcBorders>
              <w:top w:val="nil"/>
              <w:left w:val="nil"/>
              <w:bottom w:val="single" w:color="auto" w:sz="4" w:space="0"/>
              <w:right w:val="single" w:color="auto" w:sz="4" w:space="0"/>
            </w:tcBorders>
            <w:shd w:val="clear" w:color="auto" w:fill="auto"/>
            <w:vAlign w:val="center"/>
          </w:tcPr>
          <w:p w14:paraId="6AD7F0B7">
            <w:r>
              <w:rPr>
                <w:rFonts w:hint="eastAsia"/>
              </w:rPr>
              <w:t>莆财建表[2020]150号</w:t>
            </w:r>
          </w:p>
        </w:tc>
        <w:tc>
          <w:tcPr>
            <w:tcW w:w="2531" w:type="dxa"/>
            <w:tcBorders>
              <w:top w:val="nil"/>
              <w:left w:val="nil"/>
              <w:bottom w:val="single" w:color="auto" w:sz="4" w:space="0"/>
              <w:right w:val="single" w:color="auto" w:sz="4" w:space="0"/>
            </w:tcBorders>
            <w:shd w:val="clear" w:color="auto" w:fill="auto"/>
            <w:vAlign w:val="center"/>
          </w:tcPr>
          <w:p w14:paraId="0D8FBD69">
            <w:r>
              <w:rPr>
                <w:rFonts w:hint="eastAsia"/>
              </w:rPr>
              <w:t>市文旅局</w:t>
            </w:r>
          </w:p>
        </w:tc>
        <w:tc>
          <w:tcPr>
            <w:tcW w:w="1432" w:type="dxa"/>
            <w:tcBorders>
              <w:top w:val="nil"/>
              <w:left w:val="nil"/>
              <w:bottom w:val="single" w:color="auto" w:sz="4" w:space="0"/>
              <w:right w:val="single" w:color="auto" w:sz="4" w:space="0"/>
            </w:tcBorders>
            <w:shd w:val="clear" w:color="000000" w:fill="FFFFFF"/>
            <w:vAlign w:val="center"/>
          </w:tcPr>
          <w:p w14:paraId="15552689">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14:paraId="1D3F7AB6">
            <w:r>
              <w:rPr>
                <w:rFonts w:hint="eastAsia"/>
              </w:rPr>
              <w:t>100</w:t>
            </w:r>
          </w:p>
        </w:tc>
        <w:tc>
          <w:tcPr>
            <w:tcW w:w="1321" w:type="dxa"/>
            <w:tcBorders>
              <w:top w:val="nil"/>
              <w:left w:val="nil"/>
              <w:bottom w:val="single" w:color="auto" w:sz="4" w:space="0"/>
              <w:right w:val="single" w:color="auto" w:sz="4" w:space="0"/>
            </w:tcBorders>
            <w:shd w:val="clear" w:color="auto" w:fill="auto"/>
            <w:noWrap/>
            <w:vAlign w:val="center"/>
          </w:tcPr>
          <w:p w14:paraId="2F0D665E">
            <w:r>
              <w:rPr>
                <w:rFonts w:hint="eastAsia"/>
              </w:rPr>
              <w:t>100</w:t>
            </w:r>
          </w:p>
        </w:tc>
      </w:tr>
      <w:tr w14:paraId="07C21212">
        <w:tblPrEx>
          <w:tblCellMar>
            <w:top w:w="0" w:type="dxa"/>
            <w:left w:w="108" w:type="dxa"/>
            <w:bottom w:w="0" w:type="dxa"/>
            <w:right w:w="108" w:type="dxa"/>
          </w:tblCellMar>
        </w:tblPrEx>
        <w:trPr>
          <w:trHeight w:val="63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074CF8F0">
            <w:r>
              <w:rPr>
                <w:rFonts w:hint="eastAsia"/>
              </w:rPr>
              <w:t>12</w:t>
            </w:r>
          </w:p>
        </w:tc>
        <w:tc>
          <w:tcPr>
            <w:tcW w:w="1639" w:type="dxa"/>
            <w:tcBorders>
              <w:top w:val="nil"/>
              <w:left w:val="nil"/>
              <w:bottom w:val="single" w:color="auto" w:sz="4" w:space="0"/>
              <w:right w:val="single" w:color="auto" w:sz="4" w:space="0"/>
            </w:tcBorders>
            <w:shd w:val="clear" w:color="auto" w:fill="auto"/>
            <w:vAlign w:val="center"/>
          </w:tcPr>
          <w:p w14:paraId="4D1F9354">
            <w:r>
              <w:rPr>
                <w:rFonts w:hint="eastAsia"/>
              </w:rPr>
              <w:t>莆财建表[2020]151号</w:t>
            </w:r>
          </w:p>
        </w:tc>
        <w:tc>
          <w:tcPr>
            <w:tcW w:w="2531" w:type="dxa"/>
            <w:tcBorders>
              <w:top w:val="nil"/>
              <w:left w:val="nil"/>
              <w:bottom w:val="single" w:color="auto" w:sz="4" w:space="0"/>
              <w:right w:val="single" w:color="auto" w:sz="4" w:space="0"/>
            </w:tcBorders>
            <w:shd w:val="clear" w:color="auto" w:fill="auto"/>
            <w:vAlign w:val="center"/>
          </w:tcPr>
          <w:p w14:paraId="244AFDAB">
            <w:r>
              <w:rPr>
                <w:rFonts w:hint="eastAsia"/>
              </w:rPr>
              <w:t>莆田市外国语学校</w:t>
            </w:r>
          </w:p>
        </w:tc>
        <w:tc>
          <w:tcPr>
            <w:tcW w:w="1432" w:type="dxa"/>
            <w:tcBorders>
              <w:top w:val="nil"/>
              <w:left w:val="nil"/>
              <w:bottom w:val="single" w:color="auto" w:sz="4" w:space="0"/>
              <w:right w:val="single" w:color="auto" w:sz="4" w:space="0"/>
            </w:tcBorders>
            <w:shd w:val="clear" w:color="000000" w:fill="FFFFFF"/>
            <w:vAlign w:val="center"/>
          </w:tcPr>
          <w:p w14:paraId="4AC7F124">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14:paraId="77EA7C31">
            <w:r>
              <w:rPr>
                <w:rFonts w:hint="eastAsia"/>
              </w:rPr>
              <w:t>50</w:t>
            </w:r>
          </w:p>
        </w:tc>
        <w:tc>
          <w:tcPr>
            <w:tcW w:w="1321" w:type="dxa"/>
            <w:tcBorders>
              <w:top w:val="nil"/>
              <w:left w:val="nil"/>
              <w:bottom w:val="single" w:color="auto" w:sz="4" w:space="0"/>
              <w:right w:val="single" w:color="auto" w:sz="4" w:space="0"/>
            </w:tcBorders>
            <w:shd w:val="clear" w:color="auto" w:fill="auto"/>
            <w:noWrap/>
            <w:vAlign w:val="center"/>
          </w:tcPr>
          <w:p w14:paraId="646375B0">
            <w:r>
              <w:rPr>
                <w:rFonts w:hint="eastAsia"/>
              </w:rPr>
              <w:t>49</w:t>
            </w:r>
          </w:p>
        </w:tc>
      </w:tr>
      <w:tr w14:paraId="03C087F3">
        <w:tblPrEx>
          <w:tblCellMar>
            <w:top w:w="0" w:type="dxa"/>
            <w:left w:w="108" w:type="dxa"/>
            <w:bottom w:w="0" w:type="dxa"/>
            <w:right w:w="108" w:type="dxa"/>
          </w:tblCellMar>
        </w:tblPrEx>
        <w:trPr>
          <w:trHeight w:val="713"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5261AB7E">
            <w:r>
              <w:rPr>
                <w:rFonts w:hint="eastAsia"/>
              </w:rPr>
              <w:t>13</w:t>
            </w:r>
          </w:p>
        </w:tc>
        <w:tc>
          <w:tcPr>
            <w:tcW w:w="1639" w:type="dxa"/>
            <w:tcBorders>
              <w:top w:val="nil"/>
              <w:left w:val="nil"/>
              <w:bottom w:val="single" w:color="auto" w:sz="4" w:space="0"/>
              <w:right w:val="single" w:color="auto" w:sz="4" w:space="0"/>
            </w:tcBorders>
            <w:shd w:val="clear" w:color="auto" w:fill="auto"/>
            <w:vAlign w:val="center"/>
          </w:tcPr>
          <w:p w14:paraId="10241D44">
            <w:r>
              <w:rPr>
                <w:rFonts w:hint="eastAsia"/>
              </w:rPr>
              <w:t>莆财建表[2020]152号</w:t>
            </w:r>
          </w:p>
        </w:tc>
        <w:tc>
          <w:tcPr>
            <w:tcW w:w="2531" w:type="dxa"/>
            <w:tcBorders>
              <w:top w:val="nil"/>
              <w:left w:val="nil"/>
              <w:bottom w:val="single" w:color="auto" w:sz="4" w:space="0"/>
              <w:right w:val="single" w:color="auto" w:sz="4" w:space="0"/>
            </w:tcBorders>
            <w:shd w:val="clear" w:color="auto" w:fill="auto"/>
            <w:vAlign w:val="center"/>
          </w:tcPr>
          <w:p w14:paraId="633DE093">
            <w:r>
              <w:rPr>
                <w:rFonts w:hint="eastAsia"/>
              </w:rPr>
              <w:t>莆田市水利局</w:t>
            </w:r>
          </w:p>
        </w:tc>
        <w:tc>
          <w:tcPr>
            <w:tcW w:w="1432" w:type="dxa"/>
            <w:tcBorders>
              <w:top w:val="nil"/>
              <w:left w:val="nil"/>
              <w:bottom w:val="single" w:color="auto" w:sz="4" w:space="0"/>
              <w:right w:val="single" w:color="auto" w:sz="4" w:space="0"/>
            </w:tcBorders>
            <w:shd w:val="clear" w:color="000000" w:fill="FFFFFF"/>
            <w:vAlign w:val="center"/>
          </w:tcPr>
          <w:p w14:paraId="473D3035">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14:paraId="46A46154">
            <w:r>
              <w:rPr>
                <w:rFonts w:hint="eastAsia"/>
              </w:rPr>
              <w:t>420</w:t>
            </w:r>
          </w:p>
        </w:tc>
        <w:tc>
          <w:tcPr>
            <w:tcW w:w="1321" w:type="dxa"/>
            <w:tcBorders>
              <w:top w:val="nil"/>
              <w:left w:val="nil"/>
              <w:bottom w:val="single" w:color="auto" w:sz="4" w:space="0"/>
              <w:right w:val="single" w:color="auto" w:sz="4" w:space="0"/>
            </w:tcBorders>
            <w:shd w:val="clear" w:color="auto" w:fill="auto"/>
            <w:noWrap/>
            <w:vAlign w:val="center"/>
          </w:tcPr>
          <w:p w14:paraId="3E00151F">
            <w:r>
              <w:rPr>
                <w:rFonts w:hint="eastAsia"/>
              </w:rPr>
              <w:t>27.15</w:t>
            </w:r>
          </w:p>
        </w:tc>
      </w:tr>
      <w:tr w14:paraId="44D47938">
        <w:tblPrEx>
          <w:tblCellMar>
            <w:top w:w="0" w:type="dxa"/>
            <w:left w:w="108" w:type="dxa"/>
            <w:bottom w:w="0" w:type="dxa"/>
            <w:right w:w="108" w:type="dxa"/>
          </w:tblCellMar>
        </w:tblPrEx>
        <w:trPr>
          <w:trHeight w:val="566"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1A693A41">
            <w:r>
              <w:rPr>
                <w:rFonts w:hint="eastAsia"/>
              </w:rPr>
              <w:t>14</w:t>
            </w:r>
          </w:p>
        </w:tc>
        <w:tc>
          <w:tcPr>
            <w:tcW w:w="1639" w:type="dxa"/>
            <w:tcBorders>
              <w:top w:val="nil"/>
              <w:left w:val="nil"/>
              <w:bottom w:val="single" w:color="auto" w:sz="4" w:space="0"/>
              <w:right w:val="single" w:color="auto" w:sz="4" w:space="0"/>
            </w:tcBorders>
            <w:shd w:val="clear" w:color="auto" w:fill="auto"/>
            <w:vAlign w:val="center"/>
          </w:tcPr>
          <w:p w14:paraId="105C1440">
            <w:r>
              <w:rPr>
                <w:rFonts w:hint="eastAsia"/>
              </w:rPr>
              <w:t>莆财建表[2020]153号</w:t>
            </w:r>
          </w:p>
        </w:tc>
        <w:tc>
          <w:tcPr>
            <w:tcW w:w="2531" w:type="dxa"/>
            <w:tcBorders>
              <w:top w:val="nil"/>
              <w:left w:val="nil"/>
              <w:bottom w:val="single" w:color="auto" w:sz="4" w:space="0"/>
              <w:right w:val="single" w:color="auto" w:sz="4" w:space="0"/>
            </w:tcBorders>
            <w:shd w:val="clear" w:color="auto" w:fill="auto"/>
            <w:vAlign w:val="center"/>
          </w:tcPr>
          <w:p w14:paraId="19C1EE40">
            <w:r>
              <w:rPr>
                <w:rFonts w:hint="eastAsia"/>
              </w:rPr>
              <w:t>市第一医院</w:t>
            </w:r>
          </w:p>
        </w:tc>
        <w:tc>
          <w:tcPr>
            <w:tcW w:w="1432" w:type="dxa"/>
            <w:tcBorders>
              <w:top w:val="nil"/>
              <w:left w:val="nil"/>
              <w:bottom w:val="single" w:color="auto" w:sz="4" w:space="0"/>
              <w:right w:val="single" w:color="auto" w:sz="4" w:space="0"/>
            </w:tcBorders>
            <w:shd w:val="clear" w:color="000000" w:fill="FFFFFF"/>
            <w:vAlign w:val="center"/>
          </w:tcPr>
          <w:p w14:paraId="414127C2">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14:paraId="18B541E7">
            <w:r>
              <w:rPr>
                <w:rFonts w:hint="eastAsia"/>
              </w:rPr>
              <w:t>30</w:t>
            </w:r>
          </w:p>
        </w:tc>
        <w:tc>
          <w:tcPr>
            <w:tcW w:w="1321" w:type="dxa"/>
            <w:tcBorders>
              <w:top w:val="nil"/>
              <w:left w:val="nil"/>
              <w:bottom w:val="single" w:color="auto" w:sz="4" w:space="0"/>
              <w:right w:val="single" w:color="auto" w:sz="4" w:space="0"/>
            </w:tcBorders>
            <w:shd w:val="clear" w:color="auto" w:fill="auto"/>
            <w:noWrap/>
            <w:vAlign w:val="center"/>
          </w:tcPr>
          <w:p w14:paraId="72305090">
            <w:r>
              <w:rPr>
                <w:rFonts w:hint="eastAsia"/>
              </w:rPr>
              <w:t>30</w:t>
            </w:r>
          </w:p>
        </w:tc>
      </w:tr>
      <w:tr w14:paraId="074CD252">
        <w:tblPrEx>
          <w:tblCellMar>
            <w:top w:w="0" w:type="dxa"/>
            <w:left w:w="108" w:type="dxa"/>
            <w:bottom w:w="0" w:type="dxa"/>
            <w:right w:w="108" w:type="dxa"/>
          </w:tblCellMar>
        </w:tblPrEx>
        <w:trPr>
          <w:trHeight w:val="63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31685C80">
            <w:r>
              <w:rPr>
                <w:rFonts w:hint="eastAsia"/>
              </w:rPr>
              <w:t>15</w:t>
            </w:r>
          </w:p>
        </w:tc>
        <w:tc>
          <w:tcPr>
            <w:tcW w:w="1639" w:type="dxa"/>
            <w:tcBorders>
              <w:top w:val="nil"/>
              <w:left w:val="nil"/>
              <w:bottom w:val="single" w:color="auto" w:sz="4" w:space="0"/>
              <w:right w:val="single" w:color="auto" w:sz="4" w:space="0"/>
            </w:tcBorders>
            <w:shd w:val="clear" w:color="auto" w:fill="auto"/>
            <w:vAlign w:val="center"/>
          </w:tcPr>
          <w:p w14:paraId="4798A825">
            <w:r>
              <w:rPr>
                <w:rFonts w:hint="eastAsia"/>
              </w:rPr>
              <w:t>莆财建表[2020]154号</w:t>
            </w:r>
          </w:p>
        </w:tc>
        <w:tc>
          <w:tcPr>
            <w:tcW w:w="2531" w:type="dxa"/>
            <w:tcBorders>
              <w:top w:val="nil"/>
              <w:left w:val="nil"/>
              <w:bottom w:val="single" w:color="auto" w:sz="4" w:space="0"/>
              <w:right w:val="single" w:color="auto" w:sz="4" w:space="0"/>
            </w:tcBorders>
            <w:shd w:val="clear" w:color="auto" w:fill="auto"/>
            <w:vAlign w:val="center"/>
          </w:tcPr>
          <w:p w14:paraId="0D2E41D1">
            <w:r>
              <w:rPr>
                <w:rFonts w:hint="eastAsia"/>
              </w:rPr>
              <w:t>市公安局</w:t>
            </w:r>
          </w:p>
        </w:tc>
        <w:tc>
          <w:tcPr>
            <w:tcW w:w="1432" w:type="dxa"/>
            <w:tcBorders>
              <w:top w:val="nil"/>
              <w:left w:val="nil"/>
              <w:bottom w:val="single" w:color="auto" w:sz="4" w:space="0"/>
              <w:right w:val="single" w:color="auto" w:sz="4" w:space="0"/>
            </w:tcBorders>
            <w:shd w:val="clear" w:color="000000" w:fill="FFFFFF"/>
            <w:vAlign w:val="center"/>
          </w:tcPr>
          <w:p w14:paraId="4848564D">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14:paraId="19993AF1">
            <w:r>
              <w:rPr>
                <w:rFonts w:hint="eastAsia"/>
              </w:rPr>
              <w:t>97.5</w:t>
            </w:r>
          </w:p>
        </w:tc>
        <w:tc>
          <w:tcPr>
            <w:tcW w:w="1321" w:type="dxa"/>
            <w:tcBorders>
              <w:top w:val="nil"/>
              <w:left w:val="nil"/>
              <w:bottom w:val="single" w:color="auto" w:sz="4" w:space="0"/>
              <w:right w:val="single" w:color="auto" w:sz="4" w:space="0"/>
            </w:tcBorders>
            <w:shd w:val="clear" w:color="auto" w:fill="auto"/>
            <w:noWrap/>
            <w:vAlign w:val="center"/>
          </w:tcPr>
          <w:p w14:paraId="6698AB61">
            <w:r>
              <w:rPr>
                <w:rFonts w:hint="eastAsia"/>
              </w:rPr>
              <w:t>97.5</w:t>
            </w:r>
          </w:p>
        </w:tc>
      </w:tr>
      <w:tr w14:paraId="6976E813">
        <w:tblPrEx>
          <w:tblCellMar>
            <w:top w:w="0" w:type="dxa"/>
            <w:left w:w="108" w:type="dxa"/>
            <w:bottom w:w="0" w:type="dxa"/>
            <w:right w:w="108" w:type="dxa"/>
          </w:tblCellMar>
        </w:tblPrEx>
        <w:trPr>
          <w:trHeight w:val="563"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14:paraId="386A4F9B"/>
        </w:tc>
        <w:tc>
          <w:tcPr>
            <w:tcW w:w="4170" w:type="dxa"/>
            <w:gridSpan w:val="2"/>
            <w:tcBorders>
              <w:top w:val="single" w:color="auto" w:sz="4" w:space="0"/>
              <w:left w:val="nil"/>
              <w:bottom w:val="single" w:color="auto" w:sz="4" w:space="0"/>
              <w:right w:val="single" w:color="auto" w:sz="4" w:space="0"/>
            </w:tcBorders>
            <w:shd w:val="clear" w:color="auto" w:fill="auto"/>
            <w:noWrap/>
            <w:vAlign w:val="center"/>
          </w:tcPr>
          <w:p w14:paraId="4FAEB5A2">
            <w:r>
              <w:rPr>
                <w:rFonts w:hint="eastAsia"/>
              </w:rPr>
              <w:t>合计</w:t>
            </w:r>
          </w:p>
        </w:tc>
        <w:tc>
          <w:tcPr>
            <w:tcW w:w="1432" w:type="dxa"/>
            <w:tcBorders>
              <w:top w:val="nil"/>
              <w:left w:val="nil"/>
              <w:bottom w:val="single" w:color="auto" w:sz="4" w:space="0"/>
              <w:right w:val="single" w:color="auto" w:sz="4" w:space="0"/>
            </w:tcBorders>
            <w:shd w:val="clear" w:color="auto" w:fill="auto"/>
            <w:noWrap/>
            <w:vAlign w:val="center"/>
          </w:tcPr>
          <w:p w14:paraId="7A81521F"/>
        </w:tc>
        <w:tc>
          <w:tcPr>
            <w:tcW w:w="969" w:type="dxa"/>
            <w:tcBorders>
              <w:top w:val="nil"/>
              <w:left w:val="nil"/>
              <w:bottom w:val="single" w:color="auto" w:sz="4" w:space="0"/>
              <w:right w:val="single" w:color="auto" w:sz="4" w:space="0"/>
            </w:tcBorders>
            <w:shd w:val="clear" w:color="auto" w:fill="auto"/>
            <w:noWrap/>
            <w:vAlign w:val="center"/>
          </w:tcPr>
          <w:p w14:paraId="6AB1FBF3">
            <w:r>
              <w:rPr>
                <w:rFonts w:hint="eastAsia"/>
              </w:rPr>
              <w:t>1607.1</w:t>
            </w:r>
          </w:p>
        </w:tc>
        <w:tc>
          <w:tcPr>
            <w:tcW w:w="1321" w:type="dxa"/>
            <w:tcBorders>
              <w:top w:val="nil"/>
              <w:left w:val="nil"/>
              <w:bottom w:val="single" w:color="auto" w:sz="4" w:space="0"/>
              <w:right w:val="single" w:color="auto" w:sz="4" w:space="0"/>
            </w:tcBorders>
            <w:shd w:val="clear" w:color="auto" w:fill="auto"/>
            <w:noWrap/>
            <w:vAlign w:val="center"/>
          </w:tcPr>
          <w:p w14:paraId="041134B9">
            <w:r>
              <w:rPr>
                <w:rFonts w:hint="eastAsia"/>
              </w:rPr>
              <w:t>584.65</w:t>
            </w:r>
          </w:p>
        </w:tc>
      </w:tr>
    </w:tbl>
    <w:p w14:paraId="3075CF27">
      <w:pPr>
        <w:ind w:firstLine="420" w:firstLineChars="200"/>
      </w:pPr>
      <w:r>
        <w:rPr>
          <w:rFonts w:hint="eastAsia"/>
        </w:rPr>
        <w:t>表2  县区资金拨付与使用情况</w:t>
      </w:r>
    </w:p>
    <w:p w14:paraId="7144A9CF">
      <w:pPr>
        <w:ind w:firstLine="420" w:firstLineChars="200"/>
      </w:pPr>
      <w:r>
        <w:rPr>
          <w:rFonts w:hint="eastAsia"/>
        </w:rPr>
        <w:t>单位：万元</w:t>
      </w:r>
    </w:p>
    <w:tbl>
      <w:tblPr>
        <w:tblStyle w:val="17"/>
        <w:tblW w:w="8935" w:type="dxa"/>
        <w:jc w:val="center"/>
        <w:tblLayout w:type="fixed"/>
        <w:tblCellMar>
          <w:top w:w="0" w:type="dxa"/>
          <w:left w:w="108" w:type="dxa"/>
          <w:bottom w:w="0" w:type="dxa"/>
          <w:right w:w="108" w:type="dxa"/>
        </w:tblCellMar>
      </w:tblPr>
      <w:tblGrid>
        <w:gridCol w:w="577"/>
        <w:gridCol w:w="2064"/>
        <w:gridCol w:w="722"/>
        <w:gridCol w:w="722"/>
        <w:gridCol w:w="722"/>
        <w:gridCol w:w="722"/>
        <w:gridCol w:w="799"/>
        <w:gridCol w:w="825"/>
        <w:gridCol w:w="840"/>
        <w:gridCol w:w="942"/>
      </w:tblGrid>
      <w:tr w14:paraId="0BB76257">
        <w:tblPrEx>
          <w:tblCellMar>
            <w:top w:w="0" w:type="dxa"/>
            <w:left w:w="108" w:type="dxa"/>
            <w:bottom w:w="0" w:type="dxa"/>
            <w:right w:w="108" w:type="dxa"/>
          </w:tblCellMar>
        </w:tblPrEx>
        <w:trPr>
          <w:trHeight w:val="1016"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14:paraId="06D39CBF">
            <w:r>
              <w:rPr>
                <w:rFonts w:hint="eastAsia"/>
              </w:rPr>
              <w:t>序号</w:t>
            </w:r>
          </w:p>
        </w:tc>
        <w:tc>
          <w:tcPr>
            <w:tcW w:w="2064" w:type="dxa"/>
            <w:tcBorders>
              <w:top w:val="single" w:color="auto" w:sz="4" w:space="0"/>
              <w:left w:val="nil"/>
              <w:bottom w:val="single" w:color="auto" w:sz="4" w:space="0"/>
              <w:right w:val="single" w:color="auto" w:sz="4" w:space="0"/>
            </w:tcBorders>
            <w:shd w:val="clear" w:color="auto" w:fill="auto"/>
            <w:vAlign w:val="center"/>
          </w:tcPr>
          <w:p w14:paraId="630B1EE0">
            <w:r>
              <w:rPr>
                <w:rFonts w:hint="eastAsia"/>
              </w:rPr>
              <w:t>发文号</w:t>
            </w:r>
          </w:p>
        </w:tc>
        <w:tc>
          <w:tcPr>
            <w:tcW w:w="722" w:type="dxa"/>
            <w:tcBorders>
              <w:top w:val="single" w:color="auto" w:sz="4" w:space="0"/>
              <w:left w:val="nil"/>
              <w:bottom w:val="single" w:color="auto" w:sz="4" w:space="0"/>
              <w:right w:val="single" w:color="auto" w:sz="4" w:space="0"/>
            </w:tcBorders>
            <w:shd w:val="clear" w:color="auto" w:fill="auto"/>
            <w:noWrap/>
            <w:vAlign w:val="center"/>
          </w:tcPr>
          <w:p w14:paraId="23ACB699">
            <w:r>
              <w:rPr>
                <w:rFonts w:hint="eastAsia"/>
              </w:rPr>
              <w:t>荔城</w:t>
            </w:r>
          </w:p>
        </w:tc>
        <w:tc>
          <w:tcPr>
            <w:tcW w:w="722" w:type="dxa"/>
            <w:tcBorders>
              <w:top w:val="single" w:color="auto" w:sz="4" w:space="0"/>
              <w:left w:val="nil"/>
              <w:bottom w:val="single" w:color="auto" w:sz="4" w:space="0"/>
              <w:right w:val="single" w:color="auto" w:sz="4" w:space="0"/>
            </w:tcBorders>
            <w:shd w:val="clear" w:color="auto" w:fill="auto"/>
            <w:noWrap/>
            <w:vAlign w:val="center"/>
          </w:tcPr>
          <w:p w14:paraId="08CA7F32">
            <w:r>
              <w:rPr>
                <w:rFonts w:hint="eastAsia"/>
              </w:rPr>
              <w:t>城厢</w:t>
            </w:r>
          </w:p>
        </w:tc>
        <w:tc>
          <w:tcPr>
            <w:tcW w:w="722" w:type="dxa"/>
            <w:tcBorders>
              <w:top w:val="single" w:color="auto" w:sz="4" w:space="0"/>
              <w:left w:val="nil"/>
              <w:bottom w:val="single" w:color="auto" w:sz="4" w:space="0"/>
              <w:right w:val="single" w:color="auto" w:sz="4" w:space="0"/>
            </w:tcBorders>
            <w:shd w:val="clear" w:color="auto" w:fill="auto"/>
            <w:noWrap/>
            <w:vAlign w:val="center"/>
          </w:tcPr>
          <w:p w14:paraId="3DD53A22">
            <w:r>
              <w:rPr>
                <w:rFonts w:hint="eastAsia"/>
              </w:rPr>
              <w:t>涵江</w:t>
            </w:r>
          </w:p>
        </w:tc>
        <w:tc>
          <w:tcPr>
            <w:tcW w:w="722" w:type="dxa"/>
            <w:tcBorders>
              <w:top w:val="single" w:color="auto" w:sz="4" w:space="0"/>
              <w:left w:val="nil"/>
              <w:bottom w:val="single" w:color="auto" w:sz="4" w:space="0"/>
              <w:right w:val="single" w:color="auto" w:sz="4" w:space="0"/>
            </w:tcBorders>
            <w:shd w:val="clear" w:color="auto" w:fill="auto"/>
            <w:noWrap/>
            <w:vAlign w:val="center"/>
          </w:tcPr>
          <w:p w14:paraId="10233920">
            <w:r>
              <w:rPr>
                <w:rFonts w:hint="eastAsia"/>
              </w:rPr>
              <w:t>秀屿</w:t>
            </w:r>
          </w:p>
        </w:tc>
        <w:tc>
          <w:tcPr>
            <w:tcW w:w="799" w:type="dxa"/>
            <w:tcBorders>
              <w:top w:val="single" w:color="auto" w:sz="4" w:space="0"/>
              <w:left w:val="nil"/>
              <w:bottom w:val="single" w:color="auto" w:sz="4" w:space="0"/>
              <w:right w:val="single" w:color="auto" w:sz="4" w:space="0"/>
            </w:tcBorders>
            <w:shd w:val="clear" w:color="auto" w:fill="auto"/>
            <w:noWrap/>
            <w:vAlign w:val="center"/>
          </w:tcPr>
          <w:p w14:paraId="7B17D0B4">
            <w:r>
              <w:rPr>
                <w:rFonts w:hint="eastAsia"/>
              </w:rPr>
              <w:t>北岸</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4EE1627F">
            <w:r>
              <w:rPr>
                <w:rFonts w:hint="eastAsia"/>
              </w:rPr>
              <w:t>湄洲岛</w:t>
            </w:r>
          </w:p>
        </w:tc>
        <w:tc>
          <w:tcPr>
            <w:tcW w:w="840" w:type="dxa"/>
            <w:tcBorders>
              <w:top w:val="single" w:color="auto" w:sz="4" w:space="0"/>
              <w:left w:val="nil"/>
              <w:bottom w:val="single" w:color="auto" w:sz="4" w:space="0"/>
              <w:right w:val="single" w:color="auto" w:sz="4" w:space="0"/>
            </w:tcBorders>
            <w:shd w:val="clear" w:color="auto" w:fill="auto"/>
            <w:noWrap/>
            <w:vAlign w:val="center"/>
          </w:tcPr>
          <w:p w14:paraId="062D78ED">
            <w:r>
              <w:rPr>
                <w:rFonts w:hint="eastAsia"/>
              </w:rPr>
              <w:t>仙游</w:t>
            </w:r>
          </w:p>
        </w:tc>
        <w:tc>
          <w:tcPr>
            <w:tcW w:w="942" w:type="dxa"/>
            <w:tcBorders>
              <w:top w:val="single" w:color="auto" w:sz="4" w:space="0"/>
              <w:left w:val="nil"/>
              <w:bottom w:val="single" w:color="auto" w:sz="4" w:space="0"/>
              <w:right w:val="single" w:color="auto" w:sz="4" w:space="0"/>
            </w:tcBorders>
            <w:shd w:val="clear" w:color="auto" w:fill="auto"/>
            <w:noWrap/>
            <w:vAlign w:val="center"/>
          </w:tcPr>
          <w:p w14:paraId="6C07F7BE">
            <w:pPr>
              <w:ind w:firstLine="420" w:firstLineChars="200"/>
            </w:pPr>
            <w:r>
              <w:rPr>
                <w:rFonts w:hint="eastAsia"/>
              </w:rPr>
              <w:t>县区</w:t>
            </w:r>
          </w:p>
          <w:p w14:paraId="050401F2">
            <w:pPr>
              <w:ind w:firstLine="420" w:firstLineChars="200"/>
            </w:pPr>
            <w:r>
              <w:rPr>
                <w:rFonts w:hint="eastAsia"/>
              </w:rPr>
              <w:t>小计</w:t>
            </w:r>
          </w:p>
        </w:tc>
      </w:tr>
      <w:tr w14:paraId="696356F4">
        <w:tblPrEx>
          <w:tblCellMar>
            <w:top w:w="0" w:type="dxa"/>
            <w:left w:w="108" w:type="dxa"/>
            <w:bottom w:w="0" w:type="dxa"/>
            <w:right w:w="108" w:type="dxa"/>
          </w:tblCellMar>
        </w:tblPrEx>
        <w:trPr>
          <w:trHeight w:val="656" w:hRule="atLeast"/>
          <w:jc w:val="center"/>
        </w:trPr>
        <w:tc>
          <w:tcPr>
            <w:tcW w:w="577" w:type="dxa"/>
            <w:tcBorders>
              <w:top w:val="nil"/>
              <w:left w:val="single" w:color="auto" w:sz="4" w:space="0"/>
              <w:bottom w:val="single" w:color="auto" w:sz="4" w:space="0"/>
              <w:right w:val="single" w:color="auto" w:sz="4" w:space="0"/>
            </w:tcBorders>
            <w:shd w:val="clear" w:color="auto" w:fill="auto"/>
            <w:vAlign w:val="center"/>
          </w:tcPr>
          <w:p w14:paraId="1504E380">
            <w:r>
              <w:rPr>
                <w:rFonts w:hint="eastAsia"/>
              </w:rPr>
              <w:t>1</w:t>
            </w:r>
          </w:p>
        </w:tc>
        <w:tc>
          <w:tcPr>
            <w:tcW w:w="2064" w:type="dxa"/>
            <w:tcBorders>
              <w:top w:val="nil"/>
              <w:left w:val="nil"/>
              <w:bottom w:val="single" w:color="auto" w:sz="4" w:space="0"/>
              <w:right w:val="single" w:color="auto" w:sz="4" w:space="0"/>
            </w:tcBorders>
            <w:shd w:val="clear" w:color="auto" w:fill="auto"/>
            <w:vAlign w:val="center"/>
          </w:tcPr>
          <w:p w14:paraId="2BAB4D95">
            <w:r>
              <w:rPr>
                <w:rFonts w:hint="eastAsia"/>
              </w:rPr>
              <w:t>莆财建[2020]48号</w:t>
            </w:r>
          </w:p>
        </w:tc>
        <w:tc>
          <w:tcPr>
            <w:tcW w:w="722" w:type="dxa"/>
            <w:tcBorders>
              <w:top w:val="nil"/>
              <w:left w:val="nil"/>
              <w:bottom w:val="single" w:color="auto" w:sz="4" w:space="0"/>
              <w:right w:val="single" w:color="auto" w:sz="4" w:space="0"/>
            </w:tcBorders>
            <w:shd w:val="clear" w:color="auto" w:fill="auto"/>
            <w:noWrap/>
            <w:vAlign w:val="center"/>
          </w:tcPr>
          <w:p w14:paraId="76FA7339">
            <w:r>
              <w:rPr>
                <w:rFonts w:hint="eastAsia"/>
              </w:rPr>
              <w:t>50</w:t>
            </w:r>
          </w:p>
        </w:tc>
        <w:tc>
          <w:tcPr>
            <w:tcW w:w="722" w:type="dxa"/>
            <w:tcBorders>
              <w:top w:val="nil"/>
              <w:left w:val="nil"/>
              <w:bottom w:val="single" w:color="auto" w:sz="4" w:space="0"/>
              <w:right w:val="single" w:color="auto" w:sz="4" w:space="0"/>
            </w:tcBorders>
            <w:shd w:val="clear" w:color="auto" w:fill="auto"/>
            <w:noWrap/>
            <w:vAlign w:val="center"/>
          </w:tcPr>
          <w:p w14:paraId="0B9A2261">
            <w:r>
              <w:rPr>
                <w:rFonts w:hint="eastAsia"/>
              </w:rPr>
              <w:t>10</w:t>
            </w:r>
          </w:p>
        </w:tc>
        <w:tc>
          <w:tcPr>
            <w:tcW w:w="722" w:type="dxa"/>
            <w:tcBorders>
              <w:top w:val="nil"/>
              <w:left w:val="nil"/>
              <w:bottom w:val="single" w:color="auto" w:sz="4" w:space="0"/>
              <w:right w:val="single" w:color="auto" w:sz="4" w:space="0"/>
            </w:tcBorders>
            <w:shd w:val="clear" w:color="auto" w:fill="auto"/>
            <w:noWrap/>
            <w:vAlign w:val="center"/>
          </w:tcPr>
          <w:p w14:paraId="7C62E6D1">
            <w:r>
              <w:rPr>
                <w:rFonts w:hint="eastAsia"/>
              </w:rPr>
              <w:t>30</w:t>
            </w:r>
          </w:p>
        </w:tc>
        <w:tc>
          <w:tcPr>
            <w:tcW w:w="722" w:type="dxa"/>
            <w:tcBorders>
              <w:top w:val="nil"/>
              <w:left w:val="nil"/>
              <w:bottom w:val="single" w:color="auto" w:sz="4" w:space="0"/>
              <w:right w:val="single" w:color="auto" w:sz="4" w:space="0"/>
            </w:tcBorders>
            <w:shd w:val="clear" w:color="auto" w:fill="auto"/>
            <w:noWrap/>
            <w:vAlign w:val="center"/>
          </w:tcPr>
          <w:p w14:paraId="5488522D">
            <w:r>
              <w:rPr>
                <w:rFonts w:hint="eastAsia"/>
              </w:rPr>
              <w:t>60</w:t>
            </w:r>
          </w:p>
        </w:tc>
        <w:tc>
          <w:tcPr>
            <w:tcW w:w="799" w:type="dxa"/>
            <w:tcBorders>
              <w:top w:val="nil"/>
              <w:left w:val="nil"/>
              <w:bottom w:val="single" w:color="auto" w:sz="4" w:space="0"/>
              <w:right w:val="single" w:color="auto" w:sz="4" w:space="0"/>
            </w:tcBorders>
            <w:shd w:val="clear" w:color="auto" w:fill="auto"/>
            <w:noWrap/>
            <w:vAlign w:val="center"/>
          </w:tcPr>
          <w:p w14:paraId="5AF73B28">
            <w:r>
              <w:rPr>
                <w:rFonts w:hint="eastAsia"/>
              </w:rPr>
              <w:t>50</w:t>
            </w:r>
          </w:p>
        </w:tc>
        <w:tc>
          <w:tcPr>
            <w:tcW w:w="825" w:type="dxa"/>
            <w:tcBorders>
              <w:top w:val="nil"/>
              <w:left w:val="nil"/>
              <w:bottom w:val="single" w:color="auto" w:sz="4" w:space="0"/>
              <w:right w:val="single" w:color="auto" w:sz="4" w:space="0"/>
            </w:tcBorders>
            <w:shd w:val="clear" w:color="auto" w:fill="auto"/>
            <w:noWrap/>
            <w:vAlign w:val="center"/>
          </w:tcPr>
          <w:p w14:paraId="20EF7642"/>
        </w:tc>
        <w:tc>
          <w:tcPr>
            <w:tcW w:w="840" w:type="dxa"/>
            <w:tcBorders>
              <w:top w:val="nil"/>
              <w:left w:val="nil"/>
              <w:bottom w:val="single" w:color="auto" w:sz="4" w:space="0"/>
              <w:right w:val="single" w:color="auto" w:sz="4" w:space="0"/>
            </w:tcBorders>
            <w:shd w:val="clear" w:color="auto" w:fill="auto"/>
            <w:noWrap/>
            <w:vAlign w:val="center"/>
          </w:tcPr>
          <w:p w14:paraId="0B7249B8">
            <w:r>
              <w:rPr>
                <w:rFonts w:hint="eastAsia"/>
              </w:rPr>
              <w:t>90</w:t>
            </w:r>
          </w:p>
        </w:tc>
        <w:tc>
          <w:tcPr>
            <w:tcW w:w="942" w:type="dxa"/>
            <w:tcBorders>
              <w:top w:val="nil"/>
              <w:left w:val="nil"/>
              <w:bottom w:val="single" w:color="auto" w:sz="4" w:space="0"/>
              <w:right w:val="single" w:color="auto" w:sz="4" w:space="0"/>
            </w:tcBorders>
            <w:shd w:val="clear" w:color="auto" w:fill="auto"/>
            <w:noWrap/>
            <w:vAlign w:val="center"/>
          </w:tcPr>
          <w:p w14:paraId="3EB727C7">
            <w:r>
              <w:rPr>
                <w:rFonts w:hint="eastAsia"/>
              </w:rPr>
              <w:t>290</w:t>
            </w:r>
          </w:p>
        </w:tc>
      </w:tr>
      <w:tr w14:paraId="3D1A4B0D">
        <w:tblPrEx>
          <w:tblCellMar>
            <w:top w:w="0" w:type="dxa"/>
            <w:left w:w="108" w:type="dxa"/>
            <w:bottom w:w="0" w:type="dxa"/>
            <w:right w:w="108" w:type="dxa"/>
          </w:tblCellMar>
        </w:tblPrEx>
        <w:trPr>
          <w:trHeight w:val="596" w:hRule="atLeast"/>
          <w:jc w:val="center"/>
        </w:trPr>
        <w:tc>
          <w:tcPr>
            <w:tcW w:w="577" w:type="dxa"/>
            <w:tcBorders>
              <w:top w:val="nil"/>
              <w:left w:val="single" w:color="auto" w:sz="4" w:space="0"/>
              <w:bottom w:val="single" w:color="auto" w:sz="4" w:space="0"/>
              <w:right w:val="single" w:color="auto" w:sz="4" w:space="0"/>
            </w:tcBorders>
            <w:shd w:val="clear" w:color="auto" w:fill="auto"/>
            <w:vAlign w:val="center"/>
          </w:tcPr>
          <w:p w14:paraId="193B038D">
            <w:r>
              <w:rPr>
                <w:rFonts w:hint="eastAsia"/>
              </w:rPr>
              <w:t>2</w:t>
            </w:r>
          </w:p>
        </w:tc>
        <w:tc>
          <w:tcPr>
            <w:tcW w:w="2064" w:type="dxa"/>
            <w:tcBorders>
              <w:top w:val="nil"/>
              <w:left w:val="nil"/>
              <w:bottom w:val="single" w:color="auto" w:sz="4" w:space="0"/>
              <w:right w:val="single" w:color="auto" w:sz="4" w:space="0"/>
            </w:tcBorders>
            <w:shd w:val="clear" w:color="auto" w:fill="auto"/>
            <w:vAlign w:val="center"/>
          </w:tcPr>
          <w:p w14:paraId="1294B0F8">
            <w:r>
              <w:rPr>
                <w:rFonts w:hint="eastAsia"/>
              </w:rPr>
              <w:t>莆财建[2020]55号</w:t>
            </w:r>
          </w:p>
        </w:tc>
        <w:tc>
          <w:tcPr>
            <w:tcW w:w="722" w:type="dxa"/>
            <w:tcBorders>
              <w:top w:val="nil"/>
              <w:left w:val="nil"/>
              <w:bottom w:val="single" w:color="auto" w:sz="4" w:space="0"/>
              <w:right w:val="single" w:color="auto" w:sz="4" w:space="0"/>
            </w:tcBorders>
            <w:shd w:val="clear" w:color="auto" w:fill="auto"/>
            <w:noWrap/>
            <w:vAlign w:val="center"/>
          </w:tcPr>
          <w:p w14:paraId="6DE1C335"/>
        </w:tc>
        <w:tc>
          <w:tcPr>
            <w:tcW w:w="722" w:type="dxa"/>
            <w:tcBorders>
              <w:top w:val="nil"/>
              <w:left w:val="nil"/>
              <w:bottom w:val="single" w:color="auto" w:sz="4" w:space="0"/>
              <w:right w:val="single" w:color="auto" w:sz="4" w:space="0"/>
            </w:tcBorders>
            <w:shd w:val="clear" w:color="auto" w:fill="auto"/>
            <w:noWrap/>
            <w:vAlign w:val="center"/>
          </w:tcPr>
          <w:p w14:paraId="1E6FB24E">
            <w:r>
              <w:rPr>
                <w:rFonts w:hint="eastAsia"/>
              </w:rPr>
              <w:t>30</w:t>
            </w:r>
          </w:p>
        </w:tc>
        <w:tc>
          <w:tcPr>
            <w:tcW w:w="722" w:type="dxa"/>
            <w:tcBorders>
              <w:top w:val="nil"/>
              <w:left w:val="nil"/>
              <w:bottom w:val="single" w:color="auto" w:sz="4" w:space="0"/>
              <w:right w:val="single" w:color="auto" w:sz="4" w:space="0"/>
            </w:tcBorders>
            <w:shd w:val="clear" w:color="auto" w:fill="auto"/>
            <w:noWrap/>
            <w:vAlign w:val="center"/>
          </w:tcPr>
          <w:p w14:paraId="61DC9FB9">
            <w:r>
              <w:rPr>
                <w:rFonts w:hint="eastAsia"/>
              </w:rPr>
              <w:t>50</w:t>
            </w:r>
          </w:p>
        </w:tc>
        <w:tc>
          <w:tcPr>
            <w:tcW w:w="722" w:type="dxa"/>
            <w:tcBorders>
              <w:top w:val="nil"/>
              <w:left w:val="nil"/>
              <w:bottom w:val="single" w:color="auto" w:sz="4" w:space="0"/>
              <w:right w:val="single" w:color="auto" w:sz="4" w:space="0"/>
            </w:tcBorders>
            <w:shd w:val="clear" w:color="auto" w:fill="auto"/>
            <w:noWrap/>
            <w:vAlign w:val="center"/>
          </w:tcPr>
          <w:p w14:paraId="281426B0"/>
        </w:tc>
        <w:tc>
          <w:tcPr>
            <w:tcW w:w="799" w:type="dxa"/>
            <w:tcBorders>
              <w:top w:val="nil"/>
              <w:left w:val="nil"/>
              <w:bottom w:val="single" w:color="auto" w:sz="4" w:space="0"/>
              <w:right w:val="single" w:color="auto" w:sz="4" w:space="0"/>
            </w:tcBorders>
            <w:shd w:val="clear" w:color="auto" w:fill="auto"/>
            <w:noWrap/>
            <w:vAlign w:val="center"/>
          </w:tcPr>
          <w:p w14:paraId="56C851EC"/>
        </w:tc>
        <w:tc>
          <w:tcPr>
            <w:tcW w:w="825" w:type="dxa"/>
            <w:tcBorders>
              <w:top w:val="nil"/>
              <w:left w:val="nil"/>
              <w:bottom w:val="single" w:color="auto" w:sz="4" w:space="0"/>
              <w:right w:val="single" w:color="auto" w:sz="4" w:space="0"/>
            </w:tcBorders>
            <w:shd w:val="clear" w:color="auto" w:fill="auto"/>
            <w:noWrap/>
            <w:vAlign w:val="center"/>
          </w:tcPr>
          <w:p w14:paraId="180280A3"/>
        </w:tc>
        <w:tc>
          <w:tcPr>
            <w:tcW w:w="840" w:type="dxa"/>
            <w:tcBorders>
              <w:top w:val="nil"/>
              <w:left w:val="nil"/>
              <w:bottom w:val="single" w:color="auto" w:sz="4" w:space="0"/>
              <w:right w:val="single" w:color="auto" w:sz="4" w:space="0"/>
            </w:tcBorders>
            <w:shd w:val="clear" w:color="auto" w:fill="auto"/>
            <w:noWrap/>
            <w:vAlign w:val="center"/>
          </w:tcPr>
          <w:p w14:paraId="2A78E4B6">
            <w:r>
              <w:rPr>
                <w:rFonts w:hint="eastAsia"/>
              </w:rPr>
              <w:t>20</w:t>
            </w:r>
          </w:p>
        </w:tc>
        <w:tc>
          <w:tcPr>
            <w:tcW w:w="942" w:type="dxa"/>
            <w:tcBorders>
              <w:top w:val="nil"/>
              <w:left w:val="nil"/>
              <w:bottom w:val="single" w:color="auto" w:sz="4" w:space="0"/>
              <w:right w:val="single" w:color="auto" w:sz="4" w:space="0"/>
            </w:tcBorders>
            <w:shd w:val="clear" w:color="auto" w:fill="auto"/>
            <w:noWrap/>
            <w:vAlign w:val="center"/>
          </w:tcPr>
          <w:p w14:paraId="06AFA3FD">
            <w:r>
              <w:rPr>
                <w:rFonts w:hint="eastAsia"/>
              </w:rPr>
              <w:t>100</w:t>
            </w:r>
          </w:p>
        </w:tc>
      </w:tr>
      <w:tr w14:paraId="44901CDC">
        <w:tblPrEx>
          <w:tblCellMar>
            <w:top w:w="0" w:type="dxa"/>
            <w:left w:w="108" w:type="dxa"/>
            <w:bottom w:w="0" w:type="dxa"/>
            <w:right w:w="108" w:type="dxa"/>
          </w:tblCellMar>
        </w:tblPrEx>
        <w:trPr>
          <w:trHeight w:val="581" w:hRule="atLeast"/>
          <w:jc w:val="center"/>
        </w:trPr>
        <w:tc>
          <w:tcPr>
            <w:tcW w:w="577" w:type="dxa"/>
            <w:tcBorders>
              <w:top w:val="nil"/>
              <w:left w:val="single" w:color="auto" w:sz="4" w:space="0"/>
              <w:bottom w:val="single" w:color="auto" w:sz="4" w:space="0"/>
              <w:right w:val="single" w:color="auto" w:sz="4" w:space="0"/>
            </w:tcBorders>
            <w:shd w:val="clear" w:color="auto" w:fill="auto"/>
            <w:vAlign w:val="center"/>
          </w:tcPr>
          <w:p w14:paraId="5F55524B">
            <w:r>
              <w:rPr>
                <w:rFonts w:hint="eastAsia"/>
              </w:rPr>
              <w:t>3</w:t>
            </w:r>
          </w:p>
        </w:tc>
        <w:tc>
          <w:tcPr>
            <w:tcW w:w="2064" w:type="dxa"/>
            <w:tcBorders>
              <w:top w:val="nil"/>
              <w:left w:val="nil"/>
              <w:bottom w:val="single" w:color="auto" w:sz="4" w:space="0"/>
              <w:right w:val="single" w:color="auto" w:sz="4" w:space="0"/>
            </w:tcBorders>
            <w:shd w:val="clear" w:color="auto" w:fill="auto"/>
            <w:vAlign w:val="center"/>
          </w:tcPr>
          <w:p w14:paraId="1EC99937">
            <w:r>
              <w:rPr>
                <w:rFonts w:hint="eastAsia"/>
              </w:rPr>
              <w:t>莆财建[2020]66号</w:t>
            </w:r>
          </w:p>
        </w:tc>
        <w:tc>
          <w:tcPr>
            <w:tcW w:w="722" w:type="dxa"/>
            <w:tcBorders>
              <w:top w:val="nil"/>
              <w:left w:val="nil"/>
              <w:bottom w:val="single" w:color="auto" w:sz="4" w:space="0"/>
              <w:right w:val="single" w:color="auto" w:sz="4" w:space="0"/>
            </w:tcBorders>
            <w:shd w:val="clear" w:color="auto" w:fill="auto"/>
            <w:noWrap/>
            <w:vAlign w:val="center"/>
          </w:tcPr>
          <w:p w14:paraId="48518B40"/>
        </w:tc>
        <w:tc>
          <w:tcPr>
            <w:tcW w:w="722" w:type="dxa"/>
            <w:tcBorders>
              <w:top w:val="nil"/>
              <w:left w:val="nil"/>
              <w:bottom w:val="single" w:color="auto" w:sz="4" w:space="0"/>
              <w:right w:val="single" w:color="auto" w:sz="4" w:space="0"/>
            </w:tcBorders>
            <w:shd w:val="clear" w:color="auto" w:fill="auto"/>
            <w:noWrap/>
            <w:vAlign w:val="center"/>
          </w:tcPr>
          <w:p w14:paraId="7D753DA5">
            <w:r>
              <w:rPr>
                <w:rFonts w:hint="eastAsia"/>
              </w:rPr>
              <w:t>50</w:t>
            </w:r>
          </w:p>
        </w:tc>
        <w:tc>
          <w:tcPr>
            <w:tcW w:w="722" w:type="dxa"/>
            <w:tcBorders>
              <w:top w:val="nil"/>
              <w:left w:val="nil"/>
              <w:bottom w:val="single" w:color="auto" w:sz="4" w:space="0"/>
              <w:right w:val="single" w:color="auto" w:sz="4" w:space="0"/>
            </w:tcBorders>
            <w:shd w:val="clear" w:color="auto" w:fill="auto"/>
            <w:noWrap/>
            <w:vAlign w:val="center"/>
          </w:tcPr>
          <w:p w14:paraId="3CAAF19F">
            <w:r>
              <w:rPr>
                <w:rFonts w:hint="eastAsia"/>
              </w:rPr>
              <w:t>20</w:t>
            </w:r>
          </w:p>
        </w:tc>
        <w:tc>
          <w:tcPr>
            <w:tcW w:w="722" w:type="dxa"/>
            <w:tcBorders>
              <w:top w:val="nil"/>
              <w:left w:val="nil"/>
              <w:bottom w:val="single" w:color="auto" w:sz="4" w:space="0"/>
              <w:right w:val="single" w:color="auto" w:sz="4" w:space="0"/>
            </w:tcBorders>
            <w:shd w:val="clear" w:color="auto" w:fill="auto"/>
            <w:noWrap/>
            <w:vAlign w:val="center"/>
          </w:tcPr>
          <w:p w14:paraId="4B9C4FF1"/>
        </w:tc>
        <w:tc>
          <w:tcPr>
            <w:tcW w:w="799" w:type="dxa"/>
            <w:tcBorders>
              <w:top w:val="nil"/>
              <w:left w:val="nil"/>
              <w:bottom w:val="single" w:color="auto" w:sz="4" w:space="0"/>
              <w:right w:val="single" w:color="auto" w:sz="4" w:space="0"/>
            </w:tcBorders>
            <w:shd w:val="clear" w:color="auto" w:fill="auto"/>
            <w:noWrap/>
            <w:vAlign w:val="center"/>
          </w:tcPr>
          <w:p w14:paraId="5C66AF07"/>
        </w:tc>
        <w:tc>
          <w:tcPr>
            <w:tcW w:w="825" w:type="dxa"/>
            <w:tcBorders>
              <w:top w:val="nil"/>
              <w:left w:val="nil"/>
              <w:bottom w:val="single" w:color="auto" w:sz="4" w:space="0"/>
              <w:right w:val="single" w:color="auto" w:sz="4" w:space="0"/>
            </w:tcBorders>
            <w:shd w:val="clear" w:color="auto" w:fill="auto"/>
            <w:noWrap/>
            <w:vAlign w:val="center"/>
          </w:tcPr>
          <w:p w14:paraId="5FBC441E"/>
        </w:tc>
        <w:tc>
          <w:tcPr>
            <w:tcW w:w="840" w:type="dxa"/>
            <w:tcBorders>
              <w:top w:val="nil"/>
              <w:left w:val="nil"/>
              <w:bottom w:val="single" w:color="auto" w:sz="4" w:space="0"/>
              <w:right w:val="single" w:color="auto" w:sz="4" w:space="0"/>
            </w:tcBorders>
            <w:shd w:val="clear" w:color="auto" w:fill="auto"/>
            <w:noWrap/>
            <w:vAlign w:val="center"/>
          </w:tcPr>
          <w:p w14:paraId="006F0530">
            <w:r>
              <w:rPr>
                <w:rFonts w:hint="eastAsia"/>
              </w:rPr>
              <w:t>30</w:t>
            </w:r>
          </w:p>
        </w:tc>
        <w:tc>
          <w:tcPr>
            <w:tcW w:w="942" w:type="dxa"/>
            <w:tcBorders>
              <w:top w:val="nil"/>
              <w:left w:val="nil"/>
              <w:bottom w:val="single" w:color="auto" w:sz="4" w:space="0"/>
              <w:right w:val="single" w:color="auto" w:sz="4" w:space="0"/>
            </w:tcBorders>
            <w:shd w:val="clear" w:color="auto" w:fill="auto"/>
            <w:noWrap/>
            <w:vAlign w:val="center"/>
          </w:tcPr>
          <w:p w14:paraId="3AFEB069">
            <w:r>
              <w:rPr>
                <w:rFonts w:hint="eastAsia"/>
              </w:rPr>
              <w:t>100</w:t>
            </w:r>
          </w:p>
        </w:tc>
      </w:tr>
      <w:tr w14:paraId="1A59E697">
        <w:tblPrEx>
          <w:tblCellMar>
            <w:top w:w="0" w:type="dxa"/>
            <w:left w:w="108" w:type="dxa"/>
            <w:bottom w:w="0" w:type="dxa"/>
            <w:right w:w="108" w:type="dxa"/>
          </w:tblCellMar>
        </w:tblPrEx>
        <w:trPr>
          <w:trHeight w:val="611" w:hRule="atLeast"/>
          <w:jc w:val="center"/>
        </w:trPr>
        <w:tc>
          <w:tcPr>
            <w:tcW w:w="577" w:type="dxa"/>
            <w:tcBorders>
              <w:top w:val="nil"/>
              <w:left w:val="single" w:color="auto" w:sz="4" w:space="0"/>
              <w:bottom w:val="single" w:color="auto" w:sz="4" w:space="0"/>
              <w:right w:val="single" w:color="auto" w:sz="4" w:space="0"/>
            </w:tcBorders>
            <w:shd w:val="clear" w:color="auto" w:fill="auto"/>
            <w:vAlign w:val="center"/>
          </w:tcPr>
          <w:p w14:paraId="7A32B829">
            <w:r>
              <w:rPr>
                <w:rFonts w:hint="eastAsia"/>
              </w:rPr>
              <w:t>4</w:t>
            </w:r>
          </w:p>
        </w:tc>
        <w:tc>
          <w:tcPr>
            <w:tcW w:w="2064" w:type="dxa"/>
            <w:tcBorders>
              <w:top w:val="nil"/>
              <w:left w:val="nil"/>
              <w:bottom w:val="single" w:color="auto" w:sz="4" w:space="0"/>
              <w:right w:val="single" w:color="auto" w:sz="4" w:space="0"/>
            </w:tcBorders>
            <w:shd w:val="clear" w:color="auto" w:fill="auto"/>
            <w:vAlign w:val="center"/>
          </w:tcPr>
          <w:p w14:paraId="0E6A6651">
            <w:r>
              <w:rPr>
                <w:rFonts w:hint="eastAsia"/>
              </w:rPr>
              <w:t>莆财建[2020]107号</w:t>
            </w:r>
          </w:p>
        </w:tc>
        <w:tc>
          <w:tcPr>
            <w:tcW w:w="722" w:type="dxa"/>
            <w:tcBorders>
              <w:top w:val="nil"/>
              <w:left w:val="nil"/>
              <w:bottom w:val="single" w:color="auto" w:sz="4" w:space="0"/>
              <w:right w:val="single" w:color="auto" w:sz="4" w:space="0"/>
            </w:tcBorders>
            <w:shd w:val="clear" w:color="auto" w:fill="auto"/>
            <w:noWrap/>
            <w:vAlign w:val="center"/>
          </w:tcPr>
          <w:p w14:paraId="2AE21608">
            <w:r>
              <w:rPr>
                <w:rFonts w:hint="eastAsia"/>
              </w:rPr>
              <w:t>30</w:t>
            </w:r>
          </w:p>
        </w:tc>
        <w:tc>
          <w:tcPr>
            <w:tcW w:w="722" w:type="dxa"/>
            <w:tcBorders>
              <w:top w:val="nil"/>
              <w:left w:val="nil"/>
              <w:bottom w:val="single" w:color="auto" w:sz="4" w:space="0"/>
              <w:right w:val="single" w:color="auto" w:sz="4" w:space="0"/>
            </w:tcBorders>
            <w:shd w:val="clear" w:color="auto" w:fill="auto"/>
            <w:noWrap/>
            <w:vAlign w:val="center"/>
          </w:tcPr>
          <w:p w14:paraId="08E8973E">
            <w:r>
              <w:rPr>
                <w:rFonts w:hint="eastAsia"/>
              </w:rPr>
              <w:t>50</w:t>
            </w:r>
          </w:p>
        </w:tc>
        <w:tc>
          <w:tcPr>
            <w:tcW w:w="722" w:type="dxa"/>
            <w:tcBorders>
              <w:top w:val="nil"/>
              <w:left w:val="nil"/>
              <w:bottom w:val="single" w:color="auto" w:sz="4" w:space="0"/>
              <w:right w:val="single" w:color="auto" w:sz="4" w:space="0"/>
            </w:tcBorders>
            <w:shd w:val="clear" w:color="auto" w:fill="auto"/>
            <w:noWrap/>
            <w:vAlign w:val="center"/>
          </w:tcPr>
          <w:p w14:paraId="4320104C">
            <w:r>
              <w:rPr>
                <w:rFonts w:hint="eastAsia"/>
              </w:rPr>
              <w:t>20</w:t>
            </w:r>
          </w:p>
        </w:tc>
        <w:tc>
          <w:tcPr>
            <w:tcW w:w="722" w:type="dxa"/>
            <w:tcBorders>
              <w:top w:val="nil"/>
              <w:left w:val="nil"/>
              <w:bottom w:val="single" w:color="auto" w:sz="4" w:space="0"/>
              <w:right w:val="single" w:color="auto" w:sz="4" w:space="0"/>
            </w:tcBorders>
            <w:shd w:val="clear" w:color="auto" w:fill="auto"/>
            <w:noWrap/>
            <w:vAlign w:val="center"/>
          </w:tcPr>
          <w:p w14:paraId="1BFB64A6"/>
        </w:tc>
        <w:tc>
          <w:tcPr>
            <w:tcW w:w="799" w:type="dxa"/>
            <w:tcBorders>
              <w:top w:val="nil"/>
              <w:left w:val="nil"/>
              <w:bottom w:val="single" w:color="auto" w:sz="4" w:space="0"/>
              <w:right w:val="single" w:color="auto" w:sz="4" w:space="0"/>
            </w:tcBorders>
            <w:shd w:val="clear" w:color="auto" w:fill="auto"/>
            <w:noWrap/>
            <w:vAlign w:val="center"/>
          </w:tcPr>
          <w:p w14:paraId="1013BCC9"/>
        </w:tc>
        <w:tc>
          <w:tcPr>
            <w:tcW w:w="825" w:type="dxa"/>
            <w:tcBorders>
              <w:top w:val="nil"/>
              <w:left w:val="nil"/>
              <w:bottom w:val="single" w:color="auto" w:sz="4" w:space="0"/>
              <w:right w:val="single" w:color="auto" w:sz="4" w:space="0"/>
            </w:tcBorders>
            <w:shd w:val="clear" w:color="auto" w:fill="auto"/>
            <w:noWrap/>
            <w:vAlign w:val="center"/>
          </w:tcPr>
          <w:p w14:paraId="1025E83A"/>
        </w:tc>
        <w:tc>
          <w:tcPr>
            <w:tcW w:w="840" w:type="dxa"/>
            <w:tcBorders>
              <w:top w:val="nil"/>
              <w:left w:val="nil"/>
              <w:bottom w:val="single" w:color="auto" w:sz="4" w:space="0"/>
              <w:right w:val="single" w:color="auto" w:sz="4" w:space="0"/>
            </w:tcBorders>
            <w:shd w:val="clear" w:color="auto" w:fill="auto"/>
            <w:noWrap/>
            <w:vAlign w:val="center"/>
          </w:tcPr>
          <w:p w14:paraId="2E0D7B15"/>
        </w:tc>
        <w:tc>
          <w:tcPr>
            <w:tcW w:w="942" w:type="dxa"/>
            <w:tcBorders>
              <w:top w:val="nil"/>
              <w:left w:val="nil"/>
              <w:bottom w:val="single" w:color="auto" w:sz="4" w:space="0"/>
              <w:right w:val="single" w:color="auto" w:sz="4" w:space="0"/>
            </w:tcBorders>
            <w:shd w:val="clear" w:color="auto" w:fill="auto"/>
            <w:noWrap/>
            <w:vAlign w:val="center"/>
          </w:tcPr>
          <w:p w14:paraId="593200EB">
            <w:r>
              <w:rPr>
                <w:rFonts w:hint="eastAsia"/>
              </w:rPr>
              <w:t>100</w:t>
            </w:r>
          </w:p>
        </w:tc>
      </w:tr>
      <w:tr w14:paraId="50AFF397">
        <w:tblPrEx>
          <w:tblCellMar>
            <w:top w:w="0" w:type="dxa"/>
            <w:left w:w="108" w:type="dxa"/>
            <w:bottom w:w="0" w:type="dxa"/>
            <w:right w:w="108" w:type="dxa"/>
          </w:tblCellMar>
        </w:tblPrEx>
        <w:trPr>
          <w:trHeight w:val="641" w:hRule="atLeast"/>
          <w:jc w:val="center"/>
        </w:trPr>
        <w:tc>
          <w:tcPr>
            <w:tcW w:w="577" w:type="dxa"/>
            <w:tcBorders>
              <w:top w:val="nil"/>
              <w:left w:val="single" w:color="auto" w:sz="4" w:space="0"/>
              <w:bottom w:val="single" w:color="auto" w:sz="4" w:space="0"/>
              <w:right w:val="single" w:color="auto" w:sz="4" w:space="0"/>
            </w:tcBorders>
            <w:shd w:val="clear" w:color="auto" w:fill="auto"/>
            <w:vAlign w:val="center"/>
          </w:tcPr>
          <w:p w14:paraId="0F4B06FA">
            <w:r>
              <w:rPr>
                <w:rFonts w:hint="eastAsia"/>
              </w:rPr>
              <w:t>5</w:t>
            </w:r>
          </w:p>
        </w:tc>
        <w:tc>
          <w:tcPr>
            <w:tcW w:w="2064" w:type="dxa"/>
            <w:tcBorders>
              <w:top w:val="nil"/>
              <w:left w:val="nil"/>
              <w:bottom w:val="single" w:color="auto" w:sz="4" w:space="0"/>
              <w:right w:val="single" w:color="auto" w:sz="4" w:space="0"/>
            </w:tcBorders>
            <w:shd w:val="clear" w:color="auto" w:fill="auto"/>
            <w:vAlign w:val="center"/>
          </w:tcPr>
          <w:p w14:paraId="5310039F">
            <w:r>
              <w:rPr>
                <w:rFonts w:hint="eastAsia"/>
              </w:rPr>
              <w:t>莆财建[2020]122号</w:t>
            </w:r>
          </w:p>
        </w:tc>
        <w:tc>
          <w:tcPr>
            <w:tcW w:w="722" w:type="dxa"/>
            <w:tcBorders>
              <w:top w:val="nil"/>
              <w:left w:val="nil"/>
              <w:bottom w:val="single" w:color="auto" w:sz="4" w:space="0"/>
              <w:right w:val="single" w:color="auto" w:sz="4" w:space="0"/>
            </w:tcBorders>
            <w:shd w:val="clear" w:color="auto" w:fill="auto"/>
            <w:noWrap/>
            <w:vAlign w:val="center"/>
          </w:tcPr>
          <w:p w14:paraId="025A4CED">
            <w:r>
              <w:rPr>
                <w:rFonts w:hint="eastAsia"/>
              </w:rPr>
              <w:t>30</w:t>
            </w:r>
          </w:p>
        </w:tc>
        <w:tc>
          <w:tcPr>
            <w:tcW w:w="722" w:type="dxa"/>
            <w:tcBorders>
              <w:top w:val="nil"/>
              <w:left w:val="nil"/>
              <w:bottom w:val="single" w:color="auto" w:sz="4" w:space="0"/>
              <w:right w:val="single" w:color="auto" w:sz="4" w:space="0"/>
            </w:tcBorders>
            <w:shd w:val="clear" w:color="auto" w:fill="auto"/>
            <w:noWrap/>
            <w:vAlign w:val="center"/>
          </w:tcPr>
          <w:p w14:paraId="1FEFBCAE">
            <w:r>
              <w:rPr>
                <w:rFonts w:hint="eastAsia"/>
              </w:rPr>
              <w:t>30</w:t>
            </w:r>
          </w:p>
        </w:tc>
        <w:tc>
          <w:tcPr>
            <w:tcW w:w="722" w:type="dxa"/>
            <w:tcBorders>
              <w:top w:val="nil"/>
              <w:left w:val="nil"/>
              <w:bottom w:val="single" w:color="auto" w:sz="4" w:space="0"/>
              <w:right w:val="single" w:color="auto" w:sz="4" w:space="0"/>
            </w:tcBorders>
            <w:shd w:val="clear" w:color="auto" w:fill="auto"/>
            <w:noWrap/>
            <w:vAlign w:val="center"/>
          </w:tcPr>
          <w:p w14:paraId="2D0F1333">
            <w:r>
              <w:rPr>
                <w:rFonts w:hint="eastAsia"/>
              </w:rPr>
              <w:t>40</w:t>
            </w:r>
          </w:p>
        </w:tc>
        <w:tc>
          <w:tcPr>
            <w:tcW w:w="722" w:type="dxa"/>
            <w:tcBorders>
              <w:top w:val="nil"/>
              <w:left w:val="nil"/>
              <w:bottom w:val="single" w:color="auto" w:sz="4" w:space="0"/>
              <w:right w:val="single" w:color="auto" w:sz="4" w:space="0"/>
            </w:tcBorders>
            <w:shd w:val="clear" w:color="auto" w:fill="auto"/>
            <w:noWrap/>
            <w:vAlign w:val="center"/>
          </w:tcPr>
          <w:p w14:paraId="0A9FAFB7">
            <w:r>
              <w:rPr>
                <w:rFonts w:hint="eastAsia"/>
              </w:rPr>
              <w:t>10</w:t>
            </w:r>
          </w:p>
        </w:tc>
        <w:tc>
          <w:tcPr>
            <w:tcW w:w="799" w:type="dxa"/>
            <w:tcBorders>
              <w:top w:val="nil"/>
              <w:left w:val="nil"/>
              <w:bottom w:val="single" w:color="auto" w:sz="4" w:space="0"/>
              <w:right w:val="single" w:color="auto" w:sz="4" w:space="0"/>
            </w:tcBorders>
            <w:shd w:val="clear" w:color="auto" w:fill="auto"/>
            <w:noWrap/>
            <w:vAlign w:val="center"/>
          </w:tcPr>
          <w:p w14:paraId="3D12E292"/>
        </w:tc>
        <w:tc>
          <w:tcPr>
            <w:tcW w:w="825" w:type="dxa"/>
            <w:tcBorders>
              <w:top w:val="nil"/>
              <w:left w:val="nil"/>
              <w:bottom w:val="single" w:color="auto" w:sz="4" w:space="0"/>
              <w:right w:val="single" w:color="auto" w:sz="4" w:space="0"/>
            </w:tcBorders>
            <w:shd w:val="clear" w:color="auto" w:fill="auto"/>
            <w:noWrap/>
            <w:vAlign w:val="center"/>
          </w:tcPr>
          <w:p w14:paraId="2CE16FAD"/>
        </w:tc>
        <w:tc>
          <w:tcPr>
            <w:tcW w:w="840" w:type="dxa"/>
            <w:tcBorders>
              <w:top w:val="nil"/>
              <w:left w:val="nil"/>
              <w:bottom w:val="single" w:color="auto" w:sz="4" w:space="0"/>
              <w:right w:val="single" w:color="auto" w:sz="4" w:space="0"/>
            </w:tcBorders>
            <w:shd w:val="clear" w:color="auto" w:fill="auto"/>
            <w:noWrap/>
            <w:vAlign w:val="center"/>
          </w:tcPr>
          <w:p w14:paraId="7DD9F726">
            <w:r>
              <w:rPr>
                <w:rFonts w:hint="eastAsia"/>
              </w:rPr>
              <w:t>20</w:t>
            </w:r>
          </w:p>
        </w:tc>
        <w:tc>
          <w:tcPr>
            <w:tcW w:w="942" w:type="dxa"/>
            <w:tcBorders>
              <w:top w:val="nil"/>
              <w:left w:val="nil"/>
              <w:bottom w:val="single" w:color="auto" w:sz="4" w:space="0"/>
              <w:right w:val="single" w:color="auto" w:sz="4" w:space="0"/>
            </w:tcBorders>
            <w:shd w:val="clear" w:color="auto" w:fill="auto"/>
            <w:noWrap/>
            <w:vAlign w:val="center"/>
          </w:tcPr>
          <w:p w14:paraId="7E7A01E5">
            <w:r>
              <w:rPr>
                <w:rFonts w:hint="eastAsia"/>
              </w:rPr>
              <w:t>130</w:t>
            </w:r>
          </w:p>
        </w:tc>
      </w:tr>
      <w:tr w14:paraId="6D4701DE">
        <w:tblPrEx>
          <w:tblCellMar>
            <w:top w:w="0" w:type="dxa"/>
            <w:left w:w="108" w:type="dxa"/>
            <w:bottom w:w="0" w:type="dxa"/>
            <w:right w:w="108" w:type="dxa"/>
          </w:tblCellMar>
        </w:tblPrEx>
        <w:trPr>
          <w:trHeight w:val="499" w:hRule="atLeast"/>
          <w:jc w:val="center"/>
        </w:trPr>
        <w:tc>
          <w:tcPr>
            <w:tcW w:w="2641" w:type="dxa"/>
            <w:gridSpan w:val="2"/>
            <w:tcBorders>
              <w:top w:val="single" w:color="auto" w:sz="4" w:space="0"/>
              <w:left w:val="single" w:color="auto" w:sz="4" w:space="0"/>
              <w:bottom w:val="single" w:color="auto" w:sz="4" w:space="0"/>
              <w:right w:val="nil"/>
            </w:tcBorders>
            <w:shd w:val="clear" w:color="auto" w:fill="auto"/>
            <w:noWrap/>
            <w:vAlign w:val="center"/>
          </w:tcPr>
          <w:p w14:paraId="6CD8A878">
            <w:r>
              <w:rPr>
                <w:rFonts w:hint="eastAsia"/>
              </w:rPr>
              <w:t>合计</w:t>
            </w:r>
          </w:p>
        </w:tc>
        <w:tc>
          <w:tcPr>
            <w:tcW w:w="722" w:type="dxa"/>
            <w:tcBorders>
              <w:top w:val="nil"/>
              <w:left w:val="single" w:color="auto" w:sz="4" w:space="0"/>
              <w:bottom w:val="single" w:color="auto" w:sz="4" w:space="0"/>
              <w:right w:val="single" w:color="auto" w:sz="4" w:space="0"/>
            </w:tcBorders>
            <w:shd w:val="clear" w:color="auto" w:fill="auto"/>
            <w:noWrap/>
            <w:vAlign w:val="center"/>
          </w:tcPr>
          <w:p w14:paraId="5A14835B">
            <w:r>
              <w:rPr>
                <w:rFonts w:hint="eastAsia"/>
              </w:rPr>
              <w:t>110</w:t>
            </w:r>
          </w:p>
        </w:tc>
        <w:tc>
          <w:tcPr>
            <w:tcW w:w="722" w:type="dxa"/>
            <w:tcBorders>
              <w:top w:val="nil"/>
              <w:left w:val="nil"/>
              <w:bottom w:val="single" w:color="auto" w:sz="4" w:space="0"/>
              <w:right w:val="single" w:color="auto" w:sz="4" w:space="0"/>
            </w:tcBorders>
            <w:shd w:val="clear" w:color="auto" w:fill="auto"/>
            <w:noWrap/>
            <w:vAlign w:val="center"/>
          </w:tcPr>
          <w:p w14:paraId="52615932">
            <w:r>
              <w:rPr>
                <w:rFonts w:hint="eastAsia"/>
              </w:rPr>
              <w:t>170</w:t>
            </w:r>
          </w:p>
        </w:tc>
        <w:tc>
          <w:tcPr>
            <w:tcW w:w="722" w:type="dxa"/>
            <w:tcBorders>
              <w:top w:val="nil"/>
              <w:left w:val="nil"/>
              <w:bottom w:val="single" w:color="auto" w:sz="4" w:space="0"/>
              <w:right w:val="single" w:color="auto" w:sz="4" w:space="0"/>
            </w:tcBorders>
            <w:shd w:val="clear" w:color="auto" w:fill="auto"/>
            <w:noWrap/>
            <w:vAlign w:val="center"/>
          </w:tcPr>
          <w:p w14:paraId="0CDBF685">
            <w:r>
              <w:rPr>
                <w:rFonts w:hint="eastAsia"/>
              </w:rPr>
              <w:t>160</w:t>
            </w:r>
          </w:p>
        </w:tc>
        <w:tc>
          <w:tcPr>
            <w:tcW w:w="722" w:type="dxa"/>
            <w:tcBorders>
              <w:top w:val="nil"/>
              <w:left w:val="nil"/>
              <w:bottom w:val="single" w:color="auto" w:sz="4" w:space="0"/>
              <w:right w:val="single" w:color="auto" w:sz="4" w:space="0"/>
            </w:tcBorders>
            <w:shd w:val="clear" w:color="auto" w:fill="auto"/>
            <w:noWrap/>
            <w:vAlign w:val="center"/>
          </w:tcPr>
          <w:p w14:paraId="2E696BB1">
            <w:r>
              <w:rPr>
                <w:rFonts w:hint="eastAsia"/>
              </w:rPr>
              <w:t>70</w:t>
            </w:r>
          </w:p>
        </w:tc>
        <w:tc>
          <w:tcPr>
            <w:tcW w:w="799" w:type="dxa"/>
            <w:tcBorders>
              <w:top w:val="nil"/>
              <w:left w:val="nil"/>
              <w:bottom w:val="single" w:color="auto" w:sz="4" w:space="0"/>
              <w:right w:val="single" w:color="auto" w:sz="4" w:space="0"/>
            </w:tcBorders>
            <w:shd w:val="clear" w:color="auto" w:fill="auto"/>
            <w:noWrap/>
            <w:vAlign w:val="center"/>
          </w:tcPr>
          <w:p w14:paraId="75F54844">
            <w:r>
              <w:rPr>
                <w:rFonts w:hint="eastAsia"/>
              </w:rPr>
              <w:t>50</w:t>
            </w:r>
          </w:p>
        </w:tc>
        <w:tc>
          <w:tcPr>
            <w:tcW w:w="825" w:type="dxa"/>
            <w:tcBorders>
              <w:top w:val="nil"/>
              <w:left w:val="nil"/>
              <w:bottom w:val="single" w:color="auto" w:sz="4" w:space="0"/>
              <w:right w:val="single" w:color="auto" w:sz="4" w:space="0"/>
            </w:tcBorders>
            <w:shd w:val="clear" w:color="auto" w:fill="auto"/>
            <w:noWrap/>
            <w:vAlign w:val="center"/>
          </w:tcPr>
          <w:p w14:paraId="519B44A6">
            <w:r>
              <w:rPr>
                <w:rFonts w:hint="eastAsia"/>
              </w:rPr>
              <w:t>0</w:t>
            </w:r>
          </w:p>
        </w:tc>
        <w:tc>
          <w:tcPr>
            <w:tcW w:w="840" w:type="dxa"/>
            <w:tcBorders>
              <w:top w:val="nil"/>
              <w:left w:val="nil"/>
              <w:bottom w:val="single" w:color="auto" w:sz="4" w:space="0"/>
              <w:right w:val="single" w:color="auto" w:sz="4" w:space="0"/>
            </w:tcBorders>
            <w:shd w:val="clear" w:color="auto" w:fill="auto"/>
            <w:noWrap/>
            <w:vAlign w:val="center"/>
          </w:tcPr>
          <w:p w14:paraId="4DC0B786">
            <w:r>
              <w:rPr>
                <w:rFonts w:hint="eastAsia"/>
              </w:rPr>
              <w:t>160</w:t>
            </w:r>
          </w:p>
        </w:tc>
        <w:tc>
          <w:tcPr>
            <w:tcW w:w="942" w:type="dxa"/>
            <w:tcBorders>
              <w:top w:val="nil"/>
              <w:left w:val="nil"/>
              <w:bottom w:val="single" w:color="auto" w:sz="4" w:space="0"/>
              <w:right w:val="single" w:color="auto" w:sz="4" w:space="0"/>
            </w:tcBorders>
            <w:shd w:val="clear" w:color="auto" w:fill="auto"/>
            <w:noWrap/>
            <w:vAlign w:val="center"/>
          </w:tcPr>
          <w:p w14:paraId="2CE282EC">
            <w:r>
              <w:rPr>
                <w:rFonts w:hint="eastAsia"/>
              </w:rPr>
              <w:t>720</w:t>
            </w:r>
          </w:p>
        </w:tc>
      </w:tr>
    </w:tbl>
    <w:p w14:paraId="35675F8C">
      <w:pPr>
        <w:ind w:firstLine="420" w:firstLineChars="200"/>
      </w:pPr>
      <w:bookmarkStart w:id="516" w:name="_Toc84000062"/>
      <w:r>
        <w:rPr>
          <w:rFonts w:hint="eastAsia"/>
        </w:rPr>
        <w:t>（四）政策绩效目标和实现程度</w:t>
      </w:r>
      <w:bookmarkEnd w:id="516"/>
    </w:p>
    <w:p w14:paraId="3D4B5324">
      <w:pPr>
        <w:ind w:firstLine="420" w:firstLineChars="200"/>
      </w:pPr>
      <w:r>
        <w:rPr>
          <w:rFonts w:hint="eastAsia"/>
        </w:rPr>
        <w:t>1.政策绩效目标</w:t>
      </w:r>
    </w:p>
    <w:p w14:paraId="5FCB6338">
      <w:pPr>
        <w:ind w:firstLine="420" w:firstLineChars="200"/>
      </w:pPr>
      <w:r>
        <w:rPr>
          <w:rFonts w:hint="eastAsia"/>
        </w:rPr>
        <w:t>项目实施期目标：2020年500个市重点项目（含省重点项目）总投资7471亿元，年度计划完成投资1160亿元，计划完成开工项目100个、竣工项目100个。进一步深化实施项目带动战略，加强固定资产投资前期工作管理，保证相关单位重大中型项目前期工作的质量和效率，加大关键领域和薄弱环节补短板工作力度，扩大合理有效投资，加快项目前期工作，促进一批重大项目有序滚动开工建设。</w:t>
      </w:r>
    </w:p>
    <w:p w14:paraId="67DBBAB3">
      <w:pPr>
        <w:ind w:firstLine="420" w:firstLineChars="200"/>
      </w:pPr>
      <w:r>
        <w:rPr>
          <w:rFonts w:hint="eastAsia"/>
        </w:rPr>
        <w:t>项目绩效总目标：落实市委、市政府强产业、兴城市“双轮”驱动战略部署，进一步强化项目带动，加强固定资产投资项目前期工作管理，保证相关单位重大中型项目前期工作的质量和效率，促进投资增长、重大招商项目尽快落地、开工建设。</w:t>
      </w:r>
    </w:p>
    <w:p w14:paraId="0C6BEC8C">
      <w:pPr>
        <w:ind w:firstLine="420" w:firstLineChars="200"/>
      </w:pPr>
      <w:r>
        <w:rPr>
          <w:rFonts w:hint="eastAsia"/>
        </w:rPr>
        <w:t>阶段性目标：推进重大项目前期工作取得突破性进展，加快推进项目开工建设之前所需的一系列前期工作，以及与固定资产投资有关的规划研究、政策法规研究、软课题研究等工作，同时积极向上争取资金。</w:t>
      </w:r>
    </w:p>
    <w:p w14:paraId="68035659">
      <w:pPr>
        <w:ind w:firstLine="420" w:firstLineChars="200"/>
      </w:pPr>
      <w:r>
        <w:rPr>
          <w:rFonts w:hint="eastAsia"/>
        </w:rPr>
        <w:t>项目绩效目标如表3所示：</w:t>
      </w:r>
    </w:p>
    <w:p w14:paraId="123CA19B">
      <w:pPr>
        <w:ind w:firstLine="420" w:firstLineChars="200"/>
      </w:pPr>
      <w:r>
        <w:rPr>
          <w:rFonts w:hint="eastAsia"/>
        </w:rPr>
        <w:t>表3  2020年绩效目标</w:t>
      </w:r>
    </w:p>
    <w:tbl>
      <w:tblPr>
        <w:tblStyle w:val="17"/>
        <w:tblW w:w="9229" w:type="dxa"/>
        <w:tblInd w:w="93" w:type="dxa"/>
        <w:tblLayout w:type="fixed"/>
        <w:tblCellMar>
          <w:top w:w="0" w:type="dxa"/>
          <w:left w:w="108" w:type="dxa"/>
          <w:bottom w:w="0" w:type="dxa"/>
          <w:right w:w="108" w:type="dxa"/>
        </w:tblCellMar>
      </w:tblPr>
      <w:tblGrid>
        <w:gridCol w:w="828"/>
        <w:gridCol w:w="1597"/>
        <w:gridCol w:w="1276"/>
        <w:gridCol w:w="2977"/>
        <w:gridCol w:w="1275"/>
        <w:gridCol w:w="1276"/>
      </w:tblGrid>
      <w:tr w14:paraId="7E1D0B79">
        <w:tblPrEx>
          <w:tblCellMar>
            <w:top w:w="0" w:type="dxa"/>
            <w:left w:w="108" w:type="dxa"/>
            <w:bottom w:w="0" w:type="dxa"/>
            <w:right w:w="108" w:type="dxa"/>
          </w:tblCellMar>
        </w:tblPrEx>
        <w:trPr>
          <w:trHeight w:val="699"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1928AA5">
            <w:r>
              <w:rPr>
                <w:rFonts w:hint="eastAsia"/>
              </w:rPr>
              <w:t>一级指标</w:t>
            </w:r>
          </w:p>
        </w:tc>
        <w:tc>
          <w:tcPr>
            <w:tcW w:w="1597" w:type="dxa"/>
            <w:tcBorders>
              <w:top w:val="single" w:color="auto" w:sz="4" w:space="0"/>
              <w:left w:val="nil"/>
              <w:bottom w:val="single" w:color="auto" w:sz="4" w:space="0"/>
              <w:right w:val="single" w:color="auto" w:sz="4" w:space="0"/>
            </w:tcBorders>
            <w:shd w:val="clear" w:color="auto" w:fill="auto"/>
            <w:vAlign w:val="center"/>
          </w:tcPr>
          <w:p w14:paraId="114E6815">
            <w:r>
              <w:rPr>
                <w:rFonts w:hint="eastAsia"/>
              </w:rPr>
              <w:t>二级指标</w:t>
            </w:r>
          </w:p>
        </w:tc>
        <w:tc>
          <w:tcPr>
            <w:tcW w:w="1276" w:type="dxa"/>
            <w:tcBorders>
              <w:top w:val="single" w:color="auto" w:sz="4" w:space="0"/>
              <w:left w:val="nil"/>
              <w:bottom w:val="single" w:color="auto" w:sz="4" w:space="0"/>
              <w:right w:val="single" w:color="auto" w:sz="4" w:space="0"/>
            </w:tcBorders>
            <w:shd w:val="clear" w:color="auto" w:fill="auto"/>
            <w:vAlign w:val="center"/>
          </w:tcPr>
          <w:p w14:paraId="4647CAC7">
            <w:r>
              <w:rPr>
                <w:rFonts w:hint="eastAsia"/>
              </w:rPr>
              <w:t>三级指标</w:t>
            </w:r>
          </w:p>
        </w:tc>
        <w:tc>
          <w:tcPr>
            <w:tcW w:w="2977" w:type="dxa"/>
            <w:tcBorders>
              <w:top w:val="single" w:color="auto" w:sz="4" w:space="0"/>
              <w:left w:val="nil"/>
              <w:bottom w:val="single" w:color="auto" w:sz="4" w:space="0"/>
              <w:right w:val="single" w:color="000000" w:sz="4" w:space="0"/>
            </w:tcBorders>
            <w:shd w:val="clear" w:color="auto" w:fill="auto"/>
            <w:vAlign w:val="center"/>
          </w:tcPr>
          <w:p w14:paraId="4FF50903">
            <w:r>
              <w:rPr>
                <w:rFonts w:hint="eastAsia"/>
              </w:rPr>
              <w:t>绩效标准</w:t>
            </w:r>
          </w:p>
        </w:tc>
        <w:tc>
          <w:tcPr>
            <w:tcW w:w="1275" w:type="dxa"/>
            <w:tcBorders>
              <w:top w:val="single" w:color="auto" w:sz="4" w:space="0"/>
              <w:left w:val="nil"/>
              <w:bottom w:val="single" w:color="auto" w:sz="4" w:space="0"/>
              <w:right w:val="single" w:color="000000" w:sz="4" w:space="0"/>
            </w:tcBorders>
            <w:shd w:val="clear" w:color="auto" w:fill="auto"/>
            <w:vAlign w:val="center"/>
          </w:tcPr>
          <w:p w14:paraId="208FA38E">
            <w:r>
              <w:rPr>
                <w:rFonts w:hint="eastAsia"/>
              </w:rPr>
              <w:t>半年目标值</w:t>
            </w:r>
          </w:p>
        </w:tc>
        <w:tc>
          <w:tcPr>
            <w:tcW w:w="1276" w:type="dxa"/>
            <w:tcBorders>
              <w:top w:val="single" w:color="auto" w:sz="4" w:space="0"/>
              <w:left w:val="nil"/>
              <w:bottom w:val="single" w:color="auto" w:sz="4" w:space="0"/>
              <w:right w:val="single" w:color="000000" w:sz="4" w:space="0"/>
            </w:tcBorders>
            <w:shd w:val="clear" w:color="auto" w:fill="auto"/>
            <w:vAlign w:val="center"/>
          </w:tcPr>
          <w:p w14:paraId="23AAF0A4">
            <w:r>
              <w:rPr>
                <w:rFonts w:hint="eastAsia"/>
              </w:rPr>
              <w:t>全年目标值</w:t>
            </w:r>
          </w:p>
        </w:tc>
      </w:tr>
      <w:tr w14:paraId="146217D0">
        <w:tblPrEx>
          <w:tblCellMar>
            <w:top w:w="0" w:type="dxa"/>
            <w:left w:w="108" w:type="dxa"/>
            <w:bottom w:w="0" w:type="dxa"/>
            <w:right w:w="108" w:type="dxa"/>
          </w:tblCellMar>
        </w:tblPrEx>
        <w:trPr>
          <w:trHeight w:val="744" w:hRule="atLeast"/>
        </w:trPr>
        <w:tc>
          <w:tcPr>
            <w:tcW w:w="828" w:type="dxa"/>
            <w:vMerge w:val="restart"/>
            <w:tcBorders>
              <w:top w:val="nil"/>
              <w:left w:val="single" w:color="auto" w:sz="4" w:space="0"/>
              <w:bottom w:val="nil"/>
              <w:right w:val="single" w:color="auto" w:sz="4" w:space="0"/>
            </w:tcBorders>
            <w:shd w:val="clear" w:color="auto" w:fill="auto"/>
            <w:vAlign w:val="center"/>
          </w:tcPr>
          <w:p w14:paraId="0D51701C">
            <w:r>
              <w:rPr>
                <w:rFonts w:hint="eastAsia"/>
              </w:rPr>
              <w:t>投入</w:t>
            </w:r>
          </w:p>
        </w:tc>
        <w:tc>
          <w:tcPr>
            <w:tcW w:w="1597" w:type="dxa"/>
            <w:tcBorders>
              <w:top w:val="nil"/>
              <w:left w:val="nil"/>
              <w:bottom w:val="single" w:color="auto" w:sz="4" w:space="0"/>
              <w:right w:val="single" w:color="auto" w:sz="4" w:space="0"/>
            </w:tcBorders>
            <w:shd w:val="clear" w:color="auto" w:fill="auto"/>
            <w:vAlign w:val="center"/>
          </w:tcPr>
          <w:p w14:paraId="7CC1DDBC">
            <w:r>
              <w:rPr>
                <w:rFonts w:hint="eastAsia"/>
              </w:rPr>
              <w:t>时效目标</w:t>
            </w:r>
          </w:p>
        </w:tc>
        <w:tc>
          <w:tcPr>
            <w:tcW w:w="1276" w:type="dxa"/>
            <w:tcBorders>
              <w:top w:val="nil"/>
              <w:left w:val="nil"/>
              <w:bottom w:val="single" w:color="auto" w:sz="4" w:space="0"/>
              <w:right w:val="single" w:color="auto" w:sz="4" w:space="0"/>
            </w:tcBorders>
            <w:shd w:val="clear" w:color="auto" w:fill="auto"/>
            <w:vAlign w:val="center"/>
          </w:tcPr>
          <w:p w14:paraId="2156757D">
            <w:r>
              <w:rPr>
                <w:rFonts w:hint="eastAsia"/>
              </w:rPr>
              <w:t>支出进度</w:t>
            </w:r>
          </w:p>
        </w:tc>
        <w:tc>
          <w:tcPr>
            <w:tcW w:w="2977" w:type="dxa"/>
            <w:tcBorders>
              <w:top w:val="single" w:color="auto" w:sz="4" w:space="0"/>
              <w:left w:val="nil"/>
              <w:bottom w:val="single" w:color="auto" w:sz="4" w:space="0"/>
              <w:right w:val="nil"/>
            </w:tcBorders>
            <w:shd w:val="clear" w:color="auto" w:fill="auto"/>
            <w:vAlign w:val="center"/>
          </w:tcPr>
          <w:p w14:paraId="11633362">
            <w:r>
              <w:rPr>
                <w:rFonts w:hint="eastAsia"/>
              </w:rPr>
              <w:t>计算公式：支出进度=支付金额/财政实际下达金额*100</w:t>
            </w:r>
          </w:p>
        </w:tc>
        <w:tc>
          <w:tcPr>
            <w:tcW w:w="1275" w:type="dxa"/>
            <w:tcBorders>
              <w:top w:val="single" w:color="auto" w:sz="4" w:space="0"/>
              <w:left w:val="single" w:color="auto" w:sz="4" w:space="0"/>
              <w:bottom w:val="single" w:color="auto" w:sz="4" w:space="0"/>
              <w:right w:val="single" w:color="000000" w:sz="4" w:space="0"/>
            </w:tcBorders>
            <w:shd w:val="clear" w:color="auto" w:fill="auto"/>
            <w:vAlign w:val="center"/>
          </w:tcPr>
          <w:p w14:paraId="0E5284FE">
            <w:r>
              <w:rPr>
                <w:rFonts w:hint="eastAsia"/>
              </w:rPr>
              <w:t>75.00</w:t>
            </w:r>
          </w:p>
        </w:tc>
        <w:tc>
          <w:tcPr>
            <w:tcW w:w="1276" w:type="dxa"/>
            <w:tcBorders>
              <w:top w:val="single" w:color="auto" w:sz="4" w:space="0"/>
              <w:left w:val="nil"/>
              <w:bottom w:val="single" w:color="auto" w:sz="4" w:space="0"/>
              <w:right w:val="single" w:color="000000" w:sz="4" w:space="0"/>
            </w:tcBorders>
            <w:shd w:val="clear" w:color="auto" w:fill="auto"/>
            <w:noWrap/>
            <w:vAlign w:val="center"/>
          </w:tcPr>
          <w:p w14:paraId="1248CB9B">
            <w:r>
              <w:rPr>
                <w:rFonts w:hint="eastAsia"/>
              </w:rPr>
              <w:t>100.00</w:t>
            </w:r>
          </w:p>
        </w:tc>
      </w:tr>
      <w:tr w14:paraId="20812028">
        <w:tblPrEx>
          <w:tblCellMar>
            <w:top w:w="0" w:type="dxa"/>
            <w:left w:w="108" w:type="dxa"/>
            <w:bottom w:w="0" w:type="dxa"/>
            <w:right w:w="108" w:type="dxa"/>
          </w:tblCellMar>
        </w:tblPrEx>
        <w:trPr>
          <w:trHeight w:val="763" w:hRule="atLeast"/>
        </w:trPr>
        <w:tc>
          <w:tcPr>
            <w:tcW w:w="828" w:type="dxa"/>
            <w:vMerge w:val="continue"/>
            <w:tcBorders>
              <w:top w:val="nil"/>
              <w:left w:val="single" w:color="auto" w:sz="4" w:space="0"/>
              <w:bottom w:val="nil"/>
              <w:right w:val="single" w:color="auto" w:sz="4" w:space="0"/>
            </w:tcBorders>
            <w:vAlign w:val="center"/>
          </w:tcPr>
          <w:p w14:paraId="728881DC"/>
        </w:tc>
        <w:tc>
          <w:tcPr>
            <w:tcW w:w="1597" w:type="dxa"/>
            <w:tcBorders>
              <w:top w:val="nil"/>
              <w:left w:val="nil"/>
              <w:bottom w:val="single" w:color="auto" w:sz="4" w:space="0"/>
              <w:right w:val="single" w:color="auto" w:sz="4" w:space="0"/>
            </w:tcBorders>
            <w:shd w:val="clear" w:color="auto" w:fill="auto"/>
            <w:vAlign w:val="center"/>
          </w:tcPr>
          <w:p w14:paraId="6FF47839">
            <w:r>
              <w:rPr>
                <w:rFonts w:hint="eastAsia"/>
              </w:rPr>
              <w:t>成本目标</w:t>
            </w:r>
          </w:p>
        </w:tc>
        <w:tc>
          <w:tcPr>
            <w:tcW w:w="1276" w:type="dxa"/>
            <w:tcBorders>
              <w:top w:val="nil"/>
              <w:left w:val="nil"/>
              <w:bottom w:val="single" w:color="auto" w:sz="4" w:space="0"/>
              <w:right w:val="single" w:color="auto" w:sz="4" w:space="0"/>
            </w:tcBorders>
            <w:shd w:val="clear" w:color="auto" w:fill="auto"/>
            <w:vAlign w:val="center"/>
          </w:tcPr>
          <w:p w14:paraId="63CBFFAC">
            <w:r>
              <w:rPr>
                <w:rFonts w:hint="eastAsia"/>
              </w:rPr>
              <w:t>市本级项目前期经费</w:t>
            </w:r>
          </w:p>
        </w:tc>
        <w:tc>
          <w:tcPr>
            <w:tcW w:w="2977" w:type="dxa"/>
            <w:tcBorders>
              <w:top w:val="single" w:color="auto" w:sz="4" w:space="0"/>
              <w:left w:val="nil"/>
              <w:bottom w:val="single" w:color="auto" w:sz="4" w:space="0"/>
              <w:right w:val="nil"/>
            </w:tcBorders>
            <w:shd w:val="clear" w:color="auto" w:fill="auto"/>
            <w:vAlign w:val="center"/>
          </w:tcPr>
          <w:p w14:paraId="4161FCD3">
            <w:r>
              <w:rPr>
                <w:rFonts w:hint="eastAsia"/>
              </w:rPr>
              <w:t>市本级项目前期经费不超过4000万元</w:t>
            </w:r>
          </w:p>
        </w:tc>
        <w:tc>
          <w:tcPr>
            <w:tcW w:w="1275" w:type="dxa"/>
            <w:tcBorders>
              <w:top w:val="single" w:color="auto" w:sz="4" w:space="0"/>
              <w:left w:val="single" w:color="auto" w:sz="4" w:space="0"/>
              <w:bottom w:val="single" w:color="auto" w:sz="4" w:space="0"/>
              <w:right w:val="single" w:color="000000" w:sz="4" w:space="0"/>
            </w:tcBorders>
            <w:shd w:val="clear" w:color="auto" w:fill="auto"/>
            <w:vAlign w:val="center"/>
          </w:tcPr>
          <w:p w14:paraId="47C3FC64">
            <w:r>
              <w:rPr>
                <w:rFonts w:hint="eastAsia"/>
              </w:rPr>
              <w:t>3000.00</w:t>
            </w:r>
          </w:p>
        </w:tc>
        <w:tc>
          <w:tcPr>
            <w:tcW w:w="1276" w:type="dxa"/>
            <w:tcBorders>
              <w:top w:val="single" w:color="auto" w:sz="4" w:space="0"/>
              <w:left w:val="nil"/>
              <w:bottom w:val="single" w:color="auto" w:sz="4" w:space="0"/>
              <w:right w:val="single" w:color="000000" w:sz="4" w:space="0"/>
            </w:tcBorders>
            <w:shd w:val="clear" w:color="auto" w:fill="auto"/>
            <w:noWrap/>
            <w:vAlign w:val="center"/>
          </w:tcPr>
          <w:p w14:paraId="33E08D14">
            <w:r>
              <w:rPr>
                <w:rFonts w:hint="eastAsia"/>
              </w:rPr>
              <w:t>4000.00</w:t>
            </w:r>
          </w:p>
        </w:tc>
      </w:tr>
      <w:tr w14:paraId="6C67912A">
        <w:tblPrEx>
          <w:tblCellMar>
            <w:top w:w="0" w:type="dxa"/>
            <w:left w:w="108" w:type="dxa"/>
            <w:bottom w:w="0" w:type="dxa"/>
            <w:right w:w="108" w:type="dxa"/>
          </w:tblCellMar>
        </w:tblPrEx>
        <w:trPr>
          <w:trHeight w:val="798" w:hRule="atLeast"/>
        </w:trPr>
        <w:tc>
          <w:tcPr>
            <w:tcW w:w="828" w:type="dxa"/>
            <w:vMerge w:val="restart"/>
            <w:tcBorders>
              <w:top w:val="single" w:color="auto" w:sz="4" w:space="0"/>
              <w:left w:val="single" w:color="auto" w:sz="4" w:space="0"/>
              <w:bottom w:val="nil"/>
              <w:right w:val="single" w:color="auto" w:sz="4" w:space="0"/>
            </w:tcBorders>
            <w:shd w:val="clear" w:color="auto" w:fill="auto"/>
            <w:vAlign w:val="center"/>
          </w:tcPr>
          <w:p w14:paraId="15C63C8B">
            <w:r>
              <w:rPr>
                <w:rFonts w:hint="eastAsia"/>
              </w:rPr>
              <w:t>产出</w:t>
            </w:r>
          </w:p>
        </w:tc>
        <w:tc>
          <w:tcPr>
            <w:tcW w:w="1597" w:type="dxa"/>
            <w:tcBorders>
              <w:top w:val="nil"/>
              <w:left w:val="nil"/>
              <w:bottom w:val="single" w:color="auto" w:sz="4" w:space="0"/>
              <w:right w:val="single" w:color="auto" w:sz="4" w:space="0"/>
            </w:tcBorders>
            <w:shd w:val="clear" w:color="auto" w:fill="auto"/>
            <w:vAlign w:val="center"/>
          </w:tcPr>
          <w:p w14:paraId="67F061E6">
            <w:r>
              <w:rPr>
                <w:rFonts w:hint="eastAsia"/>
              </w:rPr>
              <w:t>数量目标</w:t>
            </w:r>
          </w:p>
        </w:tc>
        <w:tc>
          <w:tcPr>
            <w:tcW w:w="1276" w:type="dxa"/>
            <w:tcBorders>
              <w:top w:val="nil"/>
              <w:left w:val="nil"/>
              <w:bottom w:val="single" w:color="auto" w:sz="4" w:space="0"/>
              <w:right w:val="single" w:color="auto" w:sz="4" w:space="0"/>
            </w:tcBorders>
            <w:shd w:val="clear" w:color="auto" w:fill="auto"/>
            <w:vAlign w:val="center"/>
          </w:tcPr>
          <w:p w14:paraId="6EBCFD5F">
            <w:r>
              <w:rPr>
                <w:rFonts w:hint="eastAsia"/>
              </w:rPr>
              <w:t>年度安排重点项目个数</w:t>
            </w:r>
          </w:p>
        </w:tc>
        <w:tc>
          <w:tcPr>
            <w:tcW w:w="2977" w:type="dxa"/>
            <w:tcBorders>
              <w:top w:val="single" w:color="auto" w:sz="4" w:space="0"/>
              <w:left w:val="nil"/>
              <w:bottom w:val="single" w:color="auto" w:sz="4" w:space="0"/>
              <w:right w:val="nil"/>
            </w:tcBorders>
            <w:shd w:val="clear" w:color="auto" w:fill="auto"/>
            <w:vAlign w:val="center"/>
          </w:tcPr>
          <w:p w14:paraId="0434BC0F">
            <w:r>
              <w:rPr>
                <w:rFonts w:hint="eastAsia"/>
              </w:rPr>
              <w:t>根据实际情况安排项目</w:t>
            </w:r>
          </w:p>
        </w:tc>
        <w:tc>
          <w:tcPr>
            <w:tcW w:w="1275" w:type="dxa"/>
            <w:tcBorders>
              <w:top w:val="single" w:color="auto" w:sz="4" w:space="0"/>
              <w:left w:val="single" w:color="auto" w:sz="4" w:space="0"/>
              <w:bottom w:val="single" w:color="auto" w:sz="4" w:space="0"/>
              <w:right w:val="single" w:color="000000" w:sz="4" w:space="0"/>
            </w:tcBorders>
            <w:shd w:val="clear" w:color="auto" w:fill="auto"/>
            <w:vAlign w:val="center"/>
          </w:tcPr>
          <w:p w14:paraId="026AD46A">
            <w:r>
              <w:rPr>
                <w:rFonts w:hint="eastAsia"/>
              </w:rPr>
              <w:t>300.00</w:t>
            </w:r>
          </w:p>
        </w:tc>
        <w:tc>
          <w:tcPr>
            <w:tcW w:w="1276" w:type="dxa"/>
            <w:tcBorders>
              <w:top w:val="single" w:color="auto" w:sz="4" w:space="0"/>
              <w:left w:val="nil"/>
              <w:bottom w:val="single" w:color="auto" w:sz="4" w:space="0"/>
              <w:right w:val="single" w:color="000000" w:sz="4" w:space="0"/>
            </w:tcBorders>
            <w:shd w:val="clear" w:color="auto" w:fill="auto"/>
            <w:noWrap/>
            <w:vAlign w:val="center"/>
          </w:tcPr>
          <w:p w14:paraId="3781A7BC">
            <w:r>
              <w:rPr>
                <w:rFonts w:hint="eastAsia"/>
              </w:rPr>
              <w:t>500.00</w:t>
            </w:r>
          </w:p>
        </w:tc>
      </w:tr>
      <w:tr w14:paraId="0A2E9DAF">
        <w:tblPrEx>
          <w:tblCellMar>
            <w:top w:w="0" w:type="dxa"/>
            <w:left w:w="108" w:type="dxa"/>
            <w:bottom w:w="0" w:type="dxa"/>
            <w:right w:w="108" w:type="dxa"/>
          </w:tblCellMar>
        </w:tblPrEx>
        <w:trPr>
          <w:trHeight w:val="1178" w:hRule="atLeast"/>
        </w:trPr>
        <w:tc>
          <w:tcPr>
            <w:tcW w:w="828" w:type="dxa"/>
            <w:vMerge w:val="continue"/>
            <w:tcBorders>
              <w:top w:val="single" w:color="auto" w:sz="4" w:space="0"/>
              <w:left w:val="single" w:color="auto" w:sz="4" w:space="0"/>
              <w:bottom w:val="nil"/>
              <w:right w:val="single" w:color="auto" w:sz="4" w:space="0"/>
            </w:tcBorders>
            <w:vAlign w:val="center"/>
          </w:tcPr>
          <w:p w14:paraId="517D245B"/>
        </w:tc>
        <w:tc>
          <w:tcPr>
            <w:tcW w:w="1597" w:type="dxa"/>
            <w:tcBorders>
              <w:top w:val="single" w:color="auto" w:sz="4" w:space="0"/>
              <w:left w:val="nil"/>
              <w:bottom w:val="single" w:color="auto" w:sz="4" w:space="0"/>
              <w:right w:val="single" w:color="auto" w:sz="4" w:space="0"/>
            </w:tcBorders>
            <w:shd w:val="clear" w:color="auto" w:fill="auto"/>
            <w:vAlign w:val="center"/>
          </w:tcPr>
          <w:p w14:paraId="45761590">
            <w:r>
              <w:rPr>
                <w:rFonts w:hint="eastAsia"/>
              </w:rPr>
              <w:t>质量目标</w:t>
            </w:r>
          </w:p>
        </w:tc>
        <w:tc>
          <w:tcPr>
            <w:tcW w:w="1276" w:type="dxa"/>
            <w:tcBorders>
              <w:top w:val="single" w:color="auto" w:sz="4" w:space="0"/>
              <w:left w:val="nil"/>
              <w:bottom w:val="single" w:color="auto" w:sz="4" w:space="0"/>
              <w:right w:val="single" w:color="auto" w:sz="4" w:space="0"/>
            </w:tcBorders>
            <w:shd w:val="clear" w:color="auto" w:fill="auto"/>
            <w:vAlign w:val="center"/>
          </w:tcPr>
          <w:p w14:paraId="6917F556">
            <w:r>
              <w:rPr>
                <w:rFonts w:hint="eastAsia"/>
              </w:rPr>
              <w:t>重大项目取得突破性进展</w:t>
            </w:r>
          </w:p>
        </w:tc>
        <w:tc>
          <w:tcPr>
            <w:tcW w:w="2977" w:type="dxa"/>
            <w:tcBorders>
              <w:top w:val="single" w:color="auto" w:sz="4" w:space="0"/>
              <w:left w:val="nil"/>
              <w:bottom w:val="single" w:color="auto" w:sz="4" w:space="0"/>
              <w:right w:val="nil"/>
            </w:tcBorders>
            <w:shd w:val="clear" w:color="auto" w:fill="auto"/>
            <w:vAlign w:val="center"/>
          </w:tcPr>
          <w:p w14:paraId="5880AACB">
            <w:r>
              <w:rPr>
                <w:rFonts w:hint="eastAsia"/>
              </w:rPr>
              <w:t>确保各重大项目顺利实施，项目进展突破率（取得突破重大项目数/重大项目总数*100）</w:t>
            </w:r>
          </w:p>
        </w:tc>
        <w:tc>
          <w:tcPr>
            <w:tcW w:w="1275" w:type="dxa"/>
            <w:tcBorders>
              <w:top w:val="single" w:color="auto" w:sz="4" w:space="0"/>
              <w:left w:val="single" w:color="auto" w:sz="4" w:space="0"/>
              <w:bottom w:val="single" w:color="auto" w:sz="4" w:space="0"/>
              <w:right w:val="single" w:color="000000" w:sz="4" w:space="0"/>
            </w:tcBorders>
            <w:shd w:val="clear" w:color="auto" w:fill="auto"/>
            <w:vAlign w:val="center"/>
          </w:tcPr>
          <w:p w14:paraId="02166801">
            <w:r>
              <w:rPr>
                <w:rFonts w:hint="eastAsia"/>
              </w:rPr>
              <w:t>70.00</w:t>
            </w:r>
          </w:p>
        </w:tc>
        <w:tc>
          <w:tcPr>
            <w:tcW w:w="1276" w:type="dxa"/>
            <w:tcBorders>
              <w:top w:val="single" w:color="auto" w:sz="4" w:space="0"/>
              <w:left w:val="nil"/>
              <w:bottom w:val="single" w:color="auto" w:sz="4" w:space="0"/>
              <w:right w:val="single" w:color="000000" w:sz="4" w:space="0"/>
            </w:tcBorders>
            <w:shd w:val="clear" w:color="auto" w:fill="auto"/>
            <w:noWrap/>
            <w:vAlign w:val="center"/>
          </w:tcPr>
          <w:p w14:paraId="05DD9714">
            <w:r>
              <w:rPr>
                <w:rFonts w:hint="eastAsia"/>
              </w:rPr>
              <w:t>100.00</w:t>
            </w:r>
          </w:p>
        </w:tc>
      </w:tr>
      <w:tr w14:paraId="324C89E9">
        <w:tblPrEx>
          <w:tblCellMar>
            <w:top w:w="0" w:type="dxa"/>
            <w:left w:w="108" w:type="dxa"/>
            <w:bottom w:w="0" w:type="dxa"/>
            <w:right w:w="108" w:type="dxa"/>
          </w:tblCellMar>
        </w:tblPrEx>
        <w:trPr>
          <w:trHeight w:val="993" w:hRule="atLeast"/>
        </w:trPr>
        <w:tc>
          <w:tcPr>
            <w:tcW w:w="828" w:type="dxa"/>
            <w:vMerge w:val="restart"/>
            <w:tcBorders>
              <w:top w:val="single" w:color="auto" w:sz="4" w:space="0"/>
              <w:left w:val="single" w:color="auto" w:sz="4" w:space="0"/>
              <w:bottom w:val="nil"/>
              <w:right w:val="single" w:color="auto" w:sz="4" w:space="0"/>
            </w:tcBorders>
            <w:shd w:val="clear" w:color="auto" w:fill="auto"/>
            <w:vAlign w:val="center"/>
          </w:tcPr>
          <w:p w14:paraId="12EA4F73">
            <w:r>
              <w:rPr>
                <w:rFonts w:hint="eastAsia"/>
              </w:rPr>
              <w:t>效益</w:t>
            </w:r>
          </w:p>
        </w:tc>
        <w:tc>
          <w:tcPr>
            <w:tcW w:w="1597" w:type="dxa"/>
            <w:tcBorders>
              <w:top w:val="nil"/>
              <w:left w:val="nil"/>
              <w:bottom w:val="single" w:color="auto" w:sz="4" w:space="0"/>
              <w:right w:val="single" w:color="auto" w:sz="4" w:space="0"/>
            </w:tcBorders>
            <w:shd w:val="clear" w:color="auto" w:fill="auto"/>
            <w:vAlign w:val="center"/>
          </w:tcPr>
          <w:p w14:paraId="70BA5798">
            <w:r>
              <w:rPr>
                <w:rFonts w:hint="eastAsia"/>
              </w:rPr>
              <w:t>社会效益目标</w:t>
            </w:r>
          </w:p>
        </w:tc>
        <w:tc>
          <w:tcPr>
            <w:tcW w:w="1276" w:type="dxa"/>
            <w:tcBorders>
              <w:top w:val="nil"/>
              <w:left w:val="nil"/>
              <w:bottom w:val="single" w:color="auto" w:sz="4" w:space="0"/>
              <w:right w:val="single" w:color="auto" w:sz="4" w:space="0"/>
            </w:tcBorders>
            <w:shd w:val="clear" w:color="auto" w:fill="auto"/>
            <w:vAlign w:val="center"/>
          </w:tcPr>
          <w:p w14:paraId="5D05CF59">
            <w:r>
              <w:rPr>
                <w:rFonts w:hint="eastAsia"/>
              </w:rPr>
              <w:t>项目开工率</w:t>
            </w:r>
          </w:p>
        </w:tc>
        <w:tc>
          <w:tcPr>
            <w:tcW w:w="2977" w:type="dxa"/>
            <w:tcBorders>
              <w:top w:val="single" w:color="auto" w:sz="4" w:space="0"/>
              <w:left w:val="nil"/>
              <w:bottom w:val="single" w:color="auto" w:sz="4" w:space="0"/>
              <w:right w:val="nil"/>
            </w:tcBorders>
            <w:shd w:val="clear" w:color="auto" w:fill="auto"/>
            <w:vAlign w:val="center"/>
          </w:tcPr>
          <w:p w14:paraId="16C97153">
            <w:r>
              <w:rPr>
                <w:rFonts w:hint="eastAsia"/>
              </w:rPr>
              <w:t>推进项目开工，项目开工率达90%（开工率=实际开工项目数/计划开工项目总数*100）</w:t>
            </w:r>
          </w:p>
        </w:tc>
        <w:tc>
          <w:tcPr>
            <w:tcW w:w="1275" w:type="dxa"/>
            <w:tcBorders>
              <w:top w:val="single" w:color="auto" w:sz="4" w:space="0"/>
              <w:left w:val="single" w:color="auto" w:sz="4" w:space="0"/>
              <w:bottom w:val="single" w:color="auto" w:sz="4" w:space="0"/>
              <w:right w:val="single" w:color="000000" w:sz="4" w:space="0"/>
            </w:tcBorders>
            <w:shd w:val="clear" w:color="auto" w:fill="auto"/>
            <w:vAlign w:val="center"/>
          </w:tcPr>
          <w:p w14:paraId="1E09DB94">
            <w:r>
              <w:rPr>
                <w:rFonts w:hint="eastAsia"/>
              </w:rPr>
              <w:t>30.00</w:t>
            </w:r>
          </w:p>
        </w:tc>
        <w:tc>
          <w:tcPr>
            <w:tcW w:w="1276" w:type="dxa"/>
            <w:tcBorders>
              <w:top w:val="single" w:color="auto" w:sz="4" w:space="0"/>
              <w:left w:val="nil"/>
              <w:bottom w:val="single" w:color="auto" w:sz="4" w:space="0"/>
              <w:right w:val="single" w:color="000000" w:sz="4" w:space="0"/>
            </w:tcBorders>
            <w:shd w:val="clear" w:color="auto" w:fill="auto"/>
            <w:noWrap/>
            <w:vAlign w:val="center"/>
          </w:tcPr>
          <w:p w14:paraId="43681914">
            <w:r>
              <w:rPr>
                <w:rFonts w:hint="eastAsia"/>
              </w:rPr>
              <w:t>90.00</w:t>
            </w:r>
          </w:p>
        </w:tc>
      </w:tr>
      <w:tr w14:paraId="11499F9D">
        <w:tblPrEx>
          <w:tblCellMar>
            <w:top w:w="0" w:type="dxa"/>
            <w:left w:w="108" w:type="dxa"/>
            <w:bottom w:w="0" w:type="dxa"/>
            <w:right w:w="108" w:type="dxa"/>
          </w:tblCellMar>
        </w:tblPrEx>
        <w:trPr>
          <w:trHeight w:val="1048"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04DE7EB0"/>
        </w:tc>
        <w:tc>
          <w:tcPr>
            <w:tcW w:w="1597" w:type="dxa"/>
            <w:tcBorders>
              <w:top w:val="nil"/>
              <w:left w:val="nil"/>
              <w:bottom w:val="single" w:color="auto" w:sz="4" w:space="0"/>
              <w:right w:val="single" w:color="auto" w:sz="4" w:space="0"/>
            </w:tcBorders>
            <w:shd w:val="clear" w:color="auto" w:fill="auto"/>
            <w:vAlign w:val="center"/>
          </w:tcPr>
          <w:p w14:paraId="4C705803">
            <w:r>
              <w:rPr>
                <w:rFonts w:hint="eastAsia"/>
              </w:rPr>
              <w:t>服务对象满意度目标</w:t>
            </w:r>
          </w:p>
        </w:tc>
        <w:tc>
          <w:tcPr>
            <w:tcW w:w="1276" w:type="dxa"/>
            <w:tcBorders>
              <w:top w:val="nil"/>
              <w:left w:val="nil"/>
              <w:bottom w:val="single" w:color="auto" w:sz="4" w:space="0"/>
              <w:right w:val="single" w:color="auto" w:sz="4" w:space="0"/>
            </w:tcBorders>
            <w:shd w:val="clear" w:color="auto" w:fill="auto"/>
            <w:vAlign w:val="center"/>
          </w:tcPr>
          <w:p w14:paraId="49B928D0">
            <w:r>
              <w:rPr>
                <w:rFonts w:hint="eastAsia"/>
              </w:rPr>
              <w:t>服务对象测评满意率</w:t>
            </w:r>
          </w:p>
        </w:tc>
        <w:tc>
          <w:tcPr>
            <w:tcW w:w="2977" w:type="dxa"/>
            <w:tcBorders>
              <w:top w:val="single" w:color="auto" w:sz="4" w:space="0"/>
              <w:left w:val="nil"/>
              <w:bottom w:val="single" w:color="auto" w:sz="4" w:space="0"/>
              <w:right w:val="nil"/>
            </w:tcBorders>
            <w:shd w:val="clear" w:color="auto" w:fill="auto"/>
            <w:vAlign w:val="center"/>
          </w:tcPr>
          <w:p w14:paraId="466C5842">
            <w:r>
              <w:rPr>
                <w:rFonts w:hint="eastAsia"/>
              </w:rPr>
              <w:t>服务对象测评满意率=调查满意及比较满意的公众/调查总人数*100</w:t>
            </w:r>
          </w:p>
        </w:tc>
        <w:tc>
          <w:tcPr>
            <w:tcW w:w="1275" w:type="dxa"/>
            <w:tcBorders>
              <w:top w:val="single" w:color="auto" w:sz="4" w:space="0"/>
              <w:left w:val="single" w:color="auto" w:sz="4" w:space="0"/>
              <w:bottom w:val="single" w:color="auto" w:sz="4" w:space="0"/>
              <w:right w:val="single" w:color="000000" w:sz="4" w:space="0"/>
            </w:tcBorders>
            <w:shd w:val="clear" w:color="auto" w:fill="auto"/>
            <w:vAlign w:val="center"/>
          </w:tcPr>
          <w:p w14:paraId="720AAD1F">
            <w:r>
              <w:rPr>
                <w:rFonts w:hint="eastAsia"/>
              </w:rPr>
              <w:t>90.00</w:t>
            </w:r>
          </w:p>
        </w:tc>
        <w:tc>
          <w:tcPr>
            <w:tcW w:w="1276" w:type="dxa"/>
            <w:tcBorders>
              <w:top w:val="single" w:color="auto" w:sz="4" w:space="0"/>
              <w:left w:val="nil"/>
              <w:bottom w:val="single" w:color="auto" w:sz="4" w:space="0"/>
              <w:right w:val="single" w:color="000000" w:sz="4" w:space="0"/>
            </w:tcBorders>
            <w:shd w:val="clear" w:color="auto" w:fill="auto"/>
            <w:noWrap/>
            <w:vAlign w:val="center"/>
          </w:tcPr>
          <w:p w14:paraId="4A90B356">
            <w:r>
              <w:rPr>
                <w:rFonts w:hint="eastAsia"/>
              </w:rPr>
              <w:t>95.00</w:t>
            </w:r>
          </w:p>
        </w:tc>
      </w:tr>
    </w:tbl>
    <w:p w14:paraId="651462A8">
      <w:pPr>
        <w:ind w:firstLine="420" w:firstLineChars="200"/>
      </w:pPr>
      <w:r>
        <w:rPr>
          <w:rFonts w:hint="eastAsia"/>
        </w:rPr>
        <w:t>2.绩效目标实现情况</w:t>
      </w:r>
    </w:p>
    <w:p w14:paraId="3F7DD8F3">
      <w:pPr>
        <w:ind w:firstLine="420" w:firstLineChars="200"/>
      </w:pPr>
      <w:r>
        <w:rPr>
          <w:rFonts w:hint="eastAsia"/>
        </w:rPr>
        <w:t>牵头编制“十四五”规划纲要。“十四五”规划纲要的形成，为政府履行经济调节、市场监督、社会管理和公共服务职能提供了重要依据，重大规划编制为梳理产业政策形成政策清单，争取国家更多支持，优化产业格局，带动县域经济发展，提供了重要的领导决策依据。</w:t>
      </w:r>
    </w:p>
    <w:p w14:paraId="6B565ED5">
      <w:pPr>
        <w:ind w:firstLine="420" w:firstLineChars="200"/>
      </w:pPr>
      <w:r>
        <w:rPr>
          <w:rFonts w:hint="eastAsia"/>
        </w:rPr>
        <w:t>全年330个市重点项目完成投资788.8亿元，超序时进度9.6个百分点，新建福厦铁路莆田段、三棵树涂料系列等176个项目完成投资超亿元；组织4次集中开竣工活动，大唐5G产业园、华峰运动用品生产项目等180个项目实现开工，华兴玻璃、华峰生态科技产业园等150个项目实现竣工；全年新增“五个一批”项目554个，总投资5915亿元，其中新增10亿元以上项目164个，居全省第二位。</w:t>
      </w:r>
    </w:p>
    <w:p w14:paraId="6EB45CF2">
      <w:pPr>
        <w:ind w:firstLine="420" w:firstLineChars="200"/>
        <w:outlineLvl w:val="0"/>
      </w:pPr>
      <w:bookmarkStart w:id="517" w:name="_Toc84000063"/>
      <w:bookmarkStart w:id="518" w:name="_Toc24661"/>
      <w:r>
        <w:rPr>
          <w:rFonts w:hint="eastAsia"/>
        </w:rPr>
        <w:t>二、绩效评价工作开展情况</w:t>
      </w:r>
      <w:bookmarkEnd w:id="517"/>
      <w:bookmarkEnd w:id="518"/>
    </w:p>
    <w:p w14:paraId="4AD18323">
      <w:pPr>
        <w:ind w:firstLine="420" w:firstLineChars="200"/>
      </w:pPr>
      <w:bookmarkStart w:id="519" w:name="_Toc84000064"/>
      <w:r>
        <w:rPr>
          <w:rFonts w:hint="eastAsia"/>
        </w:rPr>
        <w:t>（一）绩效评价目的</w:t>
      </w:r>
      <w:bookmarkEnd w:id="519"/>
    </w:p>
    <w:p w14:paraId="6A28B713">
      <w:pPr>
        <w:ind w:firstLine="420" w:firstLineChars="200"/>
      </w:pPr>
      <w:r>
        <w:rPr>
          <w:rFonts w:hint="eastAsia"/>
        </w:rPr>
        <w:t>通过实施财政绩效评价，全面了解2020年市本级项目前期经费的使用和管理情况、绩效目标完成情况及投入产出的绩效，总结经验，找出管理上存在的不足并提出相应的对策建议，提高财政资金使用效益及效果，推动专项资金在重点项目建设方面发挥更大成效，更好地推动重点项目建设，也为后续项目管理提供有益借鉴。</w:t>
      </w:r>
    </w:p>
    <w:p w14:paraId="37542424">
      <w:pPr>
        <w:ind w:firstLine="420" w:firstLineChars="200"/>
      </w:pPr>
      <w:bookmarkStart w:id="520" w:name="_Toc84000065"/>
      <w:r>
        <w:rPr>
          <w:rFonts w:hint="eastAsia"/>
        </w:rPr>
        <w:t>（二）绩效评价依据</w:t>
      </w:r>
      <w:bookmarkEnd w:id="520"/>
    </w:p>
    <w:p w14:paraId="4F19D29A">
      <w:pPr>
        <w:ind w:firstLine="420" w:firstLineChars="200"/>
      </w:pPr>
      <w:r>
        <w:rPr>
          <w:rFonts w:hint="eastAsia"/>
        </w:rPr>
        <w:t>按照科学、规范、客观、公正的原则，依据及《中华人民共和国预算法》财政部《财政支出绩效评价管理暂行办法》（财预[2011]285号）、《福建省财政厅关于印发财政支出绩效评价管理办法》（闽财绩[2015]4号）、《福建省财政厅关于加强和改进绩效管理有关工作的通知》（闽财绩[2017]4号）、《关于财政资金绩效管理覆盖率考核事项的通知》（闽财绩[2018]1号）、《莆田市市级财政专项资金管理办法》（莆财预〔2017〕159号）、《莆田市市级财政预算绩效目标管理暂行办法》(莆财绩[2019]8号)、《莆田市市级项目前期经费管理办法》等文件规定（具体详见附件1），绩效评价小组对2020年市本级项目前期经费的使用情况开展绩效评价。</w:t>
      </w:r>
    </w:p>
    <w:p w14:paraId="2FCE6BFA">
      <w:pPr>
        <w:ind w:firstLine="420" w:firstLineChars="200"/>
      </w:pPr>
      <w:bookmarkStart w:id="521" w:name="_Toc84000066"/>
      <w:r>
        <w:rPr>
          <w:rFonts w:hint="eastAsia"/>
        </w:rPr>
        <w:t>（三）绩效评价方法</w:t>
      </w:r>
      <w:bookmarkEnd w:id="521"/>
    </w:p>
    <w:p w14:paraId="251D7524">
      <w:pPr>
        <w:ind w:firstLine="420" w:firstLineChars="200"/>
      </w:pPr>
      <w:r>
        <w:rPr>
          <w:rFonts w:hint="eastAsia"/>
        </w:rPr>
        <w:t>根据财政部印发的《财政支出绩效评价管理暂行办法》（财预[2011]285号）、福建省财政厅印发的关于《福建省财政支出绩效评价管理办法》（闽财绩[2015]4号）有关财政支出绩效评价的有关规定，参照文中预算绩效评价共性指标体系及《莆田市市级财政预算绩效目标管理暂行办法》(莆财绩[2019]8号)，结合2020年市本级项目前期经费项目实际情况，评价工作本着科学规范、公开公正、绩效相关的原则，采用定性评价与定量评价相结合的方式，综合运用案卷研究法、现场勘查法、公众评判法、座谈会、访谈等方法开展评价工作。工作组通过现场对项目资料进行逐一核实了解项目资金的使用和取得的效益情况，并在此基础上召开座谈会和现场访谈，最终根据评价问卷调研及收集资料情况和座谈会、访谈意见，完成绩效评价报告的撰写。</w:t>
      </w:r>
    </w:p>
    <w:p w14:paraId="2C5D7C3B">
      <w:pPr>
        <w:ind w:firstLine="420" w:firstLineChars="200"/>
      </w:pPr>
      <w:bookmarkStart w:id="522" w:name="_Toc84000067"/>
      <w:r>
        <w:rPr>
          <w:rFonts w:hint="eastAsia"/>
        </w:rPr>
        <w:t>（四）绩效评价工作过程</w:t>
      </w:r>
      <w:bookmarkEnd w:id="522"/>
    </w:p>
    <w:p w14:paraId="66CF19F5">
      <w:pPr>
        <w:ind w:firstLine="420" w:firstLineChars="200"/>
      </w:pPr>
      <w:r>
        <w:rPr>
          <w:rFonts w:hint="eastAsia"/>
        </w:rPr>
        <w:t>本次绩效评价工作包括绩效评价工作前期准备、绩效评价实施和绩效评价工作完成三个阶段。</w:t>
      </w:r>
    </w:p>
    <w:p w14:paraId="7358CD79">
      <w:pPr>
        <w:ind w:firstLine="420" w:firstLineChars="200"/>
      </w:pPr>
      <w:r>
        <w:rPr>
          <w:rFonts w:hint="eastAsia"/>
        </w:rPr>
        <w:t xml:space="preserve">1.绩效评价工作前期准备 </w:t>
      </w:r>
    </w:p>
    <w:p w14:paraId="66837464">
      <w:pPr>
        <w:ind w:firstLine="420" w:firstLineChars="200"/>
      </w:pPr>
      <w:r>
        <w:rPr>
          <w:rFonts w:hint="eastAsia"/>
        </w:rPr>
        <w:t>成立绩效评价工作小组，结合评价人员的业务专长、专业素养和工作需要，确定评价小组成员构成和具体分工。</w:t>
      </w:r>
    </w:p>
    <w:p w14:paraId="4D65DD1F">
      <w:pPr>
        <w:ind w:firstLine="420" w:firstLineChars="200"/>
      </w:pPr>
      <w:r>
        <w:rPr>
          <w:rFonts w:hint="eastAsia"/>
        </w:rPr>
        <w:t>2.绩效评价实施阶段</w:t>
      </w:r>
    </w:p>
    <w:p w14:paraId="7C5C7516">
      <w:pPr>
        <w:ind w:firstLine="420" w:firstLineChars="200"/>
      </w:pPr>
      <w:r>
        <w:rPr>
          <w:rFonts w:hint="eastAsia"/>
        </w:rPr>
        <w:t>一是制定绩效评价工作方案，包括项目基本情况、绩效评价思路、项目调查主要方法、评价工作的组织与实施、绩效评价指标体系等，明确各阶段工作任务，为绩效评价工作的开展提供指引。二是根据评价对象的特点、评价内容等，赴项目各级主管部门，根据工作需要，开展实地调研、座谈会、访谈、问卷调查等，收集绩效评价相关资料，并进一步修订绩效评价指标体系。三是评价工作小组根据所取得的资料和现场调查资料情况，采用恰当的评价方法、评价指标和评价标准，对评价对象绩效目标实现程度等绩效情况进行评分，形成初步评价结论。</w:t>
      </w:r>
    </w:p>
    <w:p w14:paraId="0A6F962F">
      <w:pPr>
        <w:ind w:firstLine="420" w:firstLineChars="200"/>
      </w:pPr>
      <w:r>
        <w:rPr>
          <w:rFonts w:hint="eastAsia"/>
        </w:rPr>
        <w:t>3.完成绩效评价报告并建档</w:t>
      </w:r>
    </w:p>
    <w:p w14:paraId="5BC27852">
      <w:pPr>
        <w:ind w:firstLine="420" w:firstLineChars="200"/>
      </w:pPr>
      <w:r>
        <w:rPr>
          <w:rFonts w:hint="eastAsia"/>
        </w:rPr>
        <w:t>根据评价工作小组的评价结论等相关资料，归纳问题、分析原因、补充调研、提出对策，形成并提交评价报告。根据评价工作开展路径，整理、保管工作底稿等资料，建立绩效评价档案。</w:t>
      </w:r>
    </w:p>
    <w:p w14:paraId="28DB74B9">
      <w:pPr>
        <w:ind w:firstLine="420" w:firstLineChars="200"/>
      </w:pPr>
      <w:bookmarkStart w:id="523" w:name="_Toc84000068"/>
      <w:r>
        <w:rPr>
          <w:rFonts w:hint="eastAsia"/>
        </w:rPr>
        <w:t>（五）绩效评价指标体系设计</w:t>
      </w:r>
      <w:bookmarkEnd w:id="523"/>
    </w:p>
    <w:p w14:paraId="0624F7D3">
      <w:pPr>
        <w:ind w:firstLine="420" w:firstLineChars="200"/>
      </w:pPr>
      <w:r>
        <w:rPr>
          <w:rFonts w:hint="eastAsia"/>
        </w:rPr>
        <w:t>根据财政部、福建省和莆田市财政支出绩效评价管理办法的要求，依据相关性原则、重要性原则、可比性原则、系统性原则及经济性原则，参考2020年市本级项目前期经费绩效评价自评表和预算项目绩效监控情况，围绕项目决策、项目管理、项目产出和项目效益四个方面设计绩效评价指标体系以及相应的分值和评分标准。指标体系共设置4个一级指标、13个二级指标、23个三级指标，总分值为100分。其中项目决策包括项目立项、绩效目标和预算编制3个二级指标，并细分为5个三级指标，分值为15分；项目管理包括投入管理、业务管理和财务管理3个二级指标，并细分为8个三级指标，分值为25分；项目产出包括产出数量、产出质量2个二级指标，并细分为4个三级指标，分值为25分；项目效益包括经济效益、社会效益、生态效益、可持续发展效益以及满意度5个二级指标，并细分为6个三级指标，分值为35分。评价小组对所有的三级指标都进行了具体的指标解释，说明了指标设置的目的和评价的内容，同时规定了明确的、可量化的评分方法。具体的绩效评价指标体系如附件2所示。</w:t>
      </w:r>
    </w:p>
    <w:p w14:paraId="6F9345DE">
      <w:pPr>
        <w:ind w:firstLine="420" w:firstLineChars="200"/>
      </w:pPr>
      <w:bookmarkStart w:id="524" w:name="_Toc47453293"/>
      <w:r>
        <w:rPr>
          <w:rFonts w:hint="eastAsia"/>
        </w:rPr>
        <w:t>为了全面、客观、有效地进行绩效评价，绩效评价工作组审阅了莆田市发展和改革委员会提供的2020年市本级项目前期经费专项资金绩效相关材料，与财政局、市发展和改革委员会进行座谈与征求意见，查阅项目档案，收集相关信息资料，实地调研等，采取定性和定量分析方法，通过对4大类23项指标逐项评价，对2020年市本级项目前期经费专项资金的立项情况、项目资金落实情况、资金管理、业务管理、项目产出、项目效益等方面进行综合评价。总体上， 2020年市本级项目前期经费专项资金的使用达到了预期目标。该项补助资金绩效评价得分为80.16分，评价等级结果为良好，指标分析详见第四部分。</w:t>
      </w:r>
    </w:p>
    <w:p w14:paraId="0FBCF3CC">
      <w:pPr>
        <w:ind w:firstLine="420" w:firstLineChars="200"/>
        <w:outlineLvl w:val="0"/>
      </w:pPr>
      <w:bookmarkStart w:id="525" w:name="_Toc6582"/>
      <w:bookmarkStart w:id="526" w:name="_Toc84000069"/>
      <w:r>
        <w:rPr>
          <w:rFonts w:hint="eastAsia"/>
        </w:rPr>
        <w:t>三、绩效评价指标分析</w:t>
      </w:r>
      <w:bookmarkEnd w:id="525"/>
      <w:bookmarkEnd w:id="526"/>
    </w:p>
    <w:p w14:paraId="6E93715F">
      <w:pPr>
        <w:ind w:firstLine="420" w:firstLineChars="200"/>
      </w:pPr>
      <w:bookmarkStart w:id="527" w:name="_Toc84000070"/>
      <w:r>
        <w:rPr>
          <w:rFonts w:hint="eastAsia"/>
        </w:rPr>
        <w:t>（一）项目决策得11.7分（共15分）</w:t>
      </w:r>
      <w:bookmarkEnd w:id="527"/>
    </w:p>
    <w:p w14:paraId="46C17D96">
      <w:pPr>
        <w:ind w:firstLine="420" w:firstLineChars="200"/>
      </w:pPr>
      <w:r>
        <w:rPr>
          <w:rFonts w:hint="eastAsia"/>
        </w:rPr>
        <w:t>一级指标“项目决策”下设“项目立项”、“绩效目标”、“预算编制”三个二级指标。</w:t>
      </w:r>
    </w:p>
    <w:p w14:paraId="1D0E5DCC">
      <w:pPr>
        <w:ind w:firstLine="420" w:firstLineChars="200"/>
      </w:pPr>
      <w:r>
        <w:rPr>
          <w:rFonts w:hint="eastAsia"/>
        </w:rPr>
        <w:t>1.项目立项得2.7分（满分3分）</w:t>
      </w:r>
    </w:p>
    <w:p w14:paraId="08AA1A53">
      <w:pPr>
        <w:ind w:firstLine="420" w:firstLineChars="200"/>
      </w:pPr>
      <w:r>
        <w:rPr>
          <w:rFonts w:hint="eastAsia"/>
        </w:rPr>
        <w:t>立项合理性。依据《中共莆田市委莆田市人民政府关于加快重点项目建设的若干意见》（莆委发[2010]7号），市政府自2010年财政预算安排2000万元作为重点项目前期经费，以后面都根据重点项目的实际情况予以相应增加。根据《莆田市人民政府办公室关于加快推进政府性投资项目前期工作的意见》（莆委办发[2017]111号）规定，由市财政每年增加预算安排2000万元，作为计划内市政、交通、水利、文化、体育、教育、卫生等项目前期工作经费，由市发改委统一管理，统筹安排使用。立项符合党和国家制定的各项法律法规和政策，符合行业发展规划，依据充分。市级前期经费由市发展和改革委员会负责提出安排意见并实行计划管理。市重点项目建设领导小组办公室（以下简称“市重点办”）会同委内相关业务科室，于2020年年中和年底分两批根据项目责任单位上报的材料，提出并汇总拟安排市级前期经费的项目及安排金额，经市发展和改革委员会党组会议研究后，报市政府审定，列入年度计划。但未对政策进行公正、客观的评估，形成事前评估报告。本指标的标准分为3分，得2.7分。</w:t>
      </w:r>
    </w:p>
    <w:p w14:paraId="68B49030">
      <w:pPr>
        <w:ind w:firstLine="420" w:firstLineChars="200"/>
      </w:pPr>
      <w:r>
        <w:rPr>
          <w:rFonts w:hint="eastAsia"/>
        </w:rPr>
        <w:t>2.绩效目标得4分（满分5分）</w:t>
      </w:r>
      <w:r>
        <w:rPr>
          <w:rFonts w:hint="eastAsia"/>
        </w:rPr>
        <w:tab/>
      </w:r>
    </w:p>
    <w:p w14:paraId="62BAD5C1">
      <w:pPr>
        <w:ind w:firstLine="420" w:firstLineChars="200"/>
      </w:pPr>
      <w:r>
        <w:rPr>
          <w:rFonts w:hint="eastAsia"/>
        </w:rPr>
        <w:t>（1）绩效目标合理性得1.5分（满分2分）</w:t>
      </w:r>
    </w:p>
    <w:p w14:paraId="69A845D1">
      <w:pPr>
        <w:ind w:firstLine="420" w:firstLineChars="200"/>
      </w:pPr>
      <w:r>
        <w:rPr>
          <w:rFonts w:hint="eastAsia"/>
        </w:rPr>
        <w:t>该项目设定的绩效目标为部门整体目标，而非针对前期经费资助涉及的范畴；绩效目标设置偏宏观，且与预算确定的资金量不相符。本指标的标准分为2分，得分1.5分。</w:t>
      </w:r>
    </w:p>
    <w:p w14:paraId="668B0E87">
      <w:pPr>
        <w:ind w:firstLine="420" w:firstLineChars="200"/>
      </w:pPr>
      <w:r>
        <w:rPr>
          <w:rFonts w:hint="eastAsia"/>
        </w:rPr>
        <w:t>（2）绩效指标明确性得2.5（满分3分）</w:t>
      </w:r>
    </w:p>
    <w:p w14:paraId="1AE24017">
      <w:pPr>
        <w:ind w:firstLine="420" w:firstLineChars="200"/>
      </w:pPr>
      <w:r>
        <w:rPr>
          <w:rFonts w:hint="eastAsia"/>
        </w:rPr>
        <w:t>市发展与改革委员会设置了一些可量化的项目绩效评价指标和完成目标值，不足之处在于有些指标的绩效标准的表述不够科学明确，效益指标设置不够全面，未从社会、经济、可持续等方面综合衡量该项经费投入产生的效益。本指标的标准分为3分，得分2.5分。</w:t>
      </w:r>
    </w:p>
    <w:p w14:paraId="32BA9839">
      <w:pPr>
        <w:ind w:firstLine="420" w:firstLineChars="200"/>
      </w:pPr>
      <w:r>
        <w:rPr>
          <w:rFonts w:hint="eastAsia"/>
        </w:rPr>
        <w:t>3.预算编制得5分（满分7分）</w:t>
      </w:r>
    </w:p>
    <w:p w14:paraId="311CE077">
      <w:pPr>
        <w:ind w:firstLine="420" w:firstLineChars="200"/>
      </w:pPr>
      <w:r>
        <w:rPr>
          <w:rFonts w:hint="eastAsia"/>
        </w:rPr>
        <w:t>（1）资金分配合理性得2分（满分3分）</w:t>
      </w:r>
    </w:p>
    <w:p w14:paraId="7BB9611F">
      <w:pPr>
        <w:ind w:firstLine="420" w:firstLineChars="200"/>
      </w:pPr>
      <w:r>
        <w:rPr>
          <w:rFonts w:hint="eastAsia"/>
        </w:rPr>
        <w:t>莆田市发展和改革委员会2018年制定了《莆田市发改委项目前期经费分配制度（试行）》，但根据该分配制度，分配方式是按照投资计划完成情况，而前期经费项目属于投资项目的前期规划研究，并未有投资金额的发生，此方式欠合理。另外，第二批项目中：莆田市外国语学校校区总体消防管网及消控中心建设项目、莆田市第一医院的项目为非重点项目，不符合《莆田市发改委项目前期经费分配制度（试行）》制定的优先分配原则。莆田市“十四五”军民融合产业发展专项规划资助经费为190万元，其与中标单位中电望辰科技有限公司签订《莆田市“十四五”军民融合产业发展专项》采购合同为80万元，与前期经费偏离20万元，年底还有60万元被收回。截至到2020年底，由于资金闲置被市财政局回收584.65万元，占财政局下达资金的四分之一。市发改委内部各项目资金分配不够合理，剩余资金统筹使用，并调整到福莆宁成绩铁路F2线。本指标的标准分为3分，得分2分。</w:t>
      </w:r>
    </w:p>
    <w:p w14:paraId="0706BEAC">
      <w:pPr>
        <w:ind w:firstLine="420" w:firstLineChars="200"/>
      </w:pPr>
      <w:r>
        <w:rPr>
          <w:rFonts w:hint="eastAsia"/>
        </w:rPr>
        <w:t>（2）预算编制科学性得3分（满分4分）</w:t>
      </w:r>
    </w:p>
    <w:p w14:paraId="58819BCF">
      <w:pPr>
        <w:ind w:firstLine="420" w:firstLineChars="200"/>
      </w:pPr>
      <w:r>
        <w:rPr>
          <w:rFonts w:hint="eastAsia"/>
        </w:rPr>
        <w:t>预算编制方法不够科学，预算金额与实际资金需求偏差较大。2020年度实际下达前期经费金额为1607.1万元，年终回收资金584.65万元，与实际申报的4000万元差距。本指标的标准分为4分，得分3分。</w:t>
      </w:r>
    </w:p>
    <w:p w14:paraId="3120B9EA">
      <w:pPr>
        <w:ind w:firstLine="420" w:firstLineChars="200"/>
      </w:pPr>
      <w:bookmarkStart w:id="528" w:name="_Toc84000071"/>
      <w:r>
        <w:rPr>
          <w:rFonts w:hint="eastAsia"/>
        </w:rPr>
        <w:t>（二）项目管理得16.95分（共25分）</w:t>
      </w:r>
      <w:bookmarkEnd w:id="528"/>
      <w:r>
        <w:rPr>
          <w:rFonts w:hint="eastAsia"/>
        </w:rPr>
        <w:tab/>
      </w:r>
    </w:p>
    <w:p w14:paraId="43B4D278">
      <w:pPr>
        <w:ind w:firstLine="420" w:firstLineChars="200"/>
      </w:pPr>
      <w:r>
        <w:rPr>
          <w:rFonts w:hint="eastAsia"/>
        </w:rPr>
        <w:t>一级指标“项目管理”下设“投入管理”、“业务管理”、“财务管理”三个二级指标。</w:t>
      </w:r>
    </w:p>
    <w:p w14:paraId="1AC38F91">
      <w:pPr>
        <w:ind w:firstLine="420" w:firstLineChars="200"/>
      </w:pPr>
      <w:r>
        <w:rPr>
          <w:rFonts w:hint="eastAsia"/>
        </w:rPr>
        <w:t>1.投入管理得4.75分（满分9分）</w:t>
      </w:r>
    </w:p>
    <w:p w14:paraId="0DE6E899">
      <w:pPr>
        <w:ind w:firstLine="420" w:firstLineChars="200"/>
      </w:pPr>
      <w:r>
        <w:rPr>
          <w:rFonts w:hint="eastAsia"/>
        </w:rPr>
        <w:t>（1）预算执行率得1.75分（满分3分）</w:t>
      </w:r>
    </w:p>
    <w:p w14:paraId="05BA6B2D">
      <w:pPr>
        <w:ind w:firstLine="420" w:firstLineChars="200"/>
      </w:pPr>
      <w:r>
        <w:rPr>
          <w:rFonts w:hint="eastAsia"/>
        </w:rPr>
        <w:t>2020年市本级实际支出金额为2327.1万元，预算资金为4000万元，预算执行率为58.17%。本指标的标准分为3分，得分1.75分。</w:t>
      </w:r>
    </w:p>
    <w:p w14:paraId="6D92FD29">
      <w:pPr>
        <w:ind w:firstLine="420" w:firstLineChars="200"/>
      </w:pPr>
      <w:r>
        <w:rPr>
          <w:rFonts w:hint="eastAsia"/>
        </w:rPr>
        <w:t>（2）资金拨付及时率得0.75分（满分3分）</w:t>
      </w:r>
    </w:p>
    <w:p w14:paraId="1D3BF7C4">
      <w:pPr>
        <w:ind w:firstLine="420" w:firstLineChars="200"/>
      </w:pPr>
      <w:r>
        <w:rPr>
          <w:rFonts w:hint="eastAsia"/>
        </w:rPr>
        <w:t>2020年9月底前实际分配下达的资金为997.1万元，预算数为4000万元，资金拨付及时率为24.93%.本指标的标准分为3分，得分0.75分。</w:t>
      </w:r>
    </w:p>
    <w:p w14:paraId="081A45BF">
      <w:pPr>
        <w:ind w:firstLine="420" w:firstLineChars="200"/>
      </w:pPr>
      <w:r>
        <w:rPr>
          <w:rFonts w:hint="eastAsia"/>
        </w:rPr>
        <w:t>（3）资金使用率得2.25分（满分3分）</w:t>
      </w:r>
    </w:p>
    <w:p w14:paraId="0404EF16">
      <w:pPr>
        <w:ind w:firstLine="420" w:firstLineChars="200"/>
      </w:pPr>
      <w:r>
        <w:rPr>
          <w:rFonts w:hint="eastAsia"/>
        </w:rPr>
        <w:t>2020年实际下达的金额为2327.1万元，年终回收584.65万元，已使用资金1742.45万元，资金使用率为74.88%。本指标的标准分为3分，得分2.25分。</w:t>
      </w:r>
    </w:p>
    <w:p w14:paraId="64C973A3">
      <w:pPr>
        <w:ind w:firstLine="420" w:firstLineChars="200"/>
      </w:pPr>
      <w:r>
        <w:rPr>
          <w:rFonts w:hint="eastAsia"/>
        </w:rPr>
        <w:t>2.业务管理得3.7分（满分7分）</w:t>
      </w:r>
    </w:p>
    <w:p w14:paraId="6E8CD9F9">
      <w:pPr>
        <w:ind w:firstLine="420" w:firstLineChars="200"/>
      </w:pPr>
      <w:r>
        <w:rPr>
          <w:rFonts w:hint="eastAsia"/>
        </w:rPr>
        <w:t>（1）管理制度健全性得2.2分（满分3分）</w:t>
      </w:r>
    </w:p>
    <w:p w14:paraId="55A86E73">
      <w:pPr>
        <w:ind w:firstLine="420" w:firstLineChars="200"/>
      </w:pPr>
      <w:r>
        <w:rPr>
          <w:rFonts w:hint="eastAsia"/>
        </w:rPr>
        <w:t>莆田市发展和改革委员会根据市政办《关于加快推进政府性投资项目前期工作的意见》（莆政办[2017]111号）和市发改委、市财政局《关于印发莆田市市级项目前期工作经费管理办法的通知》（莆发改[2018]70号），出台《关于做好2020年莆田市市级项目前期经费申报工作的通知》，明确市级前期经费申报使用原则、申报范围、申报时间与方式。《关于印发莆田市市级项目前期工作经费管理办法的通知》（莆发改[2018]70号）明确了经费的使用、管理和监督职责。《关于进一步健全“五个一批”项目推进机制的通知（莆委办发〔2016〕11号）》和《关于建立莆田市“五个一批”项目快速协调联席会议制度的通知》（莆政办网传7号）进一步明确了项目推进工作机制。部分前期经费项目未制定前期经费使用计划；项目单位与市发改委签订《市级前期经费使用协议书》，但发现个别单位未签订；所签订的《市级前期经费使用协议书》缺少工作质量要求。本指标的标准分为3分，得分2.2分。</w:t>
      </w:r>
    </w:p>
    <w:p w14:paraId="421F1712">
      <w:pPr>
        <w:ind w:firstLine="420" w:firstLineChars="200"/>
      </w:pPr>
      <w:r>
        <w:rPr>
          <w:rFonts w:hint="eastAsia"/>
        </w:rPr>
        <w:t>（2）制度执行有效性得1.5分（满分4分）</w:t>
      </w:r>
    </w:p>
    <w:p w14:paraId="5F3A0CCA">
      <w:pPr>
        <w:ind w:firstLine="420" w:firstLineChars="200"/>
      </w:pPr>
      <w:r>
        <w:rPr>
          <w:rFonts w:hint="eastAsia"/>
        </w:rPr>
        <w:t>2020年，莆田市发改委共向莆田市财政局申请调整2020年度市本级项目前期经费预算支出级次调整两次（莆发改函[2020]37）号、[2020]189号）。调整申请程序规范。前期经费使用协议书、项目合同书、验收报告、技术鉴定、项目绩效自评结果等资料不齐全且未能及时归档，主要存在以下问题：一是协议书未审核盖章；二是协议书不符合《莆田市市级项目前期经费管理办法》，未涵盖工作质量要求；三是有些前期经费项目没有签订协议书，不符合《莆田市市级项目前期经费管理办法》。该办法规定，在前期经费分配方案审定后，财政局拨付文件下发后，应与项目责任单位签订《市级前期经费使用协议书》（简称“协议书”），但发现：文旅发展相关规划编制项目、莆田市外国语学校校区总体消防管网及消控中心建设项目、莆田市第二看守所..迁建项目等项目未签订协议书。项目所辖县区人民政府（管委会）发改部门或市直主管部门尚未开展前期经费检查和评审工作。本指标的标准分为4分，得分1.5分。</w:t>
      </w:r>
    </w:p>
    <w:p w14:paraId="4A866D55">
      <w:pPr>
        <w:ind w:firstLine="420" w:firstLineChars="200"/>
      </w:pPr>
      <w:r>
        <w:rPr>
          <w:rFonts w:hint="eastAsia"/>
        </w:rPr>
        <w:t>3.财务管理得8.5分（满分9分）</w:t>
      </w:r>
    </w:p>
    <w:p w14:paraId="0A15EA7C">
      <w:pPr>
        <w:ind w:firstLine="420" w:firstLineChars="200"/>
      </w:pPr>
      <w:r>
        <w:rPr>
          <w:rFonts w:hint="eastAsia"/>
        </w:rPr>
        <w:t>（1）财务制度健全性得3分（满分3分）</w:t>
      </w:r>
    </w:p>
    <w:p w14:paraId="51144E4B">
      <w:pPr>
        <w:ind w:firstLine="420" w:firstLineChars="200"/>
      </w:pPr>
      <w:r>
        <w:rPr>
          <w:rFonts w:hint="eastAsia"/>
        </w:rPr>
        <w:t>莆田市发展与改革委员会制定了《关于做好2020年莆田市市级项目前期经费申报工作的通知》，对前期经费的管理和使用做出明确规定。项目执行单位也都有各自的财务制度。本指标的标准分为3分，得分3分。</w:t>
      </w:r>
    </w:p>
    <w:p w14:paraId="1253264D">
      <w:pPr>
        <w:ind w:firstLine="420" w:firstLineChars="200"/>
      </w:pPr>
      <w:r>
        <w:rPr>
          <w:rFonts w:hint="eastAsia"/>
        </w:rPr>
        <w:t>（2）资金使用合规性得3分（满分3分）</w:t>
      </w:r>
    </w:p>
    <w:p w14:paraId="17CB49B0">
      <w:pPr>
        <w:ind w:firstLine="420" w:firstLineChars="200"/>
      </w:pPr>
      <w:r>
        <w:rPr>
          <w:rFonts w:hint="eastAsia"/>
        </w:rPr>
        <w:t>预算支出级次调整按规定报批。2020年度，莆田是发展和改革委员会先向财政局发函申请调整预算支出级次，在获得市财政局回函后，向市政府申请三笔资金290万元、400万元和130万元的预算支出级次由“本级预算支出”调整为“对县区的转移支付支出”，并得到政府的阅示。资金用途符合项目预算批复。未发现存在截留、挤占、挪用等情况。本项指标总分3分，得分为3分。</w:t>
      </w:r>
    </w:p>
    <w:p w14:paraId="375B2835">
      <w:pPr>
        <w:ind w:firstLine="420" w:firstLineChars="200"/>
      </w:pPr>
      <w:r>
        <w:rPr>
          <w:rFonts w:hint="eastAsia"/>
        </w:rPr>
        <w:t>（3）财务监控有效性得2.5分（满分3分）</w:t>
      </w:r>
    </w:p>
    <w:p w14:paraId="3CB84A36">
      <w:pPr>
        <w:ind w:firstLine="420" w:firstLineChars="200"/>
      </w:pPr>
      <w:r>
        <w:rPr>
          <w:rFonts w:hint="eastAsia"/>
        </w:rPr>
        <w:t>《关于印发莆田市市级项目前期工作经费管理办法的通知》（莆发改[2018]70号）明确了前期经费项目监督检查内容与责任。市发改委根据财政绩效监控系统可以了解各项目前期经费是否在年内支出，但并未对前期经费使用情况进行检查评审。本项指标总分3分，得分为2.5分。</w:t>
      </w:r>
    </w:p>
    <w:p w14:paraId="3D3321CC">
      <w:pPr>
        <w:ind w:firstLine="420" w:firstLineChars="200"/>
      </w:pPr>
      <w:bookmarkStart w:id="529" w:name="_Toc84000072"/>
      <w:r>
        <w:rPr>
          <w:rFonts w:hint="eastAsia"/>
        </w:rPr>
        <w:t>（三）项目产出得20.61分（共25分）</w:t>
      </w:r>
      <w:bookmarkEnd w:id="529"/>
    </w:p>
    <w:p w14:paraId="20998807">
      <w:pPr>
        <w:ind w:firstLine="420" w:firstLineChars="200"/>
      </w:pPr>
      <w:r>
        <w:rPr>
          <w:rFonts w:hint="eastAsia"/>
        </w:rPr>
        <w:t>一级指标“项目产出”下设“产出数量”、“产出质量”、“产出时效”三个二级指标。</w:t>
      </w:r>
    </w:p>
    <w:p w14:paraId="4B98DF6C">
      <w:pPr>
        <w:ind w:firstLine="420" w:firstLineChars="200"/>
      </w:pPr>
      <w:r>
        <w:rPr>
          <w:rFonts w:hint="eastAsia"/>
        </w:rPr>
        <w:t>产出数量得9.04分（共12分）</w:t>
      </w:r>
    </w:p>
    <w:p w14:paraId="667954AA">
      <w:pPr>
        <w:ind w:firstLine="420" w:firstLineChars="200"/>
      </w:pPr>
      <w:r>
        <w:rPr>
          <w:rFonts w:hint="eastAsia"/>
        </w:rPr>
        <w:t>（1）安排重点项目完成率得3.96分（满分6分）</w:t>
      </w:r>
    </w:p>
    <w:p w14:paraId="15954D56">
      <w:pPr>
        <w:ind w:firstLine="420" w:firstLineChars="200"/>
      </w:pPr>
      <w:r>
        <w:rPr>
          <w:rFonts w:hint="eastAsia"/>
        </w:rPr>
        <w:t>2020年全市共安排市重点项目（含省重点项目）330个，计划安排500个，安排重点项目完成率为66%。本项指标总分6分，得分为3.96分。</w:t>
      </w:r>
    </w:p>
    <w:p w14:paraId="5F69B0AD">
      <w:pPr>
        <w:ind w:firstLine="420" w:firstLineChars="200"/>
      </w:pPr>
      <w:r>
        <w:rPr>
          <w:rFonts w:hint="eastAsia"/>
        </w:rPr>
        <w:t>（2）新增“五个一批”项目得5.08分（满分6分）</w:t>
      </w:r>
    </w:p>
    <w:p w14:paraId="3DCFEAD2">
      <w:pPr>
        <w:ind w:firstLine="420" w:firstLineChars="200"/>
      </w:pPr>
      <w:r>
        <w:rPr>
          <w:rFonts w:hint="eastAsia"/>
        </w:rPr>
        <w:t>2020年共新增“五个一批”项目550个、总投资5819亿元，其中谋划项目244个、总投资2892亿元，签约项目109个、总投资1534亿元，开工项目102个、总投资806亿元，投产项目95个、总投资586亿元。表4列出了2017年-2020年新增“五个一批”项目具体数量。考虑到受疫情影响，2020年新增“五个一批”项目数参考前三年走势，比2019年下降35%，为650个。本项指标总分6分，得分为5.08分。</w:t>
      </w:r>
    </w:p>
    <w:p w14:paraId="1B0E9185">
      <w:pPr>
        <w:ind w:firstLine="420" w:firstLineChars="200"/>
      </w:pPr>
      <w:r>
        <w:rPr>
          <w:rFonts w:hint="eastAsia"/>
        </w:rPr>
        <w:t>表4 2017-2020年各年新增“五个一批”数量表</w:t>
      </w:r>
    </w:p>
    <w:tbl>
      <w:tblPr>
        <w:tblStyle w:val="18"/>
        <w:tblW w:w="8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1181"/>
        <w:gridCol w:w="1333"/>
        <w:gridCol w:w="1655"/>
        <w:gridCol w:w="1503"/>
      </w:tblGrid>
      <w:tr w14:paraId="75A3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345" w:type="dxa"/>
          </w:tcPr>
          <w:p w14:paraId="3E560DBF"/>
        </w:tc>
        <w:tc>
          <w:tcPr>
            <w:tcW w:w="1181" w:type="dxa"/>
          </w:tcPr>
          <w:p w14:paraId="69ECF47C">
            <w:r>
              <w:rPr>
                <w:rFonts w:hint="eastAsia"/>
              </w:rPr>
              <w:t>2017年</w:t>
            </w:r>
          </w:p>
        </w:tc>
        <w:tc>
          <w:tcPr>
            <w:tcW w:w="1333" w:type="dxa"/>
          </w:tcPr>
          <w:p w14:paraId="769FEF47">
            <w:r>
              <w:rPr>
                <w:rFonts w:hint="eastAsia"/>
              </w:rPr>
              <w:t>2018年</w:t>
            </w:r>
          </w:p>
        </w:tc>
        <w:tc>
          <w:tcPr>
            <w:tcW w:w="1655" w:type="dxa"/>
          </w:tcPr>
          <w:p w14:paraId="5A4FD9B6">
            <w:r>
              <w:rPr>
                <w:rFonts w:hint="eastAsia"/>
              </w:rPr>
              <w:t>2019年</w:t>
            </w:r>
          </w:p>
        </w:tc>
        <w:tc>
          <w:tcPr>
            <w:tcW w:w="1503" w:type="dxa"/>
          </w:tcPr>
          <w:p w14:paraId="271DF062">
            <w:r>
              <w:rPr>
                <w:rFonts w:hint="eastAsia"/>
              </w:rPr>
              <w:t>2020年</w:t>
            </w:r>
          </w:p>
        </w:tc>
      </w:tr>
      <w:tr w14:paraId="7EF4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45" w:type="dxa"/>
          </w:tcPr>
          <w:p w14:paraId="073081A6">
            <w:r>
              <w:rPr>
                <w:rFonts w:hint="eastAsia"/>
              </w:rPr>
              <w:t>新增“五个一批”项目</w:t>
            </w:r>
          </w:p>
        </w:tc>
        <w:tc>
          <w:tcPr>
            <w:tcW w:w="1181" w:type="dxa"/>
          </w:tcPr>
          <w:p w14:paraId="44B6649F">
            <w:r>
              <w:rPr>
                <w:rFonts w:hint="eastAsia"/>
              </w:rPr>
              <w:t>1657个</w:t>
            </w:r>
          </w:p>
        </w:tc>
        <w:tc>
          <w:tcPr>
            <w:tcW w:w="1333" w:type="dxa"/>
          </w:tcPr>
          <w:p w14:paraId="6175E82A">
            <w:r>
              <w:rPr>
                <w:rFonts w:hint="eastAsia"/>
              </w:rPr>
              <w:t>1300</w:t>
            </w:r>
          </w:p>
        </w:tc>
        <w:tc>
          <w:tcPr>
            <w:tcW w:w="1655" w:type="dxa"/>
          </w:tcPr>
          <w:p w14:paraId="598E6C99">
            <w:r>
              <w:rPr>
                <w:rFonts w:hint="eastAsia"/>
              </w:rPr>
              <w:t>1000个</w:t>
            </w:r>
          </w:p>
        </w:tc>
        <w:tc>
          <w:tcPr>
            <w:tcW w:w="1503" w:type="dxa"/>
          </w:tcPr>
          <w:p w14:paraId="5EDFBB1A">
            <w:r>
              <w:rPr>
                <w:rFonts w:hint="eastAsia"/>
              </w:rPr>
              <w:t>550</w:t>
            </w:r>
          </w:p>
        </w:tc>
      </w:tr>
      <w:tr w14:paraId="5CB3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345" w:type="dxa"/>
          </w:tcPr>
          <w:p w14:paraId="70E1B9A3">
            <w:r>
              <w:rPr>
                <w:rFonts w:hint="eastAsia"/>
              </w:rPr>
              <w:t>年递减率</w:t>
            </w:r>
          </w:p>
        </w:tc>
        <w:tc>
          <w:tcPr>
            <w:tcW w:w="1181" w:type="dxa"/>
          </w:tcPr>
          <w:p w14:paraId="3F7565BD"/>
        </w:tc>
        <w:tc>
          <w:tcPr>
            <w:tcW w:w="1333" w:type="dxa"/>
          </w:tcPr>
          <w:p w14:paraId="0691B224">
            <w:r>
              <w:rPr>
                <w:rFonts w:hint="eastAsia"/>
              </w:rPr>
              <w:t>21.5%</w:t>
            </w:r>
          </w:p>
        </w:tc>
        <w:tc>
          <w:tcPr>
            <w:tcW w:w="1655" w:type="dxa"/>
          </w:tcPr>
          <w:p w14:paraId="46737F0D">
            <w:r>
              <w:rPr>
                <w:rFonts w:hint="eastAsia"/>
              </w:rPr>
              <w:t>23.1%</w:t>
            </w:r>
          </w:p>
        </w:tc>
        <w:tc>
          <w:tcPr>
            <w:tcW w:w="1503" w:type="dxa"/>
          </w:tcPr>
          <w:p w14:paraId="663DBF2D">
            <w:r>
              <w:rPr>
                <w:rFonts w:hint="eastAsia"/>
              </w:rPr>
              <w:t>35%</w:t>
            </w:r>
          </w:p>
        </w:tc>
      </w:tr>
      <w:tr w14:paraId="347B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45" w:type="dxa"/>
          </w:tcPr>
          <w:p w14:paraId="7D75D6CF">
            <w:r>
              <w:rPr>
                <w:rFonts w:hint="eastAsia"/>
              </w:rPr>
              <w:t>重点项目</w:t>
            </w:r>
          </w:p>
        </w:tc>
        <w:tc>
          <w:tcPr>
            <w:tcW w:w="1181" w:type="dxa"/>
          </w:tcPr>
          <w:p w14:paraId="5837E977">
            <w:r>
              <w:rPr>
                <w:rFonts w:hint="eastAsia"/>
              </w:rPr>
              <w:t>480个</w:t>
            </w:r>
          </w:p>
        </w:tc>
        <w:tc>
          <w:tcPr>
            <w:tcW w:w="1333" w:type="dxa"/>
          </w:tcPr>
          <w:p w14:paraId="1C66CE3E">
            <w:r>
              <w:rPr>
                <w:rFonts w:hint="eastAsia"/>
              </w:rPr>
              <w:t>550个</w:t>
            </w:r>
          </w:p>
        </w:tc>
        <w:tc>
          <w:tcPr>
            <w:tcW w:w="1655" w:type="dxa"/>
          </w:tcPr>
          <w:p w14:paraId="0EE2D360">
            <w:r>
              <w:rPr>
                <w:rFonts w:hint="eastAsia"/>
              </w:rPr>
              <w:t>500个</w:t>
            </w:r>
          </w:p>
        </w:tc>
        <w:tc>
          <w:tcPr>
            <w:tcW w:w="1503" w:type="dxa"/>
          </w:tcPr>
          <w:p w14:paraId="78D8FD17">
            <w:r>
              <w:rPr>
                <w:rFonts w:hint="eastAsia"/>
              </w:rPr>
              <w:t>330</w:t>
            </w:r>
          </w:p>
        </w:tc>
      </w:tr>
      <w:tr w14:paraId="6D49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345" w:type="dxa"/>
          </w:tcPr>
          <w:p w14:paraId="3AC79358">
            <w:r>
              <w:rPr>
                <w:rFonts w:hint="eastAsia"/>
              </w:rPr>
              <w:t>重点项目投资额</w:t>
            </w:r>
          </w:p>
        </w:tc>
        <w:tc>
          <w:tcPr>
            <w:tcW w:w="1181" w:type="dxa"/>
          </w:tcPr>
          <w:p w14:paraId="3EE8B213">
            <w:r>
              <w:rPr>
                <w:rFonts w:hint="eastAsia"/>
              </w:rPr>
              <w:t>1046亿元</w:t>
            </w:r>
          </w:p>
        </w:tc>
        <w:tc>
          <w:tcPr>
            <w:tcW w:w="1333" w:type="dxa"/>
          </w:tcPr>
          <w:p w14:paraId="31C5AD69">
            <w:r>
              <w:rPr>
                <w:rFonts w:hint="eastAsia"/>
              </w:rPr>
              <w:t>1150亿元</w:t>
            </w:r>
          </w:p>
        </w:tc>
        <w:tc>
          <w:tcPr>
            <w:tcW w:w="1655" w:type="dxa"/>
          </w:tcPr>
          <w:p w14:paraId="370B147C">
            <w:r>
              <w:rPr>
                <w:rFonts w:hint="eastAsia"/>
              </w:rPr>
              <w:t>1187．4亿元</w:t>
            </w:r>
          </w:p>
        </w:tc>
        <w:tc>
          <w:tcPr>
            <w:tcW w:w="1503" w:type="dxa"/>
          </w:tcPr>
          <w:p w14:paraId="693AB36F">
            <w:r>
              <w:rPr>
                <w:rFonts w:hint="eastAsia"/>
              </w:rPr>
              <w:t>719.9亿元</w:t>
            </w:r>
          </w:p>
        </w:tc>
      </w:tr>
    </w:tbl>
    <w:p w14:paraId="3AAE4344">
      <w:pPr>
        <w:ind w:firstLine="420" w:firstLineChars="200"/>
      </w:pPr>
      <w:r>
        <w:rPr>
          <w:rFonts w:hint="eastAsia"/>
        </w:rPr>
        <w:t>2.产出质量得11.57分（共13分）</w:t>
      </w:r>
    </w:p>
    <w:p w14:paraId="23F21C9B">
      <w:pPr>
        <w:ind w:firstLine="420" w:firstLineChars="200"/>
      </w:pPr>
      <w:r>
        <w:rPr>
          <w:rFonts w:hint="eastAsia"/>
        </w:rPr>
        <w:t>（1）重点项目计划进度完成率得5.57分（满分7分）</w:t>
      </w:r>
    </w:p>
    <w:p w14:paraId="3AA6A409">
      <w:pPr>
        <w:ind w:firstLine="420" w:firstLineChars="200"/>
      </w:pPr>
      <w:r>
        <w:rPr>
          <w:rFonts w:hint="eastAsia"/>
        </w:rPr>
        <w:t>经评价小组核查，比照2020年度重点项目进度目标，具体完成情况如下：</w:t>
      </w:r>
    </w:p>
    <w:p w14:paraId="376BE3D8">
      <w:pPr>
        <w:ind w:firstLine="420" w:firstLineChars="200"/>
      </w:pPr>
      <w:r>
        <w:rPr>
          <w:rFonts w:hint="eastAsia"/>
        </w:rPr>
        <w:t>促开工：莆田第一中学新度校区建设工程属于2019年重点项目在建工程，建设年限为2020-2022年，总投资138644万元，至2019年底已投资29749万元，2020年投资为0万元，计划开工为2020年6月。该项目一直处于“方案等待确认”状态。《关于申请审批莆田第一中学新度校区建设工程初步设计及概算的请示》（莆一中校字〔2021〕9号）于2021年4月得到莆田市发展和改革委员会关于莆田第一中学新度校区建设工程可行性研究报告调整的批复（莆发改审〔2021〕1号）福建蓝建科技电子电路工业园项目（上年度预备项目）已流产。合计100个促开工项目中，如期及提开工的有72个，未开工28个，计划进度完成率为72%。</w:t>
      </w:r>
    </w:p>
    <w:p w14:paraId="43420528">
      <w:pPr>
        <w:ind w:firstLine="420" w:firstLineChars="200"/>
      </w:pPr>
      <w:r>
        <w:rPr>
          <w:rFonts w:hint="eastAsia"/>
        </w:rPr>
        <w:t>促竣工：寿康养老院至去年年底并未投入使用，但2020年市重点项目12月进度汇总表却显示如期竣工。万佳鸿公司厂房建设项目2020年底处于设备采购进度，未达到设备安装完毕投入使用计划。城厢区建筑业企业总部至2020年底空调未按照完毕，未如期竣工。未如期竣工的项目还有：华峰绿色纤维工业园、纵三线仙游段、福建福英泰科技有限公司一期项目、万佳机车配件二期项目、联十一线仙游段、南日岛海上风电场一期项目、平海湾海上风电场二期项目、荔城区工美文化产业园黄石安置区、百寿康养老院、涵港大道仕方桥至惠下路段项目等，未如期竣工共13个。涵港大道仕方桥至惠下路段项目实际竣工时间不详。合计100个促竣工项目中，如期即提前竣工的项目有87个，计划进度完成率为87%。</w:t>
      </w:r>
    </w:p>
    <w:p w14:paraId="69FC886C">
      <w:pPr>
        <w:ind w:firstLine="420" w:firstLineChars="200"/>
      </w:pPr>
      <w:r>
        <w:rPr>
          <w:rFonts w:hint="eastAsia"/>
        </w:rPr>
        <w:t>促进度项目：莆田华锦纺织生产项目、秀屿区无醛木业、城厢区木兰溪生态全流域治理提升及旅游工程（城厢段）、莆田秀屿区快递·电商园、秀屿区冰雪世界换冷站、涵江区国恒医药产业园、仙游顺兴红木园、上塘银都产业园、仙游大老古增资扩产技改项目、太阳树原料药研发基地项目、喜来登酒店、莆田凯茂智能终端电子产品盖板玻璃及车载中控玻璃精加工项目、莆田木兰溪防洪工程华亭白塘段、莆田市涵江临港产业园防洪排涝（江口堤内）工程、莆田欧中种源生态谷项目、兴化港区涵江作业区1～3#泊位及进港航道工程、联二线（涵江境）大洋霞洋至庄边黄洋段工程、荔城壶公路一期安置区（东郊项目已暂停）等共18个项目未按进度如期推进。合计100个促进度项目中，如期及提前完成的项目有82个，计划进度完成率为82%。</w:t>
      </w:r>
    </w:p>
    <w:p w14:paraId="367223E9">
      <w:pPr>
        <w:ind w:firstLine="420" w:firstLineChars="200"/>
      </w:pPr>
      <w:r>
        <w:rPr>
          <w:rFonts w:hint="eastAsia"/>
        </w:rPr>
        <w:t>本项指标总分7分，得分为5.57分。</w:t>
      </w:r>
    </w:p>
    <w:p w14:paraId="30A35775">
      <w:pPr>
        <w:ind w:firstLine="420" w:firstLineChars="200"/>
      </w:pPr>
      <w:r>
        <w:rPr>
          <w:rFonts w:hint="eastAsia"/>
        </w:rPr>
        <w:t>（2）2020年度投资额完成率得6分（满分6分）</w:t>
      </w:r>
    </w:p>
    <w:p w14:paraId="683C0602">
      <w:pPr>
        <w:ind w:firstLine="420" w:firstLineChars="200"/>
      </w:pPr>
      <w:r>
        <w:rPr>
          <w:rFonts w:hint="eastAsia"/>
        </w:rPr>
        <w:t>2020年，100个促开工项目总投资1162.5亿元，年度计划投资159.8亿元，1-12月完成投资143.8亿元，占年度投资计划的90.0%。大唐5G产业东南总部基地、恒达机电、城厢区光电子产业园、碱性檬肽素及牛樟芝项目、仙游仙港电子信息厂房建设、仙游城乡供水一体化、顶墩下黄棚户区改造、莆田市老年文体教育中心等项目实现开工。100个促竣工项目总投资1015.2亿元，年度计划投资199.7亿元，1-12月完成投资239.8亿元，占年度投资计划的120.1%。长城华兴玻璃、仙游3C产业园、华峰生态科技产业园、瑞仕国际潜力少年综合中心、滨溪北路、仙游六馆、仙游惠民中西医结合医院等项目实现竣工（含部分建成）。100个促进度项目总投资1997.6亿元，年度计划投资360.4亿元，1-12月完成投资405.2亿元，占年度投资计划的112.4%。新建福厦铁路莆田段、三棵树涂料系列产品生产项目、华锦纺织、妈祖国际健康城等71个项目投资完成超亿元。30个促前期项目总投资824亿元。沈海高速公路福厦段扩容二期工程福州江阴至泉州惠安段工程莆田段、妈祖健康城医疗教育基地等11个项目前期工作取得阶段性成果。2020年度计划500个重点项目完成投资719.9亿元，2020年实际安排330个项目，1-12月完成投资额788.8亿元。2020年度投资额完成率为106.43%。本项指标总分6分，得分为6分。</w:t>
      </w:r>
    </w:p>
    <w:p w14:paraId="3D0A5415">
      <w:pPr>
        <w:ind w:firstLine="420" w:firstLineChars="200"/>
      </w:pPr>
      <w:bookmarkStart w:id="530" w:name="_Toc84000073"/>
      <w:r>
        <w:rPr>
          <w:rFonts w:hint="eastAsia"/>
        </w:rPr>
        <w:t>（四）项目效益得30.9分（共35分）</w:t>
      </w:r>
      <w:bookmarkEnd w:id="530"/>
    </w:p>
    <w:p w14:paraId="0E8963DC">
      <w:pPr>
        <w:ind w:firstLine="420" w:firstLineChars="200"/>
      </w:pPr>
      <w:r>
        <w:rPr>
          <w:rFonts w:hint="eastAsia"/>
        </w:rPr>
        <w:t>一级指标“项目效益”下设“经济效益”、“社会效益”、“生态环境效益”、“可持续发展效益”、“服务对象满意度”五个二级指标。</w:t>
      </w:r>
    </w:p>
    <w:p w14:paraId="569ADDA5">
      <w:pPr>
        <w:ind w:firstLine="420" w:firstLineChars="200"/>
      </w:pPr>
      <w:r>
        <w:rPr>
          <w:rFonts w:hint="eastAsia"/>
        </w:rPr>
        <w:t>1.经济效益得10.2分（共14分）</w:t>
      </w:r>
    </w:p>
    <w:p w14:paraId="14C3C3C7">
      <w:pPr>
        <w:ind w:firstLine="420" w:firstLineChars="200"/>
      </w:pPr>
      <w:r>
        <w:rPr>
          <w:rFonts w:hint="eastAsia"/>
        </w:rPr>
        <w:t>（1）固定资产投资同比增长率得3.2分（满分7分）</w:t>
      </w:r>
    </w:p>
    <w:p w14:paraId="78631BF0">
      <w:pPr>
        <w:ind w:firstLine="420" w:firstLineChars="200"/>
      </w:pPr>
      <w:r>
        <w:rPr>
          <w:rFonts w:hint="eastAsia"/>
        </w:rPr>
        <w:t>2020年，受新冠肺炎疫情和在库项目存续不足双重影响下，全市固定资产投资同比下降幅度较大，固定资产投资增长率为-2.3%，同年福建省固定资产投资增长率-0.4%。本项指标总分7分，得分为3.2分。</w:t>
      </w:r>
    </w:p>
    <w:p w14:paraId="1F9731F8">
      <w:pPr>
        <w:ind w:firstLine="420" w:firstLineChars="200"/>
      </w:pPr>
      <w:r>
        <w:rPr>
          <w:rFonts w:hint="eastAsia"/>
        </w:rPr>
        <w:t>（2）拉动GDP增长率得7分（满分7分）</w:t>
      </w:r>
    </w:p>
    <w:p w14:paraId="4ECD8082">
      <w:pPr>
        <w:ind w:firstLine="420" w:firstLineChars="200"/>
      </w:pPr>
      <w:r>
        <w:rPr>
          <w:rFonts w:hint="eastAsia"/>
        </w:rPr>
        <w:t>2020年全市实现生产总值2643.97亿元，增长3.3%，同年，全省实现生产总值43903.89亿元，增长3.3%。本项指标总分7分，得分为7分。</w:t>
      </w:r>
    </w:p>
    <w:p w14:paraId="5D2EFB96">
      <w:pPr>
        <w:ind w:firstLine="420" w:firstLineChars="200"/>
      </w:pPr>
      <w:r>
        <w:rPr>
          <w:rFonts w:hint="eastAsia"/>
        </w:rPr>
        <w:t>2. 社会效益得6分（满分6分）</w:t>
      </w:r>
    </w:p>
    <w:p w14:paraId="3C7BC3D6">
      <w:pPr>
        <w:ind w:firstLine="420" w:firstLineChars="200"/>
      </w:pPr>
      <w:r>
        <w:rPr>
          <w:rFonts w:hint="eastAsia"/>
        </w:rPr>
        <w:t>二级指标“社会效益”下设“规模以上工业增加值增长率”一个三级指标。</w:t>
      </w:r>
    </w:p>
    <w:p w14:paraId="2E12D55B">
      <w:pPr>
        <w:ind w:firstLine="420" w:firstLineChars="200"/>
      </w:pPr>
      <w:r>
        <w:rPr>
          <w:rFonts w:hint="eastAsia"/>
        </w:rPr>
        <w:t>2020年，全市规模以上工业增加值同比增长2.2 %，同期，福建省全年规模以上工业增加值比上年增长2.0%。本项指标总分6分，得分为6分。</w:t>
      </w:r>
    </w:p>
    <w:p w14:paraId="3BD1BDE7">
      <w:pPr>
        <w:ind w:firstLine="420" w:firstLineChars="200"/>
      </w:pPr>
      <w:r>
        <w:rPr>
          <w:rFonts w:hint="eastAsia"/>
        </w:rPr>
        <w:t>3.生态环境效益得5分（共5分）</w:t>
      </w:r>
    </w:p>
    <w:p w14:paraId="6C4B2108">
      <w:pPr>
        <w:ind w:firstLine="420" w:firstLineChars="200"/>
      </w:pPr>
      <w:r>
        <w:rPr>
          <w:rFonts w:hint="eastAsia"/>
        </w:rPr>
        <w:t>二级指标“生态环境效益”下设“未对生态环境造成影响的项目比”一个三级指标。</w:t>
      </w:r>
    </w:p>
    <w:p w14:paraId="63CB76CC">
      <w:pPr>
        <w:ind w:firstLine="420" w:firstLineChars="200"/>
      </w:pPr>
      <w:r>
        <w:rPr>
          <w:rFonts w:hint="eastAsia"/>
        </w:rPr>
        <w:t>促开工、促竣工、促进度项目在建设过程中均未受到生态环境相关部门投诉。本项指标总分5分，得分为5分。</w:t>
      </w:r>
    </w:p>
    <w:p w14:paraId="7A74BF46">
      <w:pPr>
        <w:ind w:firstLine="420" w:firstLineChars="200"/>
      </w:pPr>
      <w:r>
        <w:rPr>
          <w:rFonts w:hint="eastAsia"/>
        </w:rPr>
        <w:t>4. 可持续效益得4.7（共5分）</w:t>
      </w:r>
    </w:p>
    <w:p w14:paraId="0BFFDCCC">
      <w:pPr>
        <w:ind w:firstLine="420" w:firstLineChars="200"/>
      </w:pPr>
      <w:r>
        <w:rPr>
          <w:rFonts w:hint="eastAsia"/>
        </w:rPr>
        <w:t>二级指标“可持续效益”下设“高质高效完成项目申报及规划编制工作”一个三级指标。</w:t>
      </w:r>
    </w:p>
    <w:p w14:paraId="388AF904">
      <w:pPr>
        <w:ind w:firstLine="420" w:firstLineChars="200"/>
      </w:pPr>
      <w:r>
        <w:rPr>
          <w:rFonts w:hint="eastAsia"/>
        </w:rPr>
        <w:t>项目前期经费支出有利于推进重点项目的前期工作，促进民生类等重点项目尽快落地开工建设。2020年，前期经费项目中：莆田市“十四五”军民融合产业发展专项规划进度比计划稍微延迟。本项指标总分5分，得分为4.7。</w:t>
      </w:r>
    </w:p>
    <w:p w14:paraId="3D6F95FB">
      <w:pPr>
        <w:ind w:firstLine="420" w:firstLineChars="200"/>
      </w:pPr>
      <w:r>
        <w:rPr>
          <w:rFonts w:hint="eastAsia"/>
        </w:rPr>
        <w:t>5. 服务对象满意程度得5分（共5分）</w:t>
      </w:r>
    </w:p>
    <w:p w14:paraId="724BFD6F">
      <w:pPr>
        <w:ind w:firstLine="420" w:firstLineChars="200"/>
      </w:pPr>
      <w:r>
        <w:rPr>
          <w:rFonts w:hint="eastAsia"/>
        </w:rPr>
        <w:t>二级指标“服务对象满意程度”下设“服务对象满意度”一个三级指标。</w:t>
      </w:r>
    </w:p>
    <w:p w14:paraId="1186EC1C">
      <w:pPr>
        <w:ind w:firstLine="420" w:firstLineChars="200"/>
      </w:pPr>
      <w:r>
        <w:rPr>
          <w:rFonts w:hint="eastAsia"/>
        </w:rPr>
        <w:t>经评价小组向前期经费项目单位发放调查问卷18份，剔除2份无效问卷，回收16份有效问卷。表5显示，在16份有效调查问卷中，项目单位对发改委的服务态度、项目申报、项目监督等的评价“非常满意”占100%。本项指标总分5分，得分为5分。</w:t>
      </w:r>
    </w:p>
    <w:p w14:paraId="17EBE5C7">
      <w:pPr>
        <w:ind w:firstLine="420" w:firstLineChars="200"/>
      </w:pPr>
      <w:r>
        <w:rPr>
          <w:rFonts w:hint="eastAsia"/>
        </w:rPr>
        <w:t>表5 调查问卷关于“满意度“统计结果</w:t>
      </w:r>
    </w:p>
    <w:tbl>
      <w:tblPr>
        <w:tblStyle w:val="18"/>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52"/>
        <w:gridCol w:w="1452"/>
        <w:gridCol w:w="1452"/>
        <w:gridCol w:w="1452"/>
        <w:gridCol w:w="1251"/>
      </w:tblGrid>
      <w:tr w14:paraId="5F20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418" w:type="dxa"/>
            <w:tcBorders>
              <w:tl2br w:val="single" w:color="auto" w:sz="4" w:space="0"/>
            </w:tcBorders>
          </w:tcPr>
          <w:p w14:paraId="4436153D">
            <w:pPr>
              <w:ind w:firstLine="420" w:firstLineChars="200"/>
            </w:pPr>
            <w:r>
              <w:rPr>
                <w:rFonts w:hint="eastAsia"/>
              </w:rPr>
              <w:t>评价</w:t>
            </w:r>
          </w:p>
          <w:p w14:paraId="4E61956A">
            <w:pPr>
              <w:ind w:firstLine="420" w:firstLineChars="200"/>
            </w:pPr>
            <w:r>
              <w:rPr>
                <w:rFonts w:hint="eastAsia"/>
              </w:rPr>
              <w:t>项目</w:t>
            </w:r>
          </w:p>
        </w:tc>
        <w:tc>
          <w:tcPr>
            <w:tcW w:w="1452" w:type="dxa"/>
            <w:vAlign w:val="center"/>
          </w:tcPr>
          <w:p w14:paraId="6B91AE9B">
            <w:r>
              <w:rPr>
                <w:rFonts w:hint="eastAsia"/>
              </w:rPr>
              <w:t>非常满意（份）</w:t>
            </w:r>
          </w:p>
        </w:tc>
        <w:tc>
          <w:tcPr>
            <w:tcW w:w="1452" w:type="dxa"/>
            <w:vAlign w:val="center"/>
          </w:tcPr>
          <w:p w14:paraId="3DA755D9">
            <w:r>
              <w:rPr>
                <w:rFonts w:hint="eastAsia"/>
              </w:rPr>
              <w:t>基本满意（份）</w:t>
            </w:r>
          </w:p>
        </w:tc>
        <w:tc>
          <w:tcPr>
            <w:tcW w:w="1452" w:type="dxa"/>
            <w:vAlign w:val="center"/>
          </w:tcPr>
          <w:p w14:paraId="05812297">
            <w:r>
              <w:rPr>
                <w:rFonts w:hint="eastAsia"/>
              </w:rPr>
              <w:t>不满意（份）</w:t>
            </w:r>
          </w:p>
        </w:tc>
        <w:tc>
          <w:tcPr>
            <w:tcW w:w="1452" w:type="dxa"/>
            <w:vAlign w:val="center"/>
          </w:tcPr>
          <w:p w14:paraId="08D9536F">
            <w:r>
              <w:rPr>
                <w:rFonts w:hint="eastAsia"/>
              </w:rPr>
              <w:t>有效问卷总计（份）</w:t>
            </w:r>
          </w:p>
        </w:tc>
        <w:tc>
          <w:tcPr>
            <w:tcW w:w="1251" w:type="dxa"/>
            <w:vAlign w:val="center"/>
          </w:tcPr>
          <w:p w14:paraId="072754FC">
            <w:r>
              <w:rPr>
                <w:rFonts w:hint="eastAsia"/>
              </w:rPr>
              <w:t>满意度</w:t>
            </w:r>
          </w:p>
        </w:tc>
      </w:tr>
      <w:tr w14:paraId="6F15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418" w:type="dxa"/>
          </w:tcPr>
          <w:p w14:paraId="0938E281">
            <w:r>
              <w:rPr>
                <w:rFonts w:hint="eastAsia"/>
              </w:rPr>
              <w:t>服务态度</w:t>
            </w:r>
          </w:p>
        </w:tc>
        <w:tc>
          <w:tcPr>
            <w:tcW w:w="1452" w:type="dxa"/>
          </w:tcPr>
          <w:p w14:paraId="16AC2133">
            <w:r>
              <w:rPr>
                <w:rFonts w:hint="eastAsia"/>
              </w:rPr>
              <w:t>16</w:t>
            </w:r>
          </w:p>
        </w:tc>
        <w:tc>
          <w:tcPr>
            <w:tcW w:w="1452" w:type="dxa"/>
          </w:tcPr>
          <w:p w14:paraId="4100725D">
            <w:r>
              <w:rPr>
                <w:rFonts w:hint="eastAsia"/>
              </w:rPr>
              <w:t>0</w:t>
            </w:r>
          </w:p>
        </w:tc>
        <w:tc>
          <w:tcPr>
            <w:tcW w:w="1452" w:type="dxa"/>
          </w:tcPr>
          <w:p w14:paraId="48C57F80">
            <w:r>
              <w:rPr>
                <w:rFonts w:hint="eastAsia"/>
              </w:rPr>
              <w:t>0</w:t>
            </w:r>
          </w:p>
        </w:tc>
        <w:tc>
          <w:tcPr>
            <w:tcW w:w="1452" w:type="dxa"/>
          </w:tcPr>
          <w:p w14:paraId="51CACEC7">
            <w:r>
              <w:rPr>
                <w:rFonts w:hint="eastAsia"/>
              </w:rPr>
              <w:t>16</w:t>
            </w:r>
          </w:p>
        </w:tc>
        <w:tc>
          <w:tcPr>
            <w:tcW w:w="1251" w:type="dxa"/>
          </w:tcPr>
          <w:p w14:paraId="0565083C">
            <w:r>
              <w:rPr>
                <w:rFonts w:hint="eastAsia"/>
              </w:rPr>
              <w:t>100%</w:t>
            </w:r>
          </w:p>
        </w:tc>
      </w:tr>
      <w:tr w14:paraId="41E0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18" w:type="dxa"/>
          </w:tcPr>
          <w:p w14:paraId="5FBCF535">
            <w:r>
              <w:rPr>
                <w:rFonts w:hint="eastAsia"/>
              </w:rPr>
              <w:t>服务主动性</w:t>
            </w:r>
          </w:p>
        </w:tc>
        <w:tc>
          <w:tcPr>
            <w:tcW w:w="1452" w:type="dxa"/>
          </w:tcPr>
          <w:p w14:paraId="055CEED3">
            <w:r>
              <w:rPr>
                <w:rFonts w:hint="eastAsia"/>
              </w:rPr>
              <w:t>16</w:t>
            </w:r>
          </w:p>
        </w:tc>
        <w:tc>
          <w:tcPr>
            <w:tcW w:w="1452" w:type="dxa"/>
          </w:tcPr>
          <w:p w14:paraId="3DCD2DCE">
            <w:r>
              <w:rPr>
                <w:rFonts w:hint="eastAsia"/>
              </w:rPr>
              <w:t>0</w:t>
            </w:r>
          </w:p>
        </w:tc>
        <w:tc>
          <w:tcPr>
            <w:tcW w:w="1452" w:type="dxa"/>
          </w:tcPr>
          <w:p w14:paraId="7270AED1">
            <w:r>
              <w:rPr>
                <w:rFonts w:hint="eastAsia"/>
              </w:rPr>
              <w:t>0</w:t>
            </w:r>
          </w:p>
        </w:tc>
        <w:tc>
          <w:tcPr>
            <w:tcW w:w="1452" w:type="dxa"/>
          </w:tcPr>
          <w:p w14:paraId="618F11FD">
            <w:r>
              <w:rPr>
                <w:rFonts w:hint="eastAsia"/>
              </w:rPr>
              <w:t>16</w:t>
            </w:r>
          </w:p>
        </w:tc>
        <w:tc>
          <w:tcPr>
            <w:tcW w:w="1251" w:type="dxa"/>
          </w:tcPr>
          <w:p w14:paraId="6EA7D5F6">
            <w:r>
              <w:rPr>
                <w:rFonts w:hint="eastAsia"/>
              </w:rPr>
              <w:t>100%</w:t>
            </w:r>
          </w:p>
        </w:tc>
      </w:tr>
    </w:tbl>
    <w:p w14:paraId="27780478">
      <w:pPr>
        <w:ind w:firstLine="420" w:firstLineChars="200"/>
        <w:outlineLvl w:val="0"/>
      </w:pPr>
      <w:bookmarkStart w:id="531" w:name="_Toc84000074"/>
      <w:bookmarkStart w:id="532" w:name="_Toc6984"/>
      <w:r>
        <w:rPr>
          <w:rFonts w:hint="eastAsia"/>
        </w:rPr>
        <w:t>四、主要经验及做法</w:t>
      </w:r>
      <w:bookmarkEnd w:id="531"/>
      <w:bookmarkEnd w:id="532"/>
    </w:p>
    <w:p w14:paraId="7DF6B9CC">
      <w:pPr>
        <w:ind w:firstLine="420" w:firstLineChars="200"/>
      </w:pPr>
      <w:bookmarkStart w:id="533" w:name="_Toc84000075"/>
      <w:r>
        <w:rPr>
          <w:rFonts w:hint="eastAsia"/>
        </w:rPr>
        <w:t>（一）主管单位管理制度健全</w:t>
      </w:r>
      <w:bookmarkEnd w:id="533"/>
    </w:p>
    <w:p w14:paraId="2E233215">
      <w:pPr>
        <w:ind w:firstLine="420" w:firstLineChars="200"/>
      </w:pPr>
      <w:r>
        <w:rPr>
          <w:rFonts w:hint="eastAsia"/>
        </w:rPr>
        <w:t>在前期经费项目的整个申报与管理过程，莆田市发展与改革委员会制定了比较健全的管理制度。根据市政办《关于加快推进政府性投资项目前期工作的意见》（莆政办[2017]111号），制定《关于印发莆田市市级项目前期工作经费管理办法的通知》（莆发改[2018]70号），明确了经费的使用、管理和监督职责；制定了《2020年莆田市市级项目前期经费申报工作的通知》，该通知明确市级前期经费使用原则、申报范围、申报时间与方式，对前期经费的申报建立了规范的制度要求。在前期经费项目的管理方面，《关于进一步健全“五个一批”项目推进机制的通知（莆委办发〔2016〕11号）》和《关于建立莆田市“五个一批”项目快速协调联席会议制度的通知》（莆政办网传7号）进一步明确了项目推进工作机制，有利于及时帮助协调解决重点项目在推进过程中存在的问题，推进重点项目建设完工。</w:t>
      </w:r>
    </w:p>
    <w:p w14:paraId="1C323BA6">
      <w:pPr>
        <w:ind w:firstLine="420" w:firstLineChars="200"/>
      </w:pPr>
      <w:bookmarkStart w:id="534" w:name="_Toc84000076"/>
      <w:r>
        <w:rPr>
          <w:rFonts w:hint="eastAsia"/>
        </w:rPr>
        <w:t>（二）领导责任落实</w:t>
      </w:r>
      <w:bookmarkEnd w:id="534"/>
    </w:p>
    <w:p w14:paraId="634A81B0">
      <w:pPr>
        <w:ind w:firstLine="420" w:firstLineChars="200"/>
      </w:pPr>
      <w:r>
        <w:rPr>
          <w:rFonts w:hint="eastAsia"/>
        </w:rPr>
        <w:t>莆田市发展与改革委员会推出以市领导任“链长”、人才当助手、部门抓落实的莆田版“链长制”，梳理定位“343”重点产业体系，组建重点产业专项领导小组“作战联盟”和政策研究小组“本土智库”，得到省委主要领导的高度肯定。疫情期间，建立破解项目复工难题“首问责任制”和“限期办结制”，组建“难、硬、重、新”六个工作专班，派遣干部下沉到在建重点项目一线，实施定点“挂号销账”。此种领导责任机制，使领导明确职责，关注重点项目建设情况，及时帮助协调解决问题，推进重点项目顺利完成。</w:t>
      </w:r>
    </w:p>
    <w:p w14:paraId="59D9761F">
      <w:pPr>
        <w:ind w:firstLine="420" w:firstLineChars="200"/>
      </w:pPr>
      <w:bookmarkStart w:id="535" w:name="_Toc84000077"/>
      <w:r>
        <w:rPr>
          <w:rFonts w:hint="eastAsia"/>
        </w:rPr>
        <w:t>（三）协调疏通堵点注重求快</w:t>
      </w:r>
      <w:bookmarkEnd w:id="535"/>
    </w:p>
    <w:p w14:paraId="167AB029">
      <w:pPr>
        <w:ind w:firstLine="420" w:firstLineChars="200"/>
      </w:pPr>
      <w:r>
        <w:rPr>
          <w:rFonts w:hint="eastAsia"/>
        </w:rPr>
        <w:t>改变问题层层把关上报的传统做法，建立有市县区主要领导参与的重点项目推进微信群，吸纳施工单位业主等项目一线参建单位加入，拓宽发现问题渠道，实现问题从基层“一键直通”，力求堵点早察觉；运用“一周一协调”、“半月一调度”“一月一通报”“一季一督查”等多种机制，高频倒逼提高问题解排效率。明确市、县区（管委会）重点办作为重点项目问题受理、处理主体，一般性问题由市、县区（管委会）重点办召集会商，定夺解决，跟紧推动；重大问题由市、县区（管委会）重点办召集会商，拟定解决方案，报送市政府研究解决，力求堵点早“诊疗”。加强对调度会议定事项的跟踪督促落实，实行“一事一档”滚动管理，逐个盘点销号，对当月未整改到位的问题纳入下个月的通报内容，直至整改到位，力求堵点早疏解。</w:t>
      </w:r>
    </w:p>
    <w:p w14:paraId="26CFEEE6">
      <w:pPr>
        <w:ind w:firstLine="420" w:firstLineChars="200"/>
        <w:outlineLvl w:val="0"/>
      </w:pPr>
      <w:bookmarkStart w:id="536" w:name="_Toc4519"/>
      <w:bookmarkStart w:id="537" w:name="_Toc84000078"/>
      <w:r>
        <w:rPr>
          <w:rFonts w:hint="eastAsia"/>
        </w:rPr>
        <w:t>五、存在的问题</w:t>
      </w:r>
      <w:bookmarkEnd w:id="536"/>
      <w:bookmarkEnd w:id="537"/>
    </w:p>
    <w:p w14:paraId="1264D30F">
      <w:pPr>
        <w:ind w:firstLine="420" w:firstLineChars="200"/>
      </w:pPr>
      <w:bookmarkStart w:id="538" w:name="_Toc84000080"/>
      <w:r>
        <w:rPr>
          <w:rFonts w:hint="eastAsia"/>
        </w:rPr>
        <w:t>（一）绩效目标与指标体系设计不切合实际</w:t>
      </w:r>
      <w:bookmarkEnd w:id="538"/>
    </w:p>
    <w:p w14:paraId="1583E1B3">
      <w:pPr>
        <w:ind w:firstLine="420" w:firstLineChars="200"/>
      </w:pPr>
      <w:r>
        <w:rPr>
          <w:rFonts w:hint="eastAsia"/>
        </w:rPr>
        <w:t>一是绩效目标制定为部门整体目标，而非针对项目前期经费资助的项目设计目标，使得后期考核缺乏标准依据。二是绩效指标体系设置不全面，未能从前期经费资助项目带来的经济、社会、生态等综合层面衡量前期经费资助项目带来的效益，真正考核财政资金的。</w:t>
      </w:r>
    </w:p>
    <w:p w14:paraId="1684761A">
      <w:pPr>
        <w:ind w:firstLine="420" w:firstLineChars="200"/>
      </w:pPr>
      <w:bookmarkStart w:id="539" w:name="_Toc84000081"/>
      <w:r>
        <w:rPr>
          <w:rFonts w:hint="eastAsia"/>
        </w:rPr>
        <w:t>（二）资金分配不合理</w:t>
      </w:r>
      <w:bookmarkEnd w:id="539"/>
    </w:p>
    <w:p w14:paraId="66B508FC">
      <w:pPr>
        <w:ind w:firstLine="420" w:firstLineChars="200"/>
      </w:pPr>
      <w:r>
        <w:rPr>
          <w:rFonts w:hint="eastAsia"/>
        </w:rPr>
        <w:t>一是专项资金预算安排与实际需要发生偏差，导致资金闲置。二是资金分配办法不合理。前期经费绝大多数属于规划类项目，是项目开始前的规划研究工作，实际并未发生投资额，因此采用项目法和因素法的办法并不合理。三是预算编制不科学。预算安排与项目实际需要存在偏差。比如莆田市“十四五”军民融合产业发展专项规划资助经费为190万元，其与中标单位中电望辰科技有限公司签订《莆田市“十四五”军民融合产业发展专项》采购合同为80万元，与前期经费偏离20万元，该项目前期经费由于到年底还有60万元未形成实际支出，按规定被收回；市文旅局、市第一医院和市公安局等项目前期经费均未支出，年度均被全额回收。</w:t>
      </w:r>
    </w:p>
    <w:p w14:paraId="14051709">
      <w:pPr>
        <w:ind w:firstLine="420" w:firstLineChars="200"/>
      </w:pPr>
      <w:bookmarkStart w:id="540" w:name="_Toc84000082"/>
      <w:r>
        <w:rPr>
          <w:rFonts w:hint="eastAsia"/>
        </w:rPr>
        <w:t>（三）预算编制不科学</w:t>
      </w:r>
      <w:bookmarkEnd w:id="540"/>
    </w:p>
    <w:p w14:paraId="41DC55F5">
      <w:pPr>
        <w:ind w:firstLine="420" w:firstLineChars="200"/>
      </w:pPr>
      <w:r>
        <w:rPr>
          <w:rFonts w:hint="eastAsia"/>
        </w:rPr>
        <w:t>项目虽然是根据莆委发[2010]7号和莆政办[2017]111号文规定，由市财政每年预算安排4000万元，作为计划内市政、交通、水利、文化、体育、教育、卫生等项目前期工作经费，由市发改委统一管理，统筹安排使用。发改委每年以市政府发文的4000万元作为预算申报前期经费金额，而未能根据莆田市社会经济发展需求和实际情况，科学预算编制。从近两年前期经费资金预算执行情况（见表6）可以看出，前期经费申报预算准确率偏低，说明前期经费项目资金申报金额不合理，缺乏科学的预算。</w:t>
      </w:r>
    </w:p>
    <w:p w14:paraId="7327C75D">
      <w:pPr>
        <w:ind w:firstLine="420" w:firstLineChars="200"/>
      </w:pPr>
      <w:r>
        <w:rPr>
          <w:rFonts w:hint="eastAsia"/>
        </w:rPr>
        <w:t>表6 2019-2020年前期经费资金预算情况表</w:t>
      </w:r>
    </w:p>
    <w:p w14:paraId="5FC4DE87">
      <w:pPr>
        <w:ind w:firstLine="420" w:firstLineChars="200"/>
      </w:pPr>
      <w:r>
        <w:rPr>
          <w:rFonts w:hint="eastAsia"/>
        </w:rPr>
        <w:t>万元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377"/>
        <w:gridCol w:w="1845"/>
        <w:gridCol w:w="1845"/>
        <w:gridCol w:w="1610"/>
      </w:tblGrid>
      <w:tr w14:paraId="5A93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01" w:type="dxa"/>
          </w:tcPr>
          <w:p w14:paraId="6925EC52">
            <w:r>
              <w:rPr>
                <w:rFonts w:hint="eastAsia"/>
              </w:rPr>
              <w:t>年份</w:t>
            </w:r>
          </w:p>
        </w:tc>
        <w:tc>
          <w:tcPr>
            <w:tcW w:w="1377" w:type="dxa"/>
          </w:tcPr>
          <w:p w14:paraId="0983DCDB">
            <w:r>
              <w:rPr>
                <w:rFonts w:hint="eastAsia"/>
              </w:rPr>
              <w:t>预算资金</w:t>
            </w:r>
          </w:p>
        </w:tc>
        <w:tc>
          <w:tcPr>
            <w:tcW w:w="1845" w:type="dxa"/>
          </w:tcPr>
          <w:p w14:paraId="55FFA82B">
            <w:r>
              <w:rPr>
                <w:rFonts w:hint="eastAsia"/>
              </w:rPr>
              <w:t>实际下拨资金</w:t>
            </w:r>
          </w:p>
        </w:tc>
        <w:tc>
          <w:tcPr>
            <w:tcW w:w="1845" w:type="dxa"/>
          </w:tcPr>
          <w:p w14:paraId="61CAE414">
            <w:r>
              <w:rPr>
                <w:rFonts w:hint="eastAsia"/>
              </w:rPr>
              <w:t>年底回收资金</w:t>
            </w:r>
          </w:p>
        </w:tc>
        <w:tc>
          <w:tcPr>
            <w:tcW w:w="1610" w:type="dxa"/>
          </w:tcPr>
          <w:p w14:paraId="7CA53F08">
            <w:r>
              <w:rPr>
                <w:rFonts w:hint="eastAsia"/>
              </w:rPr>
              <w:t>预算准确率</w:t>
            </w:r>
          </w:p>
        </w:tc>
      </w:tr>
      <w:tr w14:paraId="53D7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01" w:type="dxa"/>
          </w:tcPr>
          <w:p w14:paraId="618AD4D6">
            <w:r>
              <w:rPr>
                <w:rFonts w:hint="eastAsia"/>
              </w:rPr>
              <w:t>2019年</w:t>
            </w:r>
          </w:p>
        </w:tc>
        <w:tc>
          <w:tcPr>
            <w:tcW w:w="1377" w:type="dxa"/>
          </w:tcPr>
          <w:p w14:paraId="079C3FEB">
            <w:r>
              <w:rPr>
                <w:rFonts w:hint="eastAsia"/>
              </w:rPr>
              <w:t>4000</w:t>
            </w:r>
          </w:p>
        </w:tc>
        <w:tc>
          <w:tcPr>
            <w:tcW w:w="1845" w:type="dxa"/>
          </w:tcPr>
          <w:p w14:paraId="038F03CC">
            <w:r>
              <w:rPr>
                <w:rFonts w:hint="eastAsia"/>
              </w:rPr>
              <w:t>1300</w:t>
            </w:r>
          </w:p>
        </w:tc>
        <w:tc>
          <w:tcPr>
            <w:tcW w:w="1845" w:type="dxa"/>
          </w:tcPr>
          <w:p w14:paraId="3CBE295B">
            <w:r>
              <w:rPr>
                <w:rFonts w:hint="eastAsia"/>
              </w:rPr>
              <w:t>260.57</w:t>
            </w:r>
          </w:p>
        </w:tc>
        <w:tc>
          <w:tcPr>
            <w:tcW w:w="1610" w:type="dxa"/>
          </w:tcPr>
          <w:p w14:paraId="76EFF754">
            <w:r>
              <w:rPr>
                <w:rFonts w:hint="eastAsia"/>
              </w:rPr>
              <w:t>25.9%</w:t>
            </w:r>
          </w:p>
        </w:tc>
      </w:tr>
      <w:tr w14:paraId="1907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tcPr>
          <w:p w14:paraId="40AF8B3C">
            <w:r>
              <w:rPr>
                <w:rFonts w:hint="eastAsia"/>
              </w:rPr>
              <w:t>2020年</w:t>
            </w:r>
          </w:p>
        </w:tc>
        <w:tc>
          <w:tcPr>
            <w:tcW w:w="1377" w:type="dxa"/>
          </w:tcPr>
          <w:p w14:paraId="557A1EAD">
            <w:r>
              <w:rPr>
                <w:rFonts w:hint="eastAsia"/>
              </w:rPr>
              <w:t>4000</w:t>
            </w:r>
          </w:p>
        </w:tc>
        <w:tc>
          <w:tcPr>
            <w:tcW w:w="1845" w:type="dxa"/>
          </w:tcPr>
          <w:p w14:paraId="2E536FA5">
            <w:r>
              <w:rPr>
                <w:rFonts w:hint="eastAsia"/>
              </w:rPr>
              <w:t>1607.1</w:t>
            </w:r>
          </w:p>
        </w:tc>
        <w:tc>
          <w:tcPr>
            <w:tcW w:w="1845" w:type="dxa"/>
          </w:tcPr>
          <w:p w14:paraId="7A71A80F">
            <w:r>
              <w:rPr>
                <w:rFonts w:hint="eastAsia"/>
              </w:rPr>
              <w:t>584.65</w:t>
            </w:r>
          </w:p>
        </w:tc>
        <w:tc>
          <w:tcPr>
            <w:tcW w:w="1610" w:type="dxa"/>
          </w:tcPr>
          <w:p w14:paraId="25C6587C">
            <w:r>
              <w:rPr>
                <w:rFonts w:hint="eastAsia"/>
              </w:rPr>
              <w:t>25.56%</w:t>
            </w:r>
          </w:p>
        </w:tc>
      </w:tr>
    </w:tbl>
    <w:p w14:paraId="7B0AD406">
      <w:pPr>
        <w:ind w:firstLine="420" w:firstLineChars="200"/>
      </w:pPr>
      <w:bookmarkStart w:id="541" w:name="_Toc84000083"/>
      <w:r>
        <w:rPr>
          <w:rFonts w:hint="eastAsia"/>
        </w:rPr>
        <w:t>（四）制度执行缺乏有效性</w:t>
      </w:r>
      <w:bookmarkEnd w:id="541"/>
    </w:p>
    <w:p w14:paraId="7C727CFD">
      <w:pPr>
        <w:ind w:firstLine="420" w:firstLineChars="200"/>
      </w:pPr>
      <w:r>
        <w:rPr>
          <w:rFonts w:hint="eastAsia"/>
        </w:rPr>
        <w:t>一是业内材料不全且未能及时归档。前期项目协议书、合同书、验收材料等不全，主要原因是未能及时对相应所需的材料按要求收集、审核、归档，未按照《莆田市市级项目前期经费管理办法》制定前期经费使用计划，协议书未明确工作质量要求等。二是前期经费设立后，未按照管理办法实行清单管理，并未主动向社会公开。三是项目所辖县区人民政府（管委会）发改部门或市直主管部门是否履行前期经费检查和评审工作。四是数据信息不够准确。比如绩效目标表中绩效目标是2019年的目标，《2020年发展改革工作报告》制定的2020年度计划不符合常理，2019年实际完成500个项目，但2020年制定的拟安排重点项目是330个，不降反升，且与2020年实际完成数量完全吻合，预算精确性达100%；2020年全市新增对接项目数在《市本级项目前期经费项目简介》和《市发改委2020年工作总结》中数据不一致。</w:t>
      </w:r>
    </w:p>
    <w:p w14:paraId="46113134">
      <w:pPr>
        <w:ind w:firstLine="420" w:firstLineChars="200"/>
      </w:pPr>
      <w:bookmarkStart w:id="542" w:name="_Toc84000084"/>
      <w:r>
        <w:rPr>
          <w:rFonts w:hint="eastAsia"/>
        </w:rPr>
        <w:t>（五）项目监管不到位</w:t>
      </w:r>
      <w:bookmarkEnd w:id="542"/>
    </w:p>
    <w:p w14:paraId="7ADF5260">
      <w:pPr>
        <w:ind w:firstLine="420" w:firstLineChars="200"/>
      </w:pPr>
      <w:r>
        <w:rPr>
          <w:rFonts w:hint="eastAsia"/>
        </w:rPr>
        <w:t>资金管理单位在资金使用的跟踪与监管方面尚有不足，存在“重数量、重拨付，轻质量、轻效益”的问题。一是财务监管不到位。项目前期经费主管部门未能及时跟踪了解项目财务支出情况，未对项目完成过程的财务支出进行监督检查，对2020年已完成的前期经费项目未开展检查评价。二是业务监管不够精准。重点项目每月一报，但未把实际形象进度与项目计划目标进行比照，部分实际完成情况填写不够准确。</w:t>
      </w:r>
    </w:p>
    <w:bookmarkEnd w:id="524"/>
    <w:p w14:paraId="05BA363A">
      <w:pPr>
        <w:ind w:firstLine="420" w:firstLineChars="200"/>
        <w:outlineLvl w:val="0"/>
      </w:pPr>
      <w:bookmarkStart w:id="543" w:name="_Toc84000086"/>
      <w:bookmarkStart w:id="544" w:name="_Toc28854"/>
      <w:bookmarkStart w:id="545" w:name="_Toc47453301"/>
      <w:r>
        <w:rPr>
          <w:rFonts w:hint="eastAsia"/>
        </w:rPr>
        <w:t>六、相关建议</w:t>
      </w:r>
      <w:bookmarkEnd w:id="543"/>
      <w:bookmarkEnd w:id="544"/>
      <w:bookmarkEnd w:id="545"/>
    </w:p>
    <w:p w14:paraId="21726F4F">
      <w:pPr>
        <w:ind w:firstLine="420" w:firstLineChars="200"/>
      </w:pPr>
      <w:bookmarkStart w:id="546" w:name="_Toc84000088"/>
      <w:bookmarkStart w:id="547" w:name="_Toc47453302"/>
      <w:r>
        <w:rPr>
          <w:rFonts w:hint="eastAsia"/>
        </w:rPr>
        <w:t>（一）完善绩效目标及指标体系设计</w:t>
      </w:r>
      <w:bookmarkEnd w:id="546"/>
    </w:p>
    <w:p w14:paraId="0D893A7B">
      <w:pPr>
        <w:ind w:firstLine="420" w:firstLineChars="200"/>
      </w:pPr>
      <w:r>
        <w:rPr>
          <w:rFonts w:hint="eastAsia"/>
        </w:rPr>
        <w:t>绩效目标和绩效指标体系的设计要结合部门实际，以部门制定的年度工作计划为依据，明确绩效目标，具体、量化、具有一定的挑战性，要以省级工作目标为标准，结合我市实际，在参考年度工作总结的基础上，制定明确的可实现的又具有一定挑战性的绩效目标。绩效指标体系设计要全面，涵盖项目的投入、产出与效益，评价依据要详细具体且有根据。</w:t>
      </w:r>
    </w:p>
    <w:p w14:paraId="1DC099F3">
      <w:pPr>
        <w:ind w:firstLine="420" w:firstLineChars="200"/>
      </w:pPr>
      <w:bookmarkStart w:id="548" w:name="_Toc84000089"/>
      <w:r>
        <w:rPr>
          <w:rFonts w:hint="eastAsia"/>
        </w:rPr>
        <w:t>（二）合理确定资金分配</w:t>
      </w:r>
      <w:bookmarkEnd w:id="548"/>
    </w:p>
    <w:p w14:paraId="2B9FDE24">
      <w:pPr>
        <w:ind w:firstLine="420" w:firstLineChars="200"/>
      </w:pPr>
      <w:r>
        <w:rPr>
          <w:rFonts w:hint="eastAsia"/>
        </w:rPr>
        <w:t>及时修订前期经费项目分配办法中已经不适用、不合理之处。预算编制要科学，从促进经济发展或民生工程和财政成本角度出发，结合项目轻重缓急，科学分配，避免资金闲置，提高预算编制的准确性。前期经费项目分配方案审议通过后，要及时进行公示，并对公示期间的意见进行重新审议。</w:t>
      </w:r>
    </w:p>
    <w:p w14:paraId="50932504">
      <w:pPr>
        <w:ind w:firstLine="420" w:firstLineChars="200"/>
      </w:pPr>
      <w:bookmarkStart w:id="549" w:name="_Toc84000090"/>
      <w:r>
        <w:rPr>
          <w:rFonts w:hint="eastAsia"/>
        </w:rPr>
        <w:t>（三）科学编制预算</w:t>
      </w:r>
      <w:bookmarkEnd w:id="549"/>
    </w:p>
    <w:p w14:paraId="49A4BC30">
      <w:pPr>
        <w:ind w:firstLine="420" w:firstLineChars="200"/>
      </w:pPr>
      <w:r>
        <w:rPr>
          <w:rFonts w:hint="eastAsia"/>
        </w:rPr>
        <w:t>预算编制中必须从</w:t>
      </w:r>
      <w:r>
        <w:fldChar w:fldCharType="begin"/>
      </w:r>
      <w:r>
        <w:instrText xml:space="preserve"> HYPERLINK "http://www.so.com/s?q=%E5%85%A8%E5%B1%80&amp;ie=utf-8&amp;src=internal_wenda_recommend_textn" \t "_blank" </w:instrText>
      </w:r>
      <w:r>
        <w:fldChar w:fldCharType="separate"/>
      </w:r>
      <w:r>
        <w:rPr>
          <w:rFonts w:hint="eastAsia"/>
        </w:rPr>
        <w:t>全局</w:t>
      </w:r>
      <w:r>
        <w:rPr>
          <w:rFonts w:hint="eastAsia"/>
        </w:rPr>
        <w:fldChar w:fldCharType="end"/>
      </w:r>
      <w:r>
        <w:rPr>
          <w:rFonts w:hint="eastAsia"/>
        </w:rPr>
        <w:t>出发，</w:t>
      </w:r>
      <w:r>
        <w:fldChar w:fldCharType="begin"/>
      </w:r>
      <w:r>
        <w:instrText xml:space="preserve"> HYPERLINK "http://www.so.com/s?q=%E5%8C%BA%E5%88%AB&amp;ie=utf-8&amp;src=internal_wenda_recommend_textn" \t "_blank" </w:instrText>
      </w:r>
      <w:r>
        <w:fldChar w:fldCharType="separate"/>
      </w:r>
      <w:r>
        <w:rPr>
          <w:rFonts w:hint="eastAsia"/>
        </w:rPr>
        <w:t>区别</w:t>
      </w:r>
      <w:r>
        <w:rPr>
          <w:rFonts w:hint="eastAsia"/>
        </w:rPr>
        <w:fldChar w:fldCharType="end"/>
      </w:r>
      <w:r>
        <w:rPr>
          <w:rFonts w:hint="eastAsia"/>
        </w:rPr>
        <w:t>轻重缓急，保证</w:t>
      </w:r>
      <w:r>
        <w:fldChar w:fldCharType="begin"/>
      </w:r>
      <w:r>
        <w:instrText xml:space="preserve"> HYPERLINK "http://www.so.com/s?q=%E9%87%8D%E7%82%B9&amp;ie=utf-8&amp;src=internal_wenda_recommend_textn" \t "_blank" </w:instrText>
      </w:r>
      <w:r>
        <w:fldChar w:fldCharType="separate"/>
      </w:r>
      <w:r>
        <w:rPr>
          <w:rFonts w:hint="eastAsia"/>
        </w:rPr>
        <w:t>重点</w:t>
      </w:r>
      <w:r>
        <w:rPr>
          <w:rFonts w:hint="eastAsia"/>
        </w:rPr>
        <w:fldChar w:fldCharType="end"/>
      </w:r>
      <w:r>
        <w:rPr>
          <w:rFonts w:hint="eastAsia"/>
        </w:rPr>
        <w:t>，兼顾一般，促进</w:t>
      </w:r>
      <w:r>
        <w:fldChar w:fldCharType="begin"/>
      </w:r>
      <w:r>
        <w:instrText xml:space="preserve"> HYPERLINK "http://www.so.com/s?q=%E5%9B%BD%E6%B0%91%E7%BB%8F%E6%B5%8E&amp;ie=utf-8&amp;src=internal_wenda_recommend_textn" \t "_blank" </w:instrText>
      </w:r>
      <w:r>
        <w:fldChar w:fldCharType="separate"/>
      </w:r>
      <w:r>
        <w:rPr>
          <w:rFonts w:hint="eastAsia"/>
        </w:rPr>
        <w:t>国民经济</w:t>
      </w:r>
      <w:r>
        <w:rPr>
          <w:rFonts w:hint="eastAsia"/>
        </w:rPr>
        <w:fldChar w:fldCharType="end"/>
      </w:r>
      <w:r>
        <w:rPr>
          <w:rFonts w:hint="eastAsia"/>
        </w:rPr>
        <w:t>和各项事业的</w:t>
      </w:r>
      <w:r>
        <w:fldChar w:fldCharType="begin"/>
      </w:r>
      <w:r>
        <w:instrText xml:space="preserve"> HYPERLINK "http://www.so.com/s?q=%E5%8D%8F%E8%B0%83%E5%8F%91%E5%B1%95&amp;ie=utf-8&amp;src=internal_wenda_recommend_textn" \t "_blank" </w:instrText>
      </w:r>
      <w:r>
        <w:fldChar w:fldCharType="separate"/>
      </w:r>
      <w:r>
        <w:rPr>
          <w:rFonts w:hint="eastAsia"/>
        </w:rPr>
        <w:t>协调发展</w:t>
      </w:r>
      <w:r>
        <w:rPr>
          <w:rFonts w:hint="eastAsia"/>
        </w:rPr>
        <w:fldChar w:fldCharType="end"/>
      </w:r>
      <w:r>
        <w:rPr>
          <w:rFonts w:hint="eastAsia"/>
        </w:rPr>
        <w:t>。建议根据莆田市政府规划，结合“五个一批”项目库中项目实施计划与情况，统筹规划，合理安排，科学预算，促进重大项目有序滚动开工，提高财政资金使用效率，提高预算资金的准确性。</w:t>
      </w:r>
    </w:p>
    <w:p w14:paraId="6D1D3C69">
      <w:pPr>
        <w:ind w:firstLine="420" w:firstLineChars="200"/>
      </w:pPr>
      <w:bookmarkStart w:id="550" w:name="_Toc84000091"/>
      <w:r>
        <w:rPr>
          <w:rFonts w:hint="eastAsia"/>
        </w:rPr>
        <w:t>（四）严格落实前期经费管理制度</w:t>
      </w:r>
      <w:bookmarkEnd w:id="550"/>
    </w:p>
    <w:p w14:paraId="4A9A21DC">
      <w:pPr>
        <w:ind w:firstLine="420" w:firstLineChars="200"/>
      </w:pPr>
      <w:r>
        <w:rPr>
          <w:rFonts w:hint="eastAsia"/>
        </w:rPr>
        <w:t>一是前期经费申报材料、立项材料、结项材料、过程监督检查材料等都要规范存档，有利于对前期经费项目的跟踪评估，总结经验与问题，作为之后预算编制、资金分配办法修订的参考依据。二是前期经费设立后，严格按照管理办法实行清单管理，并及时主动向社会公开。三是项目所辖县区人民政府（管委会）发改部门或市直主管部门要认真履行前期经费检查和评审责任。四是提高数据信息的准确性。业内数据关系到评判莆田市经济运行情况的分析、政府工作报告的准确性，有必要对各项数据的准确性进行要求，提高莆田市经济运行分析情况、政府工作报告的可信度与科学性，从而为制定切实可行的经济发展计划提供科学依据。</w:t>
      </w:r>
    </w:p>
    <w:p w14:paraId="6CA054EC">
      <w:pPr>
        <w:ind w:firstLine="420" w:firstLineChars="200"/>
      </w:pPr>
      <w:bookmarkStart w:id="551" w:name="_Toc84000092"/>
      <w:r>
        <w:rPr>
          <w:rFonts w:hint="eastAsia"/>
        </w:rPr>
        <w:t>（五）加强资金拨付后的监管</w:t>
      </w:r>
      <w:bookmarkEnd w:id="551"/>
    </w:p>
    <w:p w14:paraId="5794DB52">
      <w:pPr>
        <w:ind w:firstLine="420" w:firstLineChars="200"/>
      </w:pPr>
      <w:r>
        <w:rPr>
          <w:rFonts w:hint="eastAsia"/>
        </w:rPr>
        <w:t>一是严格执行前期经费管理办法制定的管理职责。前期经费设立后，建立前期经费管理清单，主动向社会公开。前期经费管理清单需明确专项资金的立项依据、执行期限、实施规划、总体绩效目标、资金拼盘、分配办法、支出标准以及资金主管部门和县区政府权责等；二是监督资金使用。及时了解前期经费项目资金支出情况，并对项目单位资金使用情况进行监督，及时监控前期经费项目的资金使用绩效；三是重视第三方绩效评价工作，适当考虑拓展评价主体，把专项资金前期绩效评审、运行过程绩效跟踪评价、事后绩效评价纳入适用第三方评价工作情形，充分利用第三方机构出具的绩效评价结果，将其作为部门预算编制、预算执行调整和决算的参考依据。</w:t>
      </w:r>
    </w:p>
    <w:p w14:paraId="14C75120">
      <w:pPr>
        <w:ind w:firstLine="420" w:firstLineChars="200"/>
      </w:pPr>
      <w:bookmarkStart w:id="552" w:name="_Toc84000093"/>
      <w:r>
        <w:rPr>
          <w:rFonts w:hint="eastAsia"/>
        </w:rPr>
        <w:t>（六）加快专项资金下达与拨付的进度</w:t>
      </w:r>
      <w:bookmarkEnd w:id="552"/>
    </w:p>
    <w:p w14:paraId="35F53CF2">
      <w:pPr>
        <w:ind w:firstLine="420" w:firstLineChars="200"/>
        <w:rPr>
          <w:rFonts w:ascii="宋体" w:hAnsi="宋体" w:eastAsia="宋体" w:cs="宋体"/>
          <w:b/>
          <w:bCs/>
        </w:rPr>
      </w:pPr>
      <w:r>
        <w:rPr>
          <w:rFonts w:hint="eastAsia"/>
        </w:rPr>
        <w:t>多措并举加快前期经费的分配进度，确保前期经费用足用好。一是尽早启动前期经费项目申报程序，尽快推进前期项目资金的分配进度；二是加强沟通对接，及时与财政部门保持联系，掌握资金安排情况，加快推进预算下达和资金分配工作；三是加强对项目单位绩效目标完成情况的评价与考核，以提高前期经费的使用效率。</w:t>
      </w:r>
    </w:p>
    <w:bookmarkEnd w:id="547"/>
    <w:p w14:paraId="31BEE8A5">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69B2B19">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EEFD2C7">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3AEB3F1D">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053B8A1">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771E8011">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69F7068">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714D8028">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0DB77A67">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7632E423">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4DB76860">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AFDB920">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3889AF74">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4286F4D4">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7B68102B">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9B2A2CA">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088ACB38">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5C1E957">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319CC65">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0CB824F8">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43DAE2C">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2B48497">
      <w:pPr>
        <w:pStyle w:val="2"/>
        <w:jc w:val="center"/>
      </w:pPr>
      <w:bookmarkStart w:id="553" w:name="_Toc12976"/>
    </w:p>
    <w:p w14:paraId="41B3A26C">
      <w:pPr>
        <w:pStyle w:val="2"/>
        <w:jc w:val="center"/>
      </w:pPr>
      <w:r>
        <w:rPr>
          <w:rFonts w:hint="eastAsia"/>
        </w:rPr>
        <w:t>莆田市住房和城乡建设局2020年度部门整体支出绩效评价报告</w:t>
      </w:r>
      <w:bookmarkEnd w:id="553"/>
    </w:p>
    <w:p w14:paraId="56C631E4">
      <w:pPr>
        <w:spacing w:line="300" w:lineRule="auto"/>
        <w:ind w:right="21" w:rightChars="10" w:firstLine="480" w:firstLineChars="200"/>
        <w:rPr>
          <w:rFonts w:ascii="宋体" w:hAnsi="宋体" w:cs="宋体"/>
          <w:kern w:val="0"/>
          <w:sz w:val="24"/>
        </w:rPr>
      </w:pPr>
    </w:p>
    <w:p w14:paraId="2AFBE2B1">
      <w:pPr>
        <w:ind w:firstLine="420" w:firstLineChars="200"/>
      </w:pPr>
      <w:r>
        <w:rPr>
          <w:rFonts w:hint="eastAsia"/>
        </w:rPr>
        <w:t>莆田学院财政绩效管理研究中心接受莆田市财政局委托，依据《中华人民共和国预算法》、中共莆田市委、市政府印发的《关于全面实施预算绩效管理的实施意见》（莆委发[2019]2号）和《莆田市市级财政预算绩效评价管理暂行办法》（莆财绩[2019]11号）的要求，对莆田市住房和城乡建设局2020年度部门整体支出进行绩效评价。通过实地调研、收集、整理、汇总和分析相关绩效评价资料，对照评价指标和标准进行评议与打分，编写了莆田市住房和城乡建设局2020年度部门整体支出绩效评价报告。</w:t>
      </w:r>
    </w:p>
    <w:p w14:paraId="2D4E0125">
      <w:pPr>
        <w:ind w:firstLine="420" w:firstLineChars="200"/>
      </w:pPr>
      <w:r>
        <w:rPr>
          <w:rFonts w:hint="eastAsia"/>
        </w:rPr>
        <w:t>本研究中心对莆田市住房和城乡建设局2020年度部门整体支出情况实施了第三方绩效评价。经综合评价，该部门绩效评价得分为91.8分，绩效等级为“优秀”。</w:t>
      </w:r>
    </w:p>
    <w:p w14:paraId="74984DA8">
      <w:pPr>
        <w:ind w:firstLine="420" w:firstLineChars="200"/>
      </w:pPr>
      <w:bookmarkStart w:id="554" w:name="_Toc20155"/>
      <w:r>
        <w:rPr>
          <w:rFonts w:hint="eastAsia"/>
        </w:rPr>
        <w:t>部门基本概况</w:t>
      </w:r>
      <w:bookmarkEnd w:id="554"/>
    </w:p>
    <w:p w14:paraId="3EA88F3C">
      <w:pPr>
        <w:ind w:firstLine="420" w:firstLineChars="200"/>
      </w:pPr>
      <w:bookmarkStart w:id="555" w:name="_Toc20357"/>
      <w:r>
        <w:rPr>
          <w:rFonts w:hint="eastAsia"/>
        </w:rPr>
        <w:t>部门职责与机构设置</w:t>
      </w:r>
      <w:bookmarkEnd w:id="555"/>
    </w:p>
    <w:p w14:paraId="236ACD53">
      <w:pPr>
        <w:ind w:firstLine="420" w:firstLineChars="200"/>
        <w:outlineLvl w:val="0"/>
      </w:pPr>
      <w:bookmarkStart w:id="556" w:name="_Toc7743"/>
      <w:r>
        <w:rPr>
          <w:rFonts w:hint="eastAsia"/>
        </w:rPr>
        <w:t>1.部门职责</w:t>
      </w:r>
      <w:bookmarkEnd w:id="556"/>
    </w:p>
    <w:p w14:paraId="5D228687">
      <w:pPr>
        <w:ind w:firstLine="420" w:firstLineChars="200"/>
      </w:pPr>
      <w:r>
        <w:rPr>
          <w:rFonts w:hint="eastAsia"/>
        </w:rPr>
        <w:t>莆田市住房和城乡建设局是市政府工作部门,机构规格为正处级。根据《莆田市住房和城乡建设局职能配置、内设机构和人员编制规定》（莆委办发[2019]35号），莆田市住房和城乡建设局的主要职能是：</w:t>
      </w:r>
    </w:p>
    <w:p w14:paraId="2FC9F2CB">
      <w:pPr>
        <w:ind w:firstLine="420" w:firstLineChars="200"/>
      </w:pPr>
      <w:r>
        <w:rPr>
          <w:rFonts w:hint="eastAsia"/>
        </w:rPr>
        <w:t>（1）贯彻执行国家、省有关住房和城乡建设、人民防空的法律、法规、规章和政策，规范全市住房和城乡建设、人民防空管理秩序；起草并组织实施住房和城乡建设、人民防空地方规范性文件、政策，拟订全市住房和城乡建设、人民防空发展规划；负责住房和城乡建设行政审核审批工作；指导和管理全市部分住房和城乡建设、人民防空行政执法；研究提出住房和城乡建设重大问题的政策建议；推进全市住房和城乡建设信用体系建设工作。</w:t>
      </w:r>
    </w:p>
    <w:p w14:paraId="6569B545">
      <w:pPr>
        <w:ind w:firstLine="420" w:firstLineChars="200"/>
      </w:pPr>
      <w:r>
        <w:rPr>
          <w:rFonts w:hint="eastAsia"/>
        </w:rPr>
        <w:t>（2）拟订全市住房政策，指导全市住房建设和住房制度改革工作；完善城镇住房制度改革实施方案和配套政策并督促和指导县（区、管委会）组织实施；负责全市政策性住房上市、审核和核查等相关工作，协助市清理住房领导小组制定政策性住房相关管理规定。</w:t>
      </w:r>
    </w:p>
    <w:p w14:paraId="120E4A07">
      <w:pPr>
        <w:ind w:firstLine="420" w:firstLineChars="200"/>
      </w:pPr>
      <w:r>
        <w:rPr>
          <w:rFonts w:hint="eastAsia"/>
        </w:rPr>
        <w:t>（3）会同有关部门拟订全市房地产业发展规划和产业政策；制定房地产市场监管措施并监督执行；指导城镇土地使用权有偿转让和开发利用工作；制定房地产开发经营、房地产中介、危房管理、国有土地上房屋征收的管理制度并监督执行；会同有关部门管理和发布全市房地产开发经营、市场形势等信息；负责房屋交易行业管理；受托管理城市规划区内国有土地上房屋拆迁安置工作。</w:t>
      </w:r>
    </w:p>
    <w:p w14:paraId="72102460">
      <w:pPr>
        <w:ind w:firstLine="420" w:firstLineChars="200"/>
      </w:pPr>
      <w:r>
        <w:rPr>
          <w:rFonts w:hint="eastAsia"/>
        </w:rPr>
        <w:t>（4）建立和完善住房保障制度；拟订全市住房保障相关政策并组织实施；拟订全市城镇住房保障、棚户区改造中长期发展规划和年度计划并监督实施；拟订全市各类保障性住房规划及政策，协调有关部门做好中央、省、市有关保障性安居工程资金安排有关事项；指导和监督县（区、管委会）组织实施。</w:t>
      </w:r>
    </w:p>
    <w:p w14:paraId="0B78AF4D">
      <w:pPr>
        <w:ind w:firstLine="420" w:firstLineChars="200"/>
      </w:pPr>
      <w:r>
        <w:rPr>
          <w:rFonts w:hint="eastAsia"/>
        </w:rPr>
        <w:t xml:space="preserve">（5）参与全市城市规划、村镇规划、开发区规划、工业园区规划以及城市雕塑工作；参与城镇体系规划、城市总体规划、专项规划以及详细规划、控制性规划、城市设计等各阶段规划的审查、报批工作；参与历史文化名城相关的审查、报批工作。 </w:t>
      </w:r>
    </w:p>
    <w:p w14:paraId="106B342B">
      <w:pPr>
        <w:ind w:firstLine="420" w:firstLineChars="200"/>
      </w:pPr>
      <w:r>
        <w:rPr>
          <w:rFonts w:hint="eastAsia"/>
        </w:rPr>
        <w:t>（6）负责城市建设，拟订全市城市建设发展计划和政策，并组织实施；指导组织市政公用工程建设; 指导组织园林绿化规划、建设、管养；负责城市供水、城市节水、排污、园林绿化和城市建设档案等行业工作。</w:t>
      </w:r>
    </w:p>
    <w:p w14:paraId="76EB4F65">
      <w:pPr>
        <w:ind w:firstLine="420" w:firstLineChars="200"/>
      </w:pPr>
      <w:r>
        <w:rPr>
          <w:rFonts w:hint="eastAsia"/>
        </w:rPr>
        <w:t xml:space="preserve">（7）指导全市村镇建设管理以及村镇建设试点有关工作；指导加强农村建筑风貌引导；参与乡村振兴战略、农村人居环境改善以及历史文化名镇名村保护和监督管理工作；指导农村住房建设、住房安全、危房改造工作。                                                                                                  </w:t>
      </w:r>
    </w:p>
    <w:p w14:paraId="320FE984">
      <w:pPr>
        <w:ind w:firstLine="420" w:firstLineChars="200"/>
      </w:pPr>
      <w:r>
        <w:rPr>
          <w:rFonts w:hint="eastAsia"/>
        </w:rPr>
        <w:t>（8）组织贯彻实施国家、省工程建设行业规范、规程、标准设计；指导和管理新型建筑材料和散装水泥发展工作；指导和管理建设工程造价工作；组织编制并会同有关部门管理全市建设工程估算指标、概（预）算定额、工程费用定额、工程劳动定额、工期定额工作，组织发布工程造价信息。</w:t>
      </w:r>
    </w:p>
    <w:p w14:paraId="0ABBF17F">
      <w:pPr>
        <w:ind w:firstLine="420" w:firstLineChars="200"/>
      </w:pPr>
      <w:r>
        <w:rPr>
          <w:rFonts w:hint="eastAsia"/>
        </w:rPr>
        <w:t>（9）指导和管理全市建筑市场，规范建筑市场各方主体行为；负责全市勘察设计咨询、建筑施工、工程监理的行业管理；指导和管理全市有形建筑市场；指导和监督全市房屋建筑和市政基础设施工程的招标投标活动；指导和管理全市工程建设监理工作；指导和管理全市建设工程的施工图设计文件审批、施工许可证发放工作。</w:t>
      </w:r>
    </w:p>
    <w:p w14:paraId="73A014B6">
      <w:pPr>
        <w:ind w:firstLine="420" w:firstLineChars="200"/>
      </w:pPr>
      <w:r>
        <w:rPr>
          <w:rFonts w:hint="eastAsia"/>
        </w:rPr>
        <w:t>（10）指导和管理全市建筑工程和市政公用设施建设质量安全监管工作，拟定建筑工程质量、建设监理、建筑安全生产和竣工验收备案的政策、规章制度并监督执行；组织或参与重大工程质量、安全事故的调查处理；指导和管理房屋建筑和市政公用设施工程的抗震设防工作；推进全市建筑节能城镇减排工作，组织指导重大建筑节能项目，推进城镇生活减排。</w:t>
      </w:r>
    </w:p>
    <w:p w14:paraId="30C689E4">
      <w:pPr>
        <w:ind w:firstLine="420" w:firstLineChars="200"/>
      </w:pPr>
      <w:r>
        <w:rPr>
          <w:rFonts w:hint="eastAsia"/>
        </w:rPr>
        <w:t>（11）负责指导、管理全市建设工程消防设计审查和验收工作；牵头协调化工建设工程质量监督管理，负责指导管理化工建设工程项目涉及的建筑安装工程（含土建、建筑电气、暖通、通风、给排水）的质量管理、</w:t>
      </w:r>
    </w:p>
    <w:p w14:paraId="00964FC1">
      <w:pPr>
        <w:ind w:firstLine="420" w:firstLineChars="200"/>
      </w:pPr>
      <w:r>
        <w:rPr>
          <w:rFonts w:hint="eastAsia"/>
        </w:rPr>
        <w:t>（12）开展住房和城乡建设方面的对外交流与合作，组织协调建设企业参与国际工程承包和建筑劳务合作。</w:t>
      </w:r>
    </w:p>
    <w:p w14:paraId="0B4E23E5">
      <w:pPr>
        <w:ind w:firstLine="420" w:firstLineChars="200"/>
      </w:pPr>
      <w:r>
        <w:rPr>
          <w:rFonts w:hint="eastAsia"/>
        </w:rPr>
        <w:t>（13）协调组织人民防空指挥工作和战时开展城市人民防空袭斗争，协助指导消除空袭后果行动；组织制订全市各级防空袭方案并组织演习；组织建设防空警报网并开展试鸣工作；制订全市人民防空通信、警报、疏散基地建设规划并牵头实施，协调指导重要经济目标防护工作；指导和管理人民防空工程建设、工程维护管理和平时开发利用工作；监督检查城市地下空间开发建设落实人民防空要求；负责全市人民防空宣传、教育、培训工作；协助有关部门做好平时抢险救灾和应急救援工作。</w:t>
      </w:r>
    </w:p>
    <w:p w14:paraId="493A0FEB">
      <w:pPr>
        <w:ind w:firstLine="420" w:firstLineChars="200"/>
      </w:pPr>
      <w:r>
        <w:rPr>
          <w:rFonts w:hint="eastAsia"/>
        </w:rPr>
        <w:t>（14）制定全市住房和城乡建设行业人才教育培训计划并组织实施；负责全市住房和城乡建设行业专业技术资格评审工作；负责组织实施住房和城乡建设行业职业标准和执业资格标准；管理局机关和直属单位的人事、机构编制等工作。</w:t>
      </w:r>
    </w:p>
    <w:p w14:paraId="62540A67">
      <w:pPr>
        <w:ind w:firstLine="420" w:firstLineChars="200"/>
      </w:pPr>
      <w:r>
        <w:rPr>
          <w:rFonts w:hint="eastAsia"/>
        </w:rPr>
        <w:t>（15）承办市政府、莆田军分区交办的其他事项。</w:t>
      </w:r>
    </w:p>
    <w:p w14:paraId="5E691373">
      <w:pPr>
        <w:ind w:firstLine="420" w:firstLineChars="200"/>
        <w:outlineLvl w:val="0"/>
      </w:pPr>
      <w:bookmarkStart w:id="557" w:name="_Toc6735"/>
      <w:r>
        <w:rPr>
          <w:rFonts w:hint="eastAsia"/>
        </w:rPr>
        <w:t>2.机构设置与人员编制</w:t>
      </w:r>
      <w:bookmarkEnd w:id="557"/>
    </w:p>
    <w:p w14:paraId="3F3D1B4E">
      <w:pPr>
        <w:ind w:firstLine="420" w:firstLineChars="200"/>
      </w:pPr>
      <w:r>
        <w:rPr>
          <w:rFonts w:hint="eastAsia"/>
        </w:rPr>
        <w:t>莆田市住房和城乡建设局内设15个科室，核定编制36个，其中：行政编制34个，工勤编制2个；现有在编行政人员32人，工勤人员2人。直属事业单位18个(含人防3家)，其中：参公事业单位3个、全额事业单位9个、差额事业单位1个、自收自支事业4个，没有明确1个。编制预算单位有17家，编制预算绩效项目有12家。</w:t>
      </w:r>
    </w:p>
    <w:p w14:paraId="0D49B0F7">
      <w:pPr>
        <w:ind w:firstLine="420" w:firstLineChars="200"/>
      </w:pPr>
      <w:bookmarkStart w:id="558" w:name="_Toc4359"/>
      <w:r>
        <w:rPr>
          <w:rFonts w:hint="eastAsia"/>
        </w:rPr>
        <w:t>部门整体支出绩效目标</w:t>
      </w:r>
      <w:bookmarkEnd w:id="558"/>
    </w:p>
    <w:p w14:paraId="04923A9C">
      <w:pPr>
        <w:ind w:firstLine="420" w:firstLineChars="200"/>
      </w:pPr>
      <w:r>
        <w:rPr>
          <w:rFonts w:hint="eastAsia"/>
        </w:rPr>
        <w:t>2020年度绩效自评项目27个，部门业务费13个(局本级有2个部门业务费)，发展性项目14个。</w:t>
      </w:r>
    </w:p>
    <w:p w14:paraId="618472B0">
      <w:pPr>
        <w:ind w:firstLine="420" w:firstLineChars="200"/>
        <w:outlineLvl w:val="0"/>
      </w:pPr>
      <w:bookmarkStart w:id="559" w:name="_Toc12370"/>
      <w:r>
        <w:rPr>
          <w:rFonts w:hint="eastAsia"/>
        </w:rPr>
        <w:t>1.整体绩效目标</w:t>
      </w:r>
      <w:bookmarkEnd w:id="559"/>
    </w:p>
    <w:tbl>
      <w:tblPr>
        <w:tblStyle w:val="17"/>
        <w:tblW w:w="0" w:type="auto"/>
        <w:tblInd w:w="0" w:type="dxa"/>
        <w:tblLayout w:type="fixed"/>
        <w:tblCellMar>
          <w:top w:w="0" w:type="dxa"/>
          <w:left w:w="0" w:type="dxa"/>
          <w:bottom w:w="0" w:type="dxa"/>
          <w:right w:w="0" w:type="dxa"/>
        </w:tblCellMar>
      </w:tblPr>
      <w:tblGrid>
        <w:gridCol w:w="630"/>
        <w:gridCol w:w="1219"/>
        <w:gridCol w:w="1490"/>
        <w:gridCol w:w="3791"/>
        <w:gridCol w:w="780"/>
        <w:gridCol w:w="810"/>
      </w:tblGrid>
      <w:tr w14:paraId="7C75BF71">
        <w:tblPrEx>
          <w:tblCellMar>
            <w:top w:w="0" w:type="dxa"/>
            <w:left w:w="0" w:type="dxa"/>
            <w:bottom w:w="0" w:type="dxa"/>
            <w:right w:w="0" w:type="dxa"/>
          </w:tblCellMar>
        </w:tblPrEx>
        <w:trPr>
          <w:trHeight w:val="321" w:hRule="atLeast"/>
        </w:trPr>
        <w:tc>
          <w:tcPr>
            <w:tcW w:w="8720" w:type="dxa"/>
            <w:gridSpan w:val="6"/>
            <w:tcBorders>
              <w:top w:val="nil"/>
              <w:left w:val="nil"/>
              <w:bottom w:val="nil"/>
              <w:right w:val="nil"/>
            </w:tcBorders>
            <w:noWrap/>
            <w:tcMar>
              <w:top w:w="10" w:type="dxa"/>
              <w:left w:w="10" w:type="dxa"/>
              <w:right w:w="10" w:type="dxa"/>
            </w:tcMar>
            <w:vAlign w:val="bottom"/>
          </w:tcPr>
          <w:p w14:paraId="6C763C79">
            <w:r>
              <w:rPr>
                <w:rFonts w:hint="eastAsia"/>
              </w:rPr>
              <w:t>表1   莆田市住房和城乡建设局2020年度部门整体支出绩效目标</w:t>
            </w:r>
          </w:p>
        </w:tc>
      </w:tr>
      <w:tr w14:paraId="1356AEE6">
        <w:tblPrEx>
          <w:tblCellMar>
            <w:top w:w="0" w:type="dxa"/>
            <w:left w:w="0" w:type="dxa"/>
            <w:bottom w:w="0" w:type="dxa"/>
            <w:right w:w="0" w:type="dxa"/>
          </w:tblCellMar>
        </w:tblPrEx>
        <w:trPr>
          <w:trHeight w:val="642" w:hRule="atLeast"/>
        </w:trPr>
        <w:tc>
          <w:tcPr>
            <w:tcW w:w="6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5A6D15">
            <w:r>
              <w:rPr>
                <w:rFonts w:hint="eastAsia"/>
              </w:rPr>
              <w:t>一级指标</w:t>
            </w:r>
          </w:p>
        </w:tc>
        <w:tc>
          <w:tcPr>
            <w:tcW w:w="12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B0DD7A">
            <w:r>
              <w:rPr>
                <w:rFonts w:hint="eastAsia"/>
              </w:rPr>
              <w:t>二级指标</w:t>
            </w:r>
          </w:p>
        </w:tc>
        <w:tc>
          <w:tcPr>
            <w:tcW w:w="149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3C6FAEE">
            <w:r>
              <w:rPr>
                <w:rFonts w:hint="eastAsia"/>
              </w:rPr>
              <w:t>三级指标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6D05E0">
            <w:r>
              <w:rPr>
                <w:rFonts w:hint="eastAsia"/>
              </w:rPr>
              <w:t>指标说明</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E05C4B">
            <w:pPr>
              <w:ind w:firstLine="420" w:firstLineChars="200"/>
            </w:pPr>
            <w:r>
              <w:rPr>
                <w:rFonts w:hint="eastAsia"/>
              </w:rPr>
              <w:t>上年</w:t>
            </w:r>
          </w:p>
          <w:p w14:paraId="431019EF">
            <w:pPr>
              <w:ind w:firstLine="420" w:firstLineChars="200"/>
            </w:pPr>
            <w:r>
              <w:rPr>
                <w:rFonts w:hint="eastAsia"/>
              </w:rPr>
              <w:t>实际值</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F9A5B0">
            <w:pPr>
              <w:ind w:firstLine="420" w:firstLineChars="200"/>
            </w:pPr>
            <w:r>
              <w:rPr>
                <w:rFonts w:hint="eastAsia"/>
              </w:rPr>
              <w:t>本年</w:t>
            </w:r>
          </w:p>
          <w:p w14:paraId="1CB95BF1">
            <w:pPr>
              <w:ind w:firstLine="420" w:firstLineChars="200"/>
            </w:pPr>
            <w:r>
              <w:rPr>
                <w:rFonts w:hint="eastAsia"/>
              </w:rPr>
              <w:t>目标值</w:t>
            </w:r>
          </w:p>
        </w:tc>
      </w:tr>
      <w:tr w14:paraId="57919499">
        <w:tblPrEx>
          <w:tblCellMar>
            <w:top w:w="0" w:type="dxa"/>
            <w:left w:w="0" w:type="dxa"/>
            <w:bottom w:w="0" w:type="dxa"/>
            <w:right w:w="0" w:type="dxa"/>
          </w:tblCellMar>
        </w:tblPrEx>
        <w:trPr>
          <w:trHeight w:val="1011" w:hRule="atLeast"/>
        </w:trPr>
        <w:tc>
          <w:tcPr>
            <w:tcW w:w="6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2A6781">
            <w:r>
              <w:rPr>
                <w:rFonts w:hint="eastAsia"/>
              </w:rPr>
              <w:t>投入</w:t>
            </w:r>
          </w:p>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62A857">
            <w:r>
              <w:rPr>
                <w:rFonts w:hint="eastAsia"/>
              </w:rPr>
              <w:t>预算配置</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4A3A66">
            <w:r>
              <w:rPr>
                <w:rFonts w:hint="eastAsia"/>
              </w:rPr>
              <w:t>在职人员控制率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3E6120">
            <w:r>
              <w:rPr>
                <w:rFonts w:hint="eastAsia"/>
              </w:rPr>
              <w:t>在职人员控制率=（在职人员数/编制数）×100%在职人员数：部门实际在职人数编制数：机构编制部门核定的人员编制数</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9F0A19">
            <w:r>
              <w:rPr>
                <w:rFonts w:hint="eastAsia"/>
              </w:rPr>
              <w:t>94.00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52BE63">
            <w:r>
              <w:rPr>
                <w:rFonts w:hint="eastAsia"/>
              </w:rPr>
              <w:t>91.00</w:t>
            </w:r>
          </w:p>
        </w:tc>
      </w:tr>
      <w:tr w14:paraId="22EF40C8">
        <w:tblPrEx>
          <w:tblCellMar>
            <w:top w:w="0" w:type="dxa"/>
            <w:left w:w="0" w:type="dxa"/>
            <w:bottom w:w="0" w:type="dxa"/>
            <w:right w:w="0" w:type="dxa"/>
          </w:tblCellMar>
        </w:tblPrEx>
        <w:trPr>
          <w:trHeight w:val="90"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D62C18"/>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094AC0"/>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78BB57">
            <w:r>
              <w:rPr>
                <w:rFonts w:hint="eastAsia"/>
              </w:rPr>
              <w:t>“三公经费”变动率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0EC0A8">
            <w:r>
              <w:rPr>
                <w:rFonts w:hint="eastAsia"/>
              </w:rPr>
              <w:t>“三公经费”变动率=[（本年度“三公经费”预算安排数-上年度“三公经费”预算安排数）/上年度“三公经费”预算安排数]×100%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246EFF">
            <w:r>
              <w:rPr>
                <w:rFonts w:hint="eastAsia"/>
              </w:rPr>
              <w:t>-55.63</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EA7BC1">
            <w:r>
              <w:rPr>
                <w:rFonts w:hint="eastAsia"/>
              </w:rPr>
              <w:t>-0.05</w:t>
            </w:r>
          </w:p>
        </w:tc>
      </w:tr>
      <w:tr w14:paraId="28209091">
        <w:tblPrEx>
          <w:tblCellMar>
            <w:top w:w="0" w:type="dxa"/>
            <w:left w:w="0" w:type="dxa"/>
            <w:bottom w:w="0" w:type="dxa"/>
            <w:right w:w="0" w:type="dxa"/>
          </w:tblCellMar>
        </w:tblPrEx>
        <w:trPr>
          <w:trHeight w:val="464" w:hRule="atLeast"/>
        </w:trPr>
        <w:tc>
          <w:tcPr>
            <w:tcW w:w="6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1882E8">
            <w:r>
              <w:rPr>
                <w:rFonts w:hint="eastAsia"/>
              </w:rPr>
              <w:t>过程</w:t>
            </w:r>
          </w:p>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85824E">
            <w:r>
              <w:rPr>
                <w:rFonts w:hint="eastAsia"/>
              </w:rPr>
              <w:t>预算执行</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086ECB">
            <w:r>
              <w:rPr>
                <w:rFonts w:hint="eastAsia"/>
              </w:rPr>
              <w:t>公用经费控制率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01E628">
            <w:r>
              <w:rPr>
                <w:rFonts w:hint="eastAsia"/>
              </w:rPr>
              <w:t>公用经费控制率=（实际支出公用经费总额/预算安排公用经费总额）×100%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E7B7AE">
            <w:r>
              <w:rPr>
                <w:rFonts w:hint="eastAsia"/>
              </w:rPr>
              <w:t>95.00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085BFB">
            <w:r>
              <w:rPr>
                <w:rFonts w:hint="eastAsia"/>
              </w:rPr>
              <w:t>95.00</w:t>
            </w:r>
          </w:p>
        </w:tc>
      </w:tr>
      <w:tr w14:paraId="403D74F8">
        <w:tblPrEx>
          <w:tblCellMar>
            <w:top w:w="0" w:type="dxa"/>
            <w:left w:w="0" w:type="dxa"/>
            <w:bottom w:w="0" w:type="dxa"/>
            <w:right w:w="0" w:type="dxa"/>
          </w:tblCellMar>
        </w:tblPrEx>
        <w:trPr>
          <w:trHeight w:val="825"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091F0E"/>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220E5A"/>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B779B0">
            <w:r>
              <w:rPr>
                <w:rFonts w:hint="eastAsia"/>
              </w:rPr>
              <w:t>“三公经费”控制率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754DD9">
            <w:r>
              <w:rPr>
                <w:rFonts w:hint="eastAsia"/>
              </w:rPr>
              <w:t>“三公经费”控制率=（“三公经费”实际支出数/“三公经费”预算支出控制数）×100%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D3A892">
            <w:r>
              <w:rPr>
                <w:rFonts w:hint="eastAsia"/>
              </w:rPr>
              <w:t>50.00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32A413">
            <w:r>
              <w:rPr>
                <w:rFonts w:hint="eastAsia"/>
              </w:rPr>
              <w:t>85.00</w:t>
            </w:r>
          </w:p>
        </w:tc>
      </w:tr>
      <w:tr w14:paraId="24BAF1B9">
        <w:tblPrEx>
          <w:tblCellMar>
            <w:top w:w="0" w:type="dxa"/>
            <w:left w:w="0" w:type="dxa"/>
            <w:bottom w:w="0" w:type="dxa"/>
            <w:right w:w="0" w:type="dxa"/>
          </w:tblCellMar>
        </w:tblPrEx>
        <w:trPr>
          <w:trHeight w:val="41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58E158"/>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4D74B2"/>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95A5A6">
            <w:r>
              <w:rPr>
                <w:rFonts w:hint="eastAsia"/>
              </w:rPr>
              <w:t>固定资产利用率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C6CF63">
            <w:r>
              <w:rPr>
                <w:rFonts w:hint="eastAsia"/>
              </w:rPr>
              <w:t>固定资产利用率=（实际在用固定资产总额/所有固定资产总额）×100%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5B347D">
            <w:r>
              <w:rPr>
                <w:rFonts w:hint="eastAsia"/>
              </w:rPr>
              <w:t>100.00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0AAEBA">
            <w:r>
              <w:rPr>
                <w:rFonts w:hint="eastAsia"/>
              </w:rPr>
              <w:t>100.00</w:t>
            </w:r>
          </w:p>
        </w:tc>
      </w:tr>
      <w:tr w14:paraId="53598FE9">
        <w:tblPrEx>
          <w:tblCellMar>
            <w:top w:w="0" w:type="dxa"/>
            <w:left w:w="0" w:type="dxa"/>
            <w:bottom w:w="0" w:type="dxa"/>
            <w:right w:w="0" w:type="dxa"/>
          </w:tblCellMar>
        </w:tblPrEx>
        <w:trPr>
          <w:trHeight w:val="50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F4A2F3"/>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3BC69F"/>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563B5F">
            <w:r>
              <w:rPr>
                <w:rFonts w:hint="eastAsia"/>
              </w:rPr>
              <w:t>预算执行率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ABB495">
            <w:r>
              <w:rPr>
                <w:rFonts w:hint="eastAsia"/>
              </w:rPr>
              <w:t>预算执行率=预算实际支出数/（预算总额−本级预算专项转移补助县区）×100%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F0EF10">
            <w:r>
              <w:rPr>
                <w:rFonts w:hint="eastAsia"/>
              </w:rPr>
              <w:t>91.00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3421BD">
            <w:r>
              <w:rPr>
                <w:rFonts w:hint="eastAsia"/>
              </w:rPr>
              <w:t>92.00</w:t>
            </w:r>
          </w:p>
        </w:tc>
      </w:tr>
      <w:tr w14:paraId="5F7C3DC6">
        <w:tblPrEx>
          <w:tblCellMar>
            <w:top w:w="0" w:type="dxa"/>
            <w:left w:w="0" w:type="dxa"/>
            <w:bottom w:w="0" w:type="dxa"/>
            <w:right w:w="0" w:type="dxa"/>
          </w:tblCellMar>
        </w:tblPrEx>
        <w:trPr>
          <w:trHeight w:val="1350" w:hRule="atLeast"/>
        </w:trPr>
        <w:tc>
          <w:tcPr>
            <w:tcW w:w="6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E20680">
            <w:r>
              <w:rPr>
                <w:rFonts w:hint="eastAsia"/>
              </w:rPr>
              <w:t>产出和效益指标</w:t>
            </w:r>
          </w:p>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D84A14">
            <w:r>
              <w:rPr>
                <w:rFonts w:hint="eastAsia"/>
              </w:rPr>
              <w:t>履职情况</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F8A482">
            <w:r>
              <w:rPr>
                <w:rFonts w:hint="eastAsia"/>
              </w:rPr>
              <w:t>财政支出项目完成率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A91D27">
            <w:r>
              <w:rPr>
                <w:rFonts w:hint="eastAsia"/>
              </w:rPr>
              <w:t>财政支出项目完成率=（实际完成计划项目数/计划项目数）×100%实际完成计划项目数：部门在年度内实际完成的原计划项目数量计划项目数：财政部门批复的年度部门预算中的财政支出专项数量</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125BC3">
            <w:r>
              <w:rPr>
                <w:rFonts w:hint="eastAsia"/>
              </w:rPr>
              <w:t>100.00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1232B0">
            <w:r>
              <w:rPr>
                <w:rFonts w:hint="eastAsia"/>
              </w:rPr>
              <w:t>100.00</w:t>
            </w:r>
          </w:p>
        </w:tc>
      </w:tr>
      <w:tr w14:paraId="54A59FF7">
        <w:tblPrEx>
          <w:tblCellMar>
            <w:top w:w="0" w:type="dxa"/>
            <w:left w:w="0" w:type="dxa"/>
            <w:bottom w:w="0" w:type="dxa"/>
            <w:right w:w="0" w:type="dxa"/>
          </w:tblCellMar>
        </w:tblPrEx>
        <w:trPr>
          <w:trHeight w:val="973"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71AA13"/>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A6C6E3"/>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493337">
            <w:r>
              <w:rPr>
                <w:rFonts w:hint="eastAsia"/>
              </w:rPr>
              <w:t>重点工作办结率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B6D3D8">
            <w:r>
              <w:rPr>
                <w:rFonts w:hint="eastAsia"/>
              </w:rPr>
              <w:t>重点工作办结率=（重点工作实际完成数/上级交办或下达数）重点工作：党委、政府、人大及相关部门交办或下达的工作任务</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89ABE4">
            <w:r>
              <w:rPr>
                <w:rFonts w:hint="eastAsia"/>
              </w:rPr>
              <w:t>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32A9D3">
            <w:r>
              <w:rPr>
                <w:rFonts w:hint="eastAsia"/>
              </w:rPr>
              <w:t>0.00</w:t>
            </w:r>
          </w:p>
        </w:tc>
      </w:tr>
      <w:tr w14:paraId="3D251A9D">
        <w:tblPrEx>
          <w:tblCellMar>
            <w:top w:w="0" w:type="dxa"/>
            <w:left w:w="0" w:type="dxa"/>
            <w:bottom w:w="0" w:type="dxa"/>
            <w:right w:w="0" w:type="dxa"/>
          </w:tblCellMar>
        </w:tblPrEx>
        <w:trPr>
          <w:trHeight w:val="30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D21FB7"/>
        </w:tc>
        <w:tc>
          <w:tcPr>
            <w:tcW w:w="121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16383ADC">
            <w:r>
              <w:rPr>
                <w:rFonts w:hint="eastAsia"/>
              </w:rPr>
              <w:t>履职效益-社会效益目标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43B88F">
            <w:r>
              <w:rPr>
                <w:rFonts w:hint="eastAsia"/>
              </w:rPr>
              <w:t>促进新开工棚改套数</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7C1CEF">
            <w:r>
              <w:rPr>
                <w:rFonts w:hint="eastAsia"/>
              </w:rPr>
              <w:t>根据省下达保障性安居工程目标任务</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36B41C">
            <w:r>
              <w:rPr>
                <w:rFonts w:hint="eastAsia"/>
              </w:rPr>
              <w:t>8059.00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5FD686">
            <w:r>
              <w:rPr>
                <w:rFonts w:hint="eastAsia"/>
              </w:rPr>
              <w:t>7000.00</w:t>
            </w:r>
          </w:p>
        </w:tc>
      </w:tr>
      <w:tr w14:paraId="3B805373">
        <w:tblPrEx>
          <w:tblCellMar>
            <w:top w:w="0" w:type="dxa"/>
            <w:left w:w="0" w:type="dxa"/>
            <w:bottom w:w="0" w:type="dxa"/>
            <w:right w:w="0" w:type="dxa"/>
          </w:tblCellMar>
        </w:tblPrEx>
        <w:trPr>
          <w:trHeight w:val="417"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427CFA"/>
        </w:tc>
        <w:tc>
          <w:tcPr>
            <w:tcW w:w="1219" w:type="dxa"/>
            <w:vMerge w:val="continue"/>
            <w:tcBorders>
              <w:left w:val="single" w:color="000000" w:sz="4" w:space="0"/>
              <w:right w:val="single" w:color="000000" w:sz="4" w:space="0"/>
            </w:tcBorders>
            <w:tcMar>
              <w:top w:w="10" w:type="dxa"/>
              <w:left w:w="10" w:type="dxa"/>
              <w:right w:w="10" w:type="dxa"/>
            </w:tcMar>
            <w:vAlign w:val="center"/>
          </w:tcPr>
          <w:p w14:paraId="155B30A5"/>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80088F">
            <w:r>
              <w:rPr>
                <w:rFonts w:hint="eastAsia"/>
              </w:rPr>
              <w:t>促进政府投资公租房分配率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452605">
            <w:r>
              <w:rPr>
                <w:rFonts w:hint="eastAsia"/>
              </w:rPr>
              <w:t>符合住建部公租房分配目标要求</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D34DF2">
            <w:r>
              <w:rPr>
                <w:rFonts w:hint="eastAsia"/>
              </w:rPr>
              <w:t>92.00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4C1F89">
            <w:r>
              <w:rPr>
                <w:rFonts w:hint="eastAsia"/>
              </w:rPr>
              <w:t>93.00</w:t>
            </w:r>
          </w:p>
        </w:tc>
      </w:tr>
      <w:tr w14:paraId="0D2CC44A">
        <w:tblPrEx>
          <w:tblCellMar>
            <w:top w:w="0" w:type="dxa"/>
            <w:left w:w="0" w:type="dxa"/>
            <w:bottom w:w="0" w:type="dxa"/>
            <w:right w:w="0" w:type="dxa"/>
          </w:tblCellMar>
        </w:tblPrEx>
        <w:trPr>
          <w:trHeight w:val="417"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9674BD"/>
        </w:tc>
        <w:tc>
          <w:tcPr>
            <w:tcW w:w="121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2C8030E2"/>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9DC1AA">
            <w:r>
              <w:rPr>
                <w:rFonts w:hint="eastAsia"/>
              </w:rPr>
              <w:t>促进新增基本建成套数</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4436A5">
            <w:r>
              <w:rPr>
                <w:rFonts w:hint="eastAsia"/>
              </w:rPr>
              <w:t>根据省下达保障性安居工程目标任务</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302425">
            <w:r>
              <w:rPr>
                <w:rFonts w:hint="eastAsia"/>
              </w:rPr>
              <w:t>3152.00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30BE1C">
            <w:r>
              <w:rPr>
                <w:rFonts w:hint="eastAsia"/>
              </w:rPr>
              <w:t>5000.00</w:t>
            </w:r>
          </w:p>
        </w:tc>
      </w:tr>
      <w:tr w14:paraId="0D5A4465">
        <w:tblPrEx>
          <w:tblCellMar>
            <w:top w:w="0" w:type="dxa"/>
            <w:left w:w="0" w:type="dxa"/>
            <w:bottom w:w="0" w:type="dxa"/>
            <w:right w:w="0" w:type="dxa"/>
          </w:tblCellMar>
        </w:tblPrEx>
        <w:trPr>
          <w:trHeight w:val="59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B5B666"/>
        </w:tc>
        <w:tc>
          <w:tcPr>
            <w:tcW w:w="121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4783529A">
            <w:r>
              <w:rPr>
                <w:rFonts w:hint="eastAsia"/>
              </w:rPr>
              <w:t>履职效益-环境效益目标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34EA61">
            <w:r>
              <w:rPr>
                <w:rFonts w:hint="eastAsia"/>
              </w:rPr>
              <w:t>节约能源利废率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CDC212">
            <w:r>
              <w:rPr>
                <w:rFonts w:hint="eastAsia"/>
              </w:rPr>
              <w:t>使用一万吨散装水泥可减少粉法排放42吨，按实际发生的情况统计</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6FA2B2">
            <w:r>
              <w:rPr>
                <w:rFonts w:hint="eastAsia"/>
              </w:rPr>
              <w:t>85.00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C6D2FF">
            <w:r>
              <w:rPr>
                <w:rFonts w:hint="eastAsia"/>
              </w:rPr>
              <w:t>85.00</w:t>
            </w:r>
          </w:p>
        </w:tc>
      </w:tr>
      <w:tr w14:paraId="1478F193">
        <w:tblPrEx>
          <w:tblCellMar>
            <w:top w:w="0" w:type="dxa"/>
            <w:left w:w="0" w:type="dxa"/>
            <w:bottom w:w="0" w:type="dxa"/>
            <w:right w:w="0" w:type="dxa"/>
          </w:tblCellMar>
        </w:tblPrEx>
        <w:trPr>
          <w:trHeight w:val="59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FE464E"/>
        </w:tc>
        <w:tc>
          <w:tcPr>
            <w:tcW w:w="1219" w:type="dxa"/>
            <w:vMerge w:val="continue"/>
            <w:tcBorders>
              <w:left w:val="single" w:color="000000" w:sz="4" w:space="0"/>
              <w:right w:val="single" w:color="000000" w:sz="4" w:space="0"/>
            </w:tcBorders>
            <w:tcMar>
              <w:top w:w="10" w:type="dxa"/>
              <w:left w:w="10" w:type="dxa"/>
              <w:right w:w="10" w:type="dxa"/>
            </w:tcMar>
            <w:vAlign w:val="center"/>
          </w:tcPr>
          <w:p w14:paraId="5849B2D6"/>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768E47">
            <w:r>
              <w:rPr>
                <w:rFonts w:hint="eastAsia"/>
              </w:rPr>
              <w:t>提高美化人居环境率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4F1748">
            <w:r>
              <w:rPr>
                <w:rFonts w:hint="eastAsia"/>
              </w:rPr>
              <w:t>调查问卷满意度</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0E36E9">
            <w:r>
              <w:rPr>
                <w:rFonts w:hint="eastAsia"/>
              </w:rPr>
              <w:t>90.00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44550F">
            <w:r>
              <w:rPr>
                <w:rFonts w:hint="eastAsia"/>
              </w:rPr>
              <w:t>90.00</w:t>
            </w:r>
          </w:p>
        </w:tc>
      </w:tr>
      <w:tr w14:paraId="006C0A7D">
        <w:tblPrEx>
          <w:tblCellMar>
            <w:top w:w="0" w:type="dxa"/>
            <w:left w:w="0" w:type="dxa"/>
            <w:bottom w:w="0" w:type="dxa"/>
            <w:right w:w="0" w:type="dxa"/>
          </w:tblCellMar>
        </w:tblPrEx>
        <w:trPr>
          <w:trHeight w:val="59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0EBCA0"/>
        </w:tc>
        <w:tc>
          <w:tcPr>
            <w:tcW w:w="1219" w:type="dxa"/>
            <w:vMerge w:val="continue"/>
            <w:tcBorders>
              <w:left w:val="single" w:color="000000" w:sz="4" w:space="0"/>
              <w:right w:val="single" w:color="000000" w:sz="4" w:space="0"/>
            </w:tcBorders>
            <w:tcMar>
              <w:top w:w="10" w:type="dxa"/>
              <w:left w:w="10" w:type="dxa"/>
              <w:right w:w="10" w:type="dxa"/>
            </w:tcMar>
            <w:vAlign w:val="center"/>
          </w:tcPr>
          <w:p w14:paraId="639E8A93"/>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A64E46">
            <w:r>
              <w:rPr>
                <w:rFonts w:hint="eastAsia"/>
              </w:rPr>
              <w:t>生态环境改善率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F00A28">
            <w:r>
              <w:rPr>
                <w:rFonts w:hint="eastAsia"/>
              </w:rPr>
              <w:t>运用问卷调查结果、绿化覆盖率增长情况等综合评定</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3D5FF6">
            <w:r>
              <w:rPr>
                <w:rFonts w:hint="eastAsia"/>
              </w:rPr>
              <w:t>90.00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55DF6E">
            <w:r>
              <w:rPr>
                <w:rFonts w:hint="eastAsia"/>
              </w:rPr>
              <w:t>90.00</w:t>
            </w:r>
          </w:p>
        </w:tc>
      </w:tr>
      <w:tr w14:paraId="61E1FA8B">
        <w:tblPrEx>
          <w:tblCellMar>
            <w:top w:w="0" w:type="dxa"/>
            <w:left w:w="0" w:type="dxa"/>
            <w:bottom w:w="0" w:type="dxa"/>
            <w:right w:w="0" w:type="dxa"/>
          </w:tblCellMar>
        </w:tblPrEx>
        <w:trPr>
          <w:trHeight w:val="59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3292ED"/>
        </w:tc>
        <w:tc>
          <w:tcPr>
            <w:tcW w:w="1219" w:type="dxa"/>
            <w:vMerge w:val="continue"/>
            <w:tcBorders>
              <w:left w:val="single" w:color="000000" w:sz="4" w:space="0"/>
              <w:right w:val="single" w:color="000000" w:sz="4" w:space="0"/>
            </w:tcBorders>
            <w:tcMar>
              <w:top w:w="10" w:type="dxa"/>
              <w:left w:w="10" w:type="dxa"/>
              <w:right w:w="10" w:type="dxa"/>
            </w:tcMar>
            <w:vAlign w:val="center"/>
          </w:tcPr>
          <w:p w14:paraId="0450C40B"/>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8FE86B">
            <w:r>
              <w:rPr>
                <w:rFonts w:hint="eastAsia"/>
              </w:rPr>
              <w:t>乡镇污水处理设施覆盖率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68A7D6">
            <w:r>
              <w:rPr>
                <w:rFonts w:hint="eastAsia"/>
              </w:rPr>
              <w:t>根据省下达乡镇生活污水处理设施建设任务</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77433C">
            <w:r>
              <w:rPr>
                <w:rFonts w:hint="eastAsia"/>
              </w:rPr>
              <w:t>90.00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DD4980">
            <w:r>
              <w:rPr>
                <w:rFonts w:hint="eastAsia"/>
              </w:rPr>
              <w:t>90.00</w:t>
            </w:r>
          </w:p>
        </w:tc>
      </w:tr>
      <w:tr w14:paraId="1507FB87">
        <w:tblPrEx>
          <w:tblCellMar>
            <w:top w:w="0" w:type="dxa"/>
            <w:left w:w="0" w:type="dxa"/>
            <w:bottom w:w="0" w:type="dxa"/>
            <w:right w:w="0" w:type="dxa"/>
          </w:tblCellMar>
        </w:tblPrEx>
        <w:trPr>
          <w:trHeight w:val="59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3A4127"/>
        </w:tc>
        <w:tc>
          <w:tcPr>
            <w:tcW w:w="121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45B41A54"/>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9223CA">
            <w:r>
              <w:rPr>
                <w:rFonts w:hint="eastAsia"/>
              </w:rPr>
              <w:t>减少碳排放量</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3B32F1">
            <w:r>
              <w:rPr>
                <w:rFonts w:hint="eastAsia"/>
              </w:rPr>
              <w:t>节省燃油=骑行公里数*8，每节省1升燃油=减排0.627kg碳</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5FA634">
            <w:r>
              <w:rPr>
                <w:rFonts w:hint="eastAsia"/>
              </w:rPr>
              <w:t>100.00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43E7B6">
            <w:r>
              <w:rPr>
                <w:rFonts w:hint="eastAsia"/>
              </w:rPr>
              <w:t>200.00</w:t>
            </w:r>
          </w:p>
        </w:tc>
      </w:tr>
      <w:tr w14:paraId="2CCFFBB8">
        <w:tblPrEx>
          <w:tblCellMar>
            <w:top w:w="0" w:type="dxa"/>
            <w:left w:w="0" w:type="dxa"/>
            <w:bottom w:w="0" w:type="dxa"/>
            <w:right w:w="0" w:type="dxa"/>
          </w:tblCellMar>
        </w:tblPrEx>
        <w:trPr>
          <w:trHeight w:val="953"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6BBCD5"/>
        </w:tc>
        <w:tc>
          <w:tcPr>
            <w:tcW w:w="121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552670B4">
            <w:r>
              <w:rPr>
                <w:rFonts w:hint="eastAsia"/>
              </w:rPr>
              <w:t>履职效益-可持续影响目标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F570B7">
            <w:r>
              <w:rPr>
                <w:rFonts w:hint="eastAsia"/>
              </w:rPr>
              <w:t>“十三五”棚改计划实施进度</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FC313F">
            <w:r>
              <w:rPr>
                <w:rFonts w:hint="eastAsia"/>
              </w:rPr>
              <w:t>按照年末累计实施棚改数占比“十三五”住房规划棚改总计划计算</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99B9F7">
            <w:r>
              <w:rPr>
                <w:rFonts w:hint="eastAsia"/>
              </w:rPr>
              <w:t>120.00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58709A">
            <w:r>
              <w:rPr>
                <w:rFonts w:hint="eastAsia"/>
              </w:rPr>
              <w:t>100.00</w:t>
            </w:r>
          </w:p>
        </w:tc>
      </w:tr>
      <w:tr w14:paraId="53646EF3">
        <w:tblPrEx>
          <w:tblCellMar>
            <w:top w:w="0" w:type="dxa"/>
            <w:left w:w="0" w:type="dxa"/>
            <w:bottom w:w="0" w:type="dxa"/>
            <w:right w:w="0" w:type="dxa"/>
          </w:tblCellMar>
        </w:tblPrEx>
        <w:trPr>
          <w:trHeight w:val="953"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82BF64"/>
        </w:tc>
        <w:tc>
          <w:tcPr>
            <w:tcW w:w="121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5F2BB10D"/>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7B15F4">
            <w:r>
              <w:rPr>
                <w:rFonts w:hint="eastAsia"/>
              </w:rPr>
              <w:t>提高生态环境、美化人居环境</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7FF215">
            <w:r>
              <w:rPr>
                <w:rFonts w:hint="eastAsia"/>
              </w:rPr>
              <w:t>运用问卷调查结果、绿化覆盖率增长情况等综合评定</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CB6D90">
            <w:r>
              <w:rPr>
                <w:rFonts w:hint="eastAsia"/>
              </w:rPr>
              <w:t>90.00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4FC4EC">
            <w:r>
              <w:rPr>
                <w:rFonts w:hint="eastAsia"/>
              </w:rPr>
              <w:t>90.00</w:t>
            </w:r>
          </w:p>
        </w:tc>
      </w:tr>
      <w:tr w14:paraId="36C23AB4">
        <w:tblPrEx>
          <w:tblCellMar>
            <w:top w:w="0" w:type="dxa"/>
            <w:left w:w="0" w:type="dxa"/>
            <w:bottom w:w="0" w:type="dxa"/>
            <w:right w:w="0" w:type="dxa"/>
          </w:tblCellMar>
        </w:tblPrEx>
        <w:trPr>
          <w:trHeight w:val="953"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937EBF"/>
        </w:tc>
        <w:tc>
          <w:tcPr>
            <w:tcW w:w="1219" w:type="dxa"/>
            <w:vMerge w:val="restart"/>
            <w:tcBorders>
              <w:left w:val="single" w:color="000000" w:sz="4" w:space="0"/>
              <w:right w:val="single" w:color="000000" w:sz="4" w:space="0"/>
            </w:tcBorders>
            <w:tcMar>
              <w:top w:w="10" w:type="dxa"/>
              <w:left w:w="10" w:type="dxa"/>
              <w:right w:w="10" w:type="dxa"/>
            </w:tcMar>
            <w:vAlign w:val="center"/>
          </w:tcPr>
          <w:p w14:paraId="7D858C6D">
            <w:r>
              <w:rPr>
                <w:rFonts w:hint="eastAsia"/>
              </w:rPr>
              <w:t>履职效益-服务对象满意度目标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475DDA">
            <w:r>
              <w:rPr>
                <w:rFonts w:hint="eastAsia"/>
              </w:rPr>
              <w:t>棚改居民满意度调查</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81F6FB">
            <w:r>
              <w:rPr>
                <w:rFonts w:hint="eastAsia"/>
              </w:rPr>
              <w:t>随机抽取20户棚改受益对象进行满意度调查。按照满意、基本满意占比有效收回问卷数计算</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6579CE">
            <w:r>
              <w:rPr>
                <w:rFonts w:hint="eastAsia"/>
              </w:rPr>
              <w:t>90.00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929ED7">
            <w:r>
              <w:rPr>
                <w:rFonts w:hint="eastAsia"/>
              </w:rPr>
              <w:t>90.00</w:t>
            </w:r>
          </w:p>
        </w:tc>
      </w:tr>
      <w:tr w14:paraId="5E474E10">
        <w:tblPrEx>
          <w:tblCellMar>
            <w:top w:w="0" w:type="dxa"/>
            <w:left w:w="0" w:type="dxa"/>
            <w:bottom w:w="0" w:type="dxa"/>
            <w:right w:w="0" w:type="dxa"/>
          </w:tblCellMar>
        </w:tblPrEx>
        <w:trPr>
          <w:trHeight w:val="66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EBAD3B"/>
        </w:tc>
        <w:tc>
          <w:tcPr>
            <w:tcW w:w="121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18DFA1E6"/>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83C8B5">
            <w:r>
              <w:rPr>
                <w:rFonts w:hint="eastAsia"/>
              </w:rPr>
              <w:t>居民满意度</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F6C76E">
            <w:r>
              <w:rPr>
                <w:rFonts w:hint="eastAsia"/>
              </w:rPr>
              <w:t>计算方法：（满意与比较满意的总人数÷调查总人数）*100%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E6DF0F">
            <w:r>
              <w:rPr>
                <w:rFonts w:hint="eastAsia"/>
              </w:rPr>
              <w:t>90.00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C0716C">
            <w:r>
              <w:rPr>
                <w:rFonts w:hint="eastAsia"/>
              </w:rPr>
              <w:t>90.00</w:t>
            </w:r>
          </w:p>
        </w:tc>
      </w:tr>
    </w:tbl>
    <w:p w14:paraId="51C81411">
      <w:pPr>
        <w:ind w:firstLine="420" w:firstLineChars="200"/>
      </w:pPr>
      <w:r>
        <w:rPr>
          <w:rFonts w:hint="eastAsia"/>
        </w:rPr>
        <w:t>部门业务费绩效目标</w:t>
      </w:r>
    </w:p>
    <w:p w14:paraId="4D5B2F13">
      <w:pPr>
        <w:ind w:firstLine="420" w:firstLineChars="200"/>
      </w:pPr>
      <w:r>
        <w:rPr>
          <w:rFonts w:hint="eastAsia"/>
        </w:rPr>
        <w:t>表2  莆田市住房和城乡建设局2020年部门业务费绩效目标表 （单位：万元）</w:t>
      </w:r>
    </w:p>
    <w:tbl>
      <w:tblPr>
        <w:tblStyle w:val="17"/>
        <w:tblW w:w="0" w:type="auto"/>
        <w:tblInd w:w="0" w:type="dxa"/>
        <w:tblLayout w:type="fixed"/>
        <w:tblCellMar>
          <w:top w:w="0" w:type="dxa"/>
          <w:left w:w="0" w:type="dxa"/>
          <w:bottom w:w="0" w:type="dxa"/>
          <w:right w:w="0" w:type="dxa"/>
        </w:tblCellMar>
      </w:tblPr>
      <w:tblGrid>
        <w:gridCol w:w="395"/>
        <w:gridCol w:w="875"/>
        <w:gridCol w:w="909"/>
        <w:gridCol w:w="1367"/>
        <w:gridCol w:w="5325"/>
      </w:tblGrid>
      <w:tr w14:paraId="6BF01A71">
        <w:tblPrEx>
          <w:tblCellMar>
            <w:top w:w="0" w:type="dxa"/>
            <w:left w:w="0" w:type="dxa"/>
            <w:bottom w:w="0" w:type="dxa"/>
            <w:right w:w="0" w:type="dxa"/>
          </w:tblCellMar>
        </w:tblPrEx>
        <w:trPr>
          <w:trHeight w:val="576" w:hRule="atLeast"/>
        </w:trPr>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090AC2">
            <w:r>
              <w:rPr>
                <w:rFonts w:hint="eastAsia"/>
              </w:rPr>
              <w:t>序号</w:t>
            </w:r>
          </w:p>
        </w:tc>
        <w:tc>
          <w:tcPr>
            <w:tcW w:w="8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D754E4">
            <w:r>
              <w:rPr>
                <w:rFonts w:hint="eastAsia"/>
              </w:rPr>
              <w:t>单位名称</w:t>
            </w:r>
          </w:p>
        </w:tc>
        <w:tc>
          <w:tcPr>
            <w:tcW w:w="9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A93BDF">
            <w:pPr>
              <w:ind w:firstLine="420" w:firstLineChars="200"/>
            </w:pPr>
            <w:r>
              <w:rPr>
                <w:rFonts w:hint="eastAsia"/>
              </w:rPr>
              <w:t>项目</w:t>
            </w:r>
          </w:p>
          <w:p w14:paraId="617FD401">
            <w:pPr>
              <w:ind w:firstLine="420" w:firstLineChars="200"/>
            </w:pPr>
            <w:r>
              <w:rPr>
                <w:rFonts w:hint="eastAsia"/>
              </w:rPr>
              <w:t>类别</w:t>
            </w:r>
          </w:p>
        </w:tc>
        <w:tc>
          <w:tcPr>
            <w:tcW w:w="13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85F465">
            <w:pPr>
              <w:ind w:firstLine="420" w:firstLineChars="200"/>
            </w:pPr>
            <w:r>
              <w:rPr>
                <w:rFonts w:hint="eastAsia"/>
              </w:rPr>
              <w:t>项目</w:t>
            </w:r>
          </w:p>
          <w:p w14:paraId="3B19111A">
            <w:pPr>
              <w:ind w:firstLine="420" w:firstLineChars="200"/>
            </w:pPr>
            <w:r>
              <w:rPr>
                <w:rFonts w:hint="eastAsia"/>
              </w:rPr>
              <w:t>名称</w:t>
            </w:r>
          </w:p>
        </w:tc>
        <w:tc>
          <w:tcPr>
            <w:tcW w:w="5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56346D">
            <w:r>
              <w:rPr>
                <w:rFonts w:hint="eastAsia"/>
              </w:rPr>
              <w:t>绩效目标</w:t>
            </w:r>
          </w:p>
        </w:tc>
      </w:tr>
      <w:tr w14:paraId="344266BD">
        <w:tblPrEx>
          <w:tblCellMar>
            <w:top w:w="0" w:type="dxa"/>
            <w:left w:w="0" w:type="dxa"/>
            <w:bottom w:w="0" w:type="dxa"/>
            <w:right w:w="0" w:type="dxa"/>
          </w:tblCellMar>
        </w:tblPrEx>
        <w:trPr>
          <w:trHeight w:val="968" w:hRule="atLeast"/>
        </w:trPr>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2E3DC3">
            <w:r>
              <w:rPr>
                <w:rFonts w:hint="eastAsia"/>
              </w:rPr>
              <w:t>1</w:t>
            </w:r>
          </w:p>
        </w:tc>
        <w:tc>
          <w:tcPr>
            <w:tcW w:w="8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CEA3A0">
            <w:r>
              <w:rPr>
                <w:rFonts w:hint="eastAsia"/>
              </w:rPr>
              <w:t>莆田市住房和城乡建设局本级</w:t>
            </w:r>
          </w:p>
        </w:tc>
        <w:tc>
          <w:tcPr>
            <w:tcW w:w="9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D2BBF1">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4FC5AF">
            <w:r>
              <w:rPr>
                <w:rFonts w:hint="eastAsia"/>
              </w:rPr>
              <w:t>莆田市住房和城乡建设局部门业务费</w:t>
            </w:r>
          </w:p>
        </w:tc>
        <w:tc>
          <w:tcPr>
            <w:tcW w:w="5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80A79E">
            <w:r>
              <w:rPr>
                <w:rFonts w:hint="eastAsia"/>
              </w:rPr>
              <w:t>污水处理目标：日污水处理量不少于150000吨。提高污水处理效率，及时收缴污水费。管道维护目标：投诉现场及时到位时限为城区60分钟以内；每日4车次及10名点工投入管道巡查维护；平均更换水泥井盖：15个/月，铸铁井盖：10个/月 ；每日巡查维护污水管道长度5公里；把关污水管道巡查维护及抢修工程质量合格；民生服务监督台案件办结率90%以上；每日收集污水16万吨；服务对象满意度90%以上。 泵站运行目标：年度污水处理保底量及时输送污水至污水处理厂；有效控制泵站运营管理成本年增长5%以内；全年日均污水输送量16万吨/日；水泵设备完好率90%以上；有效的解决服务区域的污水收集问题；有效的解决污水横流问题；有效的改善区域投资环境；群众满意率90%以上。管网疏通目标：全年日均污水处理量增长率为5%，全年日均污水处理量达到17.3万吨/日；有效控制污水厂运营管理成本年增长5%以内；污水厂设备完好率95%以上；有效的解决污水厂污水处理及污泥及时清运处置问题；有效的改善区域投资环境。</w:t>
            </w:r>
          </w:p>
        </w:tc>
      </w:tr>
      <w:tr w14:paraId="1F3CE55D">
        <w:tblPrEx>
          <w:tblCellMar>
            <w:top w:w="0" w:type="dxa"/>
            <w:left w:w="0" w:type="dxa"/>
            <w:bottom w:w="0" w:type="dxa"/>
            <w:right w:w="0" w:type="dxa"/>
          </w:tblCellMar>
        </w:tblPrEx>
        <w:trPr>
          <w:trHeight w:val="968" w:hRule="atLeast"/>
        </w:trPr>
        <w:tc>
          <w:tcPr>
            <w:tcW w:w="3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C6E660">
            <w:r>
              <w:rPr>
                <w:rFonts w:hint="eastAsia"/>
              </w:rPr>
              <w:t>2</w:t>
            </w:r>
          </w:p>
        </w:tc>
        <w:tc>
          <w:tcPr>
            <w:tcW w:w="87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AB4619">
            <w:r>
              <w:rPr>
                <w:rFonts w:hint="eastAsia"/>
              </w:rPr>
              <w:t>莆田市住房和城乡建设局本级</w:t>
            </w:r>
          </w:p>
        </w:tc>
        <w:tc>
          <w:tcPr>
            <w:tcW w:w="90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956B5F">
            <w:r>
              <w:rPr>
                <w:rFonts w:hint="eastAsia"/>
              </w:rPr>
              <w:t>部门业务费</w:t>
            </w:r>
          </w:p>
        </w:tc>
        <w:tc>
          <w:tcPr>
            <w:tcW w:w="136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09F0A0">
            <w:r>
              <w:rPr>
                <w:rFonts w:hint="eastAsia"/>
              </w:rPr>
              <w:t>莆田市住房和城乡建设局部门业务费</w:t>
            </w:r>
          </w:p>
        </w:tc>
        <w:tc>
          <w:tcPr>
            <w:tcW w:w="532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4DD6DE">
            <w:r>
              <w:rPr>
                <w:rFonts w:hint="eastAsia"/>
              </w:rPr>
              <w:t>城镇民用建筑基本信息和2020年城镇民用建筑能源资源消耗信息、城镇新建绿色建筑信息、乡村居住建筑能源资源消耗信息共650栋，650次/年。每季度对供水企业的出厂水（定点）、管网末梢水（定点）、二次供水单位（随即）的水质进行抽检，确保水质安全。开展供水监管工作，重点监管供水厂供水设备、设施运行、氯库安全、水质安全及安全保卫情况，进一步加强城市供水企业安全生产运行管理和行业监管，保障居民生活的用水安全。开展住房发展课题研究； 编制住房发展规划。每年补助2500万元用于各县区自行维护市政项目，用于园林绿化及景观日常维护、污水管网疏通及运行维护、环卫作业等三个项目的补助。莆田市铁路（福厦、向莆）沿线绿廊花廊专项规划方案共六套。电子办公设备维护、网络通讯设备维护、机房设备维护、多媒体设备维护、接口流量监测服务、URL过滤服务、网页浏览内容过滤服务、用户上网认证管理服务、资产风险报表、实时防火墙及入侵监测服务、信息系统维护、公租房全国联网服务、全国网签备案联网服务、土建系列专业人员在线继续教育平台。市建设局机关及下属单位租用莆田海峡商务中心B栋办公楼，面积由市机关事务管理处核定，租金由城厢区政府承担。</w:t>
            </w:r>
          </w:p>
        </w:tc>
      </w:tr>
      <w:tr w14:paraId="2C7CA5E1">
        <w:tblPrEx>
          <w:tblCellMar>
            <w:top w:w="0" w:type="dxa"/>
            <w:left w:w="0" w:type="dxa"/>
            <w:bottom w:w="0" w:type="dxa"/>
            <w:right w:w="0" w:type="dxa"/>
          </w:tblCellMar>
        </w:tblPrEx>
        <w:trPr>
          <w:trHeight w:val="359" w:hRule="atLeast"/>
        </w:trPr>
        <w:tc>
          <w:tcPr>
            <w:tcW w:w="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B33C34"/>
        </w:tc>
        <w:tc>
          <w:tcPr>
            <w:tcW w:w="87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76CD5B"/>
        </w:tc>
        <w:tc>
          <w:tcPr>
            <w:tcW w:w="9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2E48FA"/>
        </w:tc>
        <w:tc>
          <w:tcPr>
            <w:tcW w:w="136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15A419"/>
        </w:tc>
        <w:tc>
          <w:tcPr>
            <w:tcW w:w="532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19E038"/>
        </w:tc>
      </w:tr>
      <w:tr w14:paraId="051D78E1">
        <w:tblPrEx>
          <w:tblCellMar>
            <w:top w:w="0" w:type="dxa"/>
            <w:left w:w="0" w:type="dxa"/>
            <w:bottom w:w="0" w:type="dxa"/>
            <w:right w:w="0" w:type="dxa"/>
          </w:tblCellMar>
        </w:tblPrEx>
        <w:trPr>
          <w:trHeight w:val="444" w:hRule="atLeast"/>
        </w:trPr>
        <w:tc>
          <w:tcPr>
            <w:tcW w:w="395"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14:paraId="6C2AE19A">
            <w:r>
              <w:rPr>
                <w:rFonts w:hint="eastAsia"/>
              </w:rPr>
              <w:t>3</w:t>
            </w:r>
          </w:p>
        </w:tc>
        <w:tc>
          <w:tcPr>
            <w:tcW w:w="875"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14:paraId="5ED2E878">
            <w:r>
              <w:rPr>
                <w:rFonts w:hint="eastAsia"/>
              </w:rPr>
              <w:t>莆田市园林管理局</w:t>
            </w:r>
          </w:p>
        </w:tc>
        <w:tc>
          <w:tcPr>
            <w:tcW w:w="909"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14:paraId="4AC7704D">
            <w:r>
              <w:rPr>
                <w:rFonts w:hint="eastAsia"/>
              </w:rPr>
              <w:t>部门业务费</w:t>
            </w:r>
          </w:p>
        </w:tc>
        <w:tc>
          <w:tcPr>
            <w:tcW w:w="136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6CA350">
            <w:r>
              <w:rPr>
                <w:rFonts w:hint="eastAsia"/>
              </w:rPr>
              <w:t>莆田市园林管理局部门业务费</w:t>
            </w:r>
          </w:p>
        </w:tc>
        <w:tc>
          <w:tcPr>
            <w:tcW w:w="532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D01AC6">
            <w:r>
              <w:rPr>
                <w:rFonts w:hint="eastAsia"/>
              </w:rPr>
              <w:t>园林绿化养护（含日常养护维护、设施维护、老化补植、防汛抗台、车辆购置等）面积约280公顷，配置安保人员40人，供电116公顷景观照明，除四害面积约280公顷。全年完成4次对中心城区道路沿线及沿线渠化岛、花池带进行花化彩化草花更换工作，对市直公园、绿道、广场等绿地进行花化彩化；重大会议、节假日道路氛围布置。偿还政府欠款项目，如北渠绿道设计费、荔枝林带监理费、东园路美化工程等欠款300万元。</w:t>
            </w:r>
          </w:p>
        </w:tc>
      </w:tr>
      <w:tr w14:paraId="5A79F5DC">
        <w:tblPrEx>
          <w:tblCellMar>
            <w:top w:w="0" w:type="dxa"/>
            <w:left w:w="0" w:type="dxa"/>
            <w:bottom w:w="0" w:type="dxa"/>
            <w:right w:w="0" w:type="dxa"/>
          </w:tblCellMar>
        </w:tblPrEx>
        <w:trPr>
          <w:trHeight w:val="790" w:hRule="atLeast"/>
        </w:trPr>
        <w:tc>
          <w:tcPr>
            <w:tcW w:w="39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14:paraId="1F1146A6"/>
        </w:tc>
        <w:tc>
          <w:tcPr>
            <w:tcW w:w="87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14:paraId="0E44BD7E"/>
        </w:tc>
        <w:tc>
          <w:tcPr>
            <w:tcW w:w="909"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14:paraId="66E8C96B"/>
        </w:tc>
        <w:tc>
          <w:tcPr>
            <w:tcW w:w="136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EC4F06"/>
        </w:tc>
        <w:tc>
          <w:tcPr>
            <w:tcW w:w="532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60AA9D"/>
        </w:tc>
      </w:tr>
      <w:tr w14:paraId="4D313DF4">
        <w:tblPrEx>
          <w:tblCellMar>
            <w:top w:w="0" w:type="dxa"/>
            <w:left w:w="0" w:type="dxa"/>
            <w:bottom w:w="0" w:type="dxa"/>
            <w:right w:w="0" w:type="dxa"/>
          </w:tblCellMar>
        </w:tblPrEx>
        <w:trPr>
          <w:trHeight w:val="1322" w:hRule="atLeast"/>
        </w:trPr>
        <w:tc>
          <w:tcPr>
            <w:tcW w:w="39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14:paraId="38710DB6"/>
        </w:tc>
        <w:tc>
          <w:tcPr>
            <w:tcW w:w="87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14:paraId="26F53C79"/>
        </w:tc>
        <w:tc>
          <w:tcPr>
            <w:tcW w:w="909"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14:paraId="2BD1E935"/>
        </w:tc>
        <w:tc>
          <w:tcPr>
            <w:tcW w:w="136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DE3FBA"/>
        </w:tc>
        <w:tc>
          <w:tcPr>
            <w:tcW w:w="532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035029"/>
        </w:tc>
      </w:tr>
      <w:tr w14:paraId="0B8FFBF1">
        <w:tblPrEx>
          <w:tblCellMar>
            <w:top w:w="0" w:type="dxa"/>
            <w:left w:w="0" w:type="dxa"/>
            <w:bottom w:w="0" w:type="dxa"/>
            <w:right w:w="0" w:type="dxa"/>
          </w:tblCellMar>
        </w:tblPrEx>
        <w:trPr>
          <w:trHeight w:val="410" w:hRule="atLeast"/>
        </w:trPr>
        <w:tc>
          <w:tcPr>
            <w:tcW w:w="3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35852A">
            <w:r>
              <w:rPr>
                <w:rFonts w:hint="eastAsia"/>
              </w:rPr>
              <w:t>4</w:t>
            </w:r>
          </w:p>
        </w:tc>
        <w:tc>
          <w:tcPr>
            <w:tcW w:w="87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BE35F2">
            <w:r>
              <w:rPr>
                <w:rFonts w:hint="eastAsia"/>
              </w:rPr>
              <w:t>莆田市园林科学研究中心</w:t>
            </w:r>
          </w:p>
        </w:tc>
        <w:tc>
          <w:tcPr>
            <w:tcW w:w="90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EA8886">
            <w:r>
              <w:rPr>
                <w:rFonts w:hint="eastAsia"/>
              </w:rPr>
              <w:t>部门业务费</w:t>
            </w:r>
          </w:p>
        </w:tc>
        <w:tc>
          <w:tcPr>
            <w:tcW w:w="136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0419FA">
            <w:r>
              <w:rPr>
                <w:rFonts w:hint="eastAsia"/>
              </w:rPr>
              <w:t>莆田市园林科学研究中心部门业务费</w:t>
            </w:r>
          </w:p>
        </w:tc>
        <w:tc>
          <w:tcPr>
            <w:tcW w:w="532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4801EA">
            <w:r>
              <w:rPr>
                <w:rFonts w:hint="eastAsia"/>
              </w:rPr>
              <w:t>市花月季、市树荔枝的推广种植研究差旅费1万，委托业务费1万，宣传3万和古树名木保护工作差旅费0.5万，宣传书册3万，其他1.5万等。莆田市适生月季品种筛选与繁育推广项目服务费30万元，包括仪器设备费、试验材料费、资料印刷费、差旅费、劳务费等项目支出，已支付福建农林大学20万（2018年、2019年各10万），今年付清尾款，主要任务：继续加强月季栽培养护管理，完善各新品种的配套栽培技术，制定优质种苗栽培技术规程，按合同2021年上半年完成项目验收。</w:t>
            </w:r>
          </w:p>
        </w:tc>
      </w:tr>
      <w:tr w14:paraId="5CD7D6CF">
        <w:tblPrEx>
          <w:tblCellMar>
            <w:top w:w="0" w:type="dxa"/>
            <w:left w:w="0" w:type="dxa"/>
            <w:bottom w:w="0" w:type="dxa"/>
            <w:right w:w="0" w:type="dxa"/>
          </w:tblCellMar>
        </w:tblPrEx>
        <w:trPr>
          <w:trHeight w:val="331" w:hRule="atLeast"/>
        </w:trPr>
        <w:tc>
          <w:tcPr>
            <w:tcW w:w="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63C811"/>
        </w:tc>
        <w:tc>
          <w:tcPr>
            <w:tcW w:w="87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8A274B"/>
        </w:tc>
        <w:tc>
          <w:tcPr>
            <w:tcW w:w="9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E71625"/>
        </w:tc>
        <w:tc>
          <w:tcPr>
            <w:tcW w:w="136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E19292"/>
        </w:tc>
        <w:tc>
          <w:tcPr>
            <w:tcW w:w="532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30F206"/>
        </w:tc>
      </w:tr>
      <w:tr w14:paraId="1029B4D1">
        <w:tblPrEx>
          <w:tblCellMar>
            <w:top w:w="0" w:type="dxa"/>
            <w:left w:w="0" w:type="dxa"/>
            <w:bottom w:w="0" w:type="dxa"/>
            <w:right w:w="0" w:type="dxa"/>
          </w:tblCellMar>
        </w:tblPrEx>
        <w:trPr>
          <w:trHeight w:val="437" w:hRule="atLeast"/>
        </w:trPr>
        <w:tc>
          <w:tcPr>
            <w:tcW w:w="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D29438"/>
        </w:tc>
        <w:tc>
          <w:tcPr>
            <w:tcW w:w="87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3292BD"/>
        </w:tc>
        <w:tc>
          <w:tcPr>
            <w:tcW w:w="9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3BAE16"/>
        </w:tc>
        <w:tc>
          <w:tcPr>
            <w:tcW w:w="136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9750D8"/>
        </w:tc>
        <w:tc>
          <w:tcPr>
            <w:tcW w:w="532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A34303"/>
        </w:tc>
      </w:tr>
      <w:tr w14:paraId="71EF75B3">
        <w:tblPrEx>
          <w:tblCellMar>
            <w:top w:w="0" w:type="dxa"/>
            <w:left w:w="0" w:type="dxa"/>
            <w:bottom w:w="0" w:type="dxa"/>
            <w:right w:w="0" w:type="dxa"/>
          </w:tblCellMar>
        </w:tblPrEx>
        <w:trPr>
          <w:trHeight w:val="550" w:hRule="atLeast"/>
        </w:trPr>
        <w:tc>
          <w:tcPr>
            <w:tcW w:w="3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ACEC3B">
            <w:r>
              <w:rPr>
                <w:rFonts w:hint="eastAsia"/>
              </w:rPr>
              <w:t>5</w:t>
            </w:r>
          </w:p>
        </w:tc>
        <w:tc>
          <w:tcPr>
            <w:tcW w:w="87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12FCEE">
            <w:r>
              <w:rPr>
                <w:rFonts w:hint="eastAsia"/>
              </w:rPr>
              <w:t>莆田市城市基本建设档案馆</w:t>
            </w:r>
          </w:p>
        </w:tc>
        <w:tc>
          <w:tcPr>
            <w:tcW w:w="90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A1BCC4">
            <w:r>
              <w:rPr>
                <w:rFonts w:hint="eastAsia"/>
              </w:rPr>
              <w:t>部门业务费</w:t>
            </w:r>
          </w:p>
        </w:tc>
        <w:tc>
          <w:tcPr>
            <w:tcW w:w="136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771C84">
            <w:r>
              <w:rPr>
                <w:rFonts w:hint="eastAsia"/>
              </w:rPr>
              <w:t>莆田市城市基本建设档案馆部门业务费</w:t>
            </w:r>
          </w:p>
        </w:tc>
        <w:tc>
          <w:tcPr>
            <w:tcW w:w="532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FF7E3D">
            <w:r>
              <w:rPr>
                <w:rFonts w:hint="eastAsia"/>
              </w:rPr>
              <w:t>按照档案管理的法律、法规及相关规范，通过科学的管理方法，做好城建档案的收集、保管、利用等工作，便捷、高效地为城市规划、建设、管理等提供服务，实施年度任务建设项目全过程管理；收集、消毒档案3000卷/盒；提供档案利用600人/次，2000卷/盒；预验收工程档案项目30个；完成城建档案扫描加工8000卷/盒。</w:t>
            </w:r>
          </w:p>
        </w:tc>
      </w:tr>
      <w:tr w14:paraId="2361D5AE">
        <w:tblPrEx>
          <w:tblCellMar>
            <w:top w:w="0" w:type="dxa"/>
            <w:left w:w="0" w:type="dxa"/>
            <w:bottom w:w="0" w:type="dxa"/>
            <w:right w:w="0" w:type="dxa"/>
          </w:tblCellMar>
        </w:tblPrEx>
        <w:trPr>
          <w:trHeight w:val="375" w:hRule="atLeast"/>
        </w:trPr>
        <w:tc>
          <w:tcPr>
            <w:tcW w:w="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92077F"/>
        </w:tc>
        <w:tc>
          <w:tcPr>
            <w:tcW w:w="87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6C1711"/>
        </w:tc>
        <w:tc>
          <w:tcPr>
            <w:tcW w:w="9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91A5DC"/>
        </w:tc>
        <w:tc>
          <w:tcPr>
            <w:tcW w:w="136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37AB38"/>
        </w:tc>
        <w:tc>
          <w:tcPr>
            <w:tcW w:w="532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E9B953"/>
        </w:tc>
      </w:tr>
      <w:tr w14:paraId="4AF7725D">
        <w:tblPrEx>
          <w:tblCellMar>
            <w:top w:w="0" w:type="dxa"/>
            <w:left w:w="0" w:type="dxa"/>
            <w:bottom w:w="0" w:type="dxa"/>
            <w:right w:w="0" w:type="dxa"/>
          </w:tblCellMar>
        </w:tblPrEx>
        <w:trPr>
          <w:trHeight w:val="684" w:hRule="atLeast"/>
        </w:trPr>
        <w:tc>
          <w:tcPr>
            <w:tcW w:w="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709282"/>
        </w:tc>
        <w:tc>
          <w:tcPr>
            <w:tcW w:w="87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04A8AB"/>
        </w:tc>
        <w:tc>
          <w:tcPr>
            <w:tcW w:w="9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5ED602"/>
        </w:tc>
        <w:tc>
          <w:tcPr>
            <w:tcW w:w="136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D8593E"/>
        </w:tc>
        <w:tc>
          <w:tcPr>
            <w:tcW w:w="532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6C48D5"/>
        </w:tc>
      </w:tr>
      <w:tr w14:paraId="504B0102">
        <w:tblPrEx>
          <w:tblCellMar>
            <w:top w:w="0" w:type="dxa"/>
            <w:left w:w="0" w:type="dxa"/>
            <w:bottom w:w="0" w:type="dxa"/>
            <w:right w:w="0" w:type="dxa"/>
          </w:tblCellMar>
        </w:tblPrEx>
        <w:trPr>
          <w:trHeight w:val="420" w:hRule="atLeast"/>
        </w:trPr>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A99469">
            <w:r>
              <w:rPr>
                <w:rFonts w:hint="eastAsia"/>
              </w:rPr>
              <w:t>6</w:t>
            </w:r>
          </w:p>
        </w:tc>
        <w:tc>
          <w:tcPr>
            <w:tcW w:w="8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F00319">
            <w:r>
              <w:rPr>
                <w:rFonts w:hint="eastAsia"/>
              </w:rPr>
              <w:t>莆田市住房保障管理中心</w:t>
            </w:r>
          </w:p>
        </w:tc>
        <w:tc>
          <w:tcPr>
            <w:tcW w:w="9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6F0E07">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CAB26E">
            <w:r>
              <w:rPr>
                <w:rFonts w:hint="eastAsia"/>
              </w:rPr>
              <w:t>保障性安居工程日常跟踪督查经费</w:t>
            </w:r>
          </w:p>
        </w:tc>
        <w:tc>
          <w:tcPr>
            <w:tcW w:w="5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0B64D8">
            <w:r>
              <w:rPr>
                <w:rFonts w:hint="eastAsia"/>
              </w:rPr>
              <w:t>通过开展保障性安居工程调查统计、督查巡查、信息公开、档案管理项目，加强保障性安居工程建设和分配管理，实施年度任务建设项目全过程管理，开展4次专项督查、12次统计分析，促进新开工棚改7000套、基本建成5000套，政府投资公租房分配率达到90%以上，确保按时全面完成省下达我市的2020年度保障性安居工程目标任务。</w:t>
            </w:r>
          </w:p>
        </w:tc>
      </w:tr>
      <w:tr w14:paraId="3CB80EC3">
        <w:tblPrEx>
          <w:tblCellMar>
            <w:top w:w="0" w:type="dxa"/>
            <w:left w:w="0" w:type="dxa"/>
            <w:bottom w:w="0" w:type="dxa"/>
            <w:right w:w="0" w:type="dxa"/>
          </w:tblCellMar>
        </w:tblPrEx>
        <w:trPr>
          <w:trHeight w:val="90" w:hRule="atLeast"/>
        </w:trPr>
        <w:tc>
          <w:tcPr>
            <w:tcW w:w="3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DF940EB">
            <w:r>
              <w:rPr>
                <w:rFonts w:hint="eastAsia"/>
              </w:rPr>
              <w:t>7</w:t>
            </w:r>
          </w:p>
        </w:tc>
        <w:tc>
          <w:tcPr>
            <w:tcW w:w="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E0B24AF">
            <w:r>
              <w:rPr>
                <w:rFonts w:hint="eastAsia"/>
              </w:rPr>
              <w:t>莆田市排水管理处</w:t>
            </w:r>
          </w:p>
        </w:tc>
        <w:tc>
          <w:tcPr>
            <w:tcW w:w="9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2DE6745">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B6DB09C">
            <w:r>
              <w:rPr>
                <w:rFonts w:hint="eastAsia"/>
              </w:rPr>
              <w:t>莆田市排水管理处部门业务费</w:t>
            </w:r>
          </w:p>
        </w:tc>
        <w:tc>
          <w:tcPr>
            <w:tcW w:w="53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29CB2AD">
            <w:pPr>
              <w:rPr>
                <w:rFonts w:hint="eastAsia" w:eastAsiaTheme="minorEastAsia"/>
                <w:lang w:eastAsia="zh-CN"/>
              </w:rPr>
            </w:pPr>
            <w:r>
              <w:rPr>
                <w:rFonts w:hint="eastAsia"/>
              </w:rPr>
              <w:t>一、强化城镇生活污水处理厂运行管理。全年计划对全市城镇生活污水处理厂及其配套管网、泵站开展日常水质监管。每月检测1次，全年检测12次。</w:t>
            </w:r>
          </w:p>
          <w:p w14:paraId="7BB4A424">
            <w:pPr>
              <w:rPr>
                <w:rFonts w:hint="eastAsia" w:eastAsiaTheme="minorEastAsia"/>
                <w:lang w:eastAsia="zh-CN"/>
              </w:rPr>
            </w:pPr>
            <w:r>
              <w:rPr>
                <w:rFonts w:hint="eastAsia"/>
              </w:rPr>
              <w:t>二、系统推进城市建成区黑臭水体和其他河道治理。计划每个月对全市6条黑臭水体及建成区其他26条河道进行检测，每200米设一个监测点，每条河道监测点位不少于3个，全部点位不少于132个，每月监测1次，全年监测12次。</w:t>
            </w:r>
          </w:p>
          <w:p w14:paraId="4E1040EC">
            <w:pPr>
              <w:rPr>
                <w:rFonts w:hint="eastAsia" w:eastAsiaTheme="minorEastAsia"/>
                <w:lang w:eastAsia="zh-CN"/>
              </w:rPr>
            </w:pPr>
            <w:r>
              <w:rPr>
                <w:rFonts w:hint="eastAsia"/>
              </w:rPr>
              <w:t>三、开展生活污水处理行业日常工作，迎接各种督察、检查等，确保完成年度行业各项工作任务及目标。</w:t>
            </w:r>
          </w:p>
          <w:p w14:paraId="3D7813EA">
            <w:r>
              <w:rPr>
                <w:rFonts w:hint="eastAsia"/>
              </w:rPr>
              <w:t>四、确保旧建委办公楼顺利搬迁和单位正常办公，保障办公楼装修费用及租金。</w:t>
            </w:r>
          </w:p>
        </w:tc>
      </w:tr>
      <w:tr w14:paraId="5447A10B">
        <w:tblPrEx>
          <w:tblCellMar>
            <w:top w:w="0" w:type="dxa"/>
            <w:left w:w="0" w:type="dxa"/>
            <w:bottom w:w="0" w:type="dxa"/>
            <w:right w:w="0" w:type="dxa"/>
          </w:tblCellMar>
        </w:tblPrEx>
        <w:trPr>
          <w:trHeight w:val="90" w:hRule="atLeast"/>
        </w:trPr>
        <w:tc>
          <w:tcPr>
            <w:tcW w:w="3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D919C1F">
            <w:r>
              <w:rPr>
                <w:rFonts w:hint="eastAsia"/>
              </w:rPr>
              <w:t>8</w:t>
            </w:r>
          </w:p>
        </w:tc>
        <w:tc>
          <w:tcPr>
            <w:tcW w:w="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4FD00BE">
            <w:r>
              <w:rPr>
                <w:rFonts w:hint="eastAsia"/>
              </w:rPr>
              <w:t>莆田市建设工程造价管理站</w:t>
            </w:r>
          </w:p>
        </w:tc>
        <w:tc>
          <w:tcPr>
            <w:tcW w:w="9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CB42D92">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6AE63C3">
            <w:r>
              <w:rPr>
                <w:rFonts w:hint="eastAsia"/>
              </w:rPr>
              <w:t>建设工程造价编制费用</w:t>
            </w:r>
          </w:p>
        </w:tc>
        <w:tc>
          <w:tcPr>
            <w:tcW w:w="53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E2DA4C9">
            <w:r>
              <w:rPr>
                <w:rFonts w:hint="eastAsia"/>
              </w:rPr>
              <w:t>认真贯彻执行国家和省建设工程造价管理的政策法规，做好建设工程造价日常管理工作；一年编制发布12期2020年《莆田建设工程造价信息》月刊；编制建设工程造价指标；一年发布2期园林绿化苗木价格；一年完成至少4次施工企业合同履约信用评价及开展工程建设领域无欠薪专项检查工作；每年对工程造价咨询业务和注册造价工程师进行监督检查,促进提高工程造价咨询成果质量；做好二级造价师培训工作；配合建筑业科做好建筑产业现代化推广工作、建筑劳务实名制管理平台等工作。</w:t>
            </w:r>
          </w:p>
        </w:tc>
      </w:tr>
      <w:tr w14:paraId="783D7CE1">
        <w:tblPrEx>
          <w:tblCellMar>
            <w:top w:w="0" w:type="dxa"/>
            <w:left w:w="0" w:type="dxa"/>
            <w:bottom w:w="0" w:type="dxa"/>
            <w:right w:w="0" w:type="dxa"/>
          </w:tblCellMar>
        </w:tblPrEx>
        <w:trPr>
          <w:trHeight w:val="90" w:hRule="atLeast"/>
        </w:trPr>
        <w:tc>
          <w:tcPr>
            <w:tcW w:w="3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9F9126C">
            <w:r>
              <w:rPr>
                <w:rFonts w:hint="eastAsia"/>
              </w:rPr>
              <w:t>9</w:t>
            </w:r>
          </w:p>
        </w:tc>
        <w:tc>
          <w:tcPr>
            <w:tcW w:w="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521570F">
            <w:r>
              <w:rPr>
                <w:rFonts w:hint="eastAsia"/>
              </w:rPr>
              <w:t>莆田市建设工程质量安全监督站</w:t>
            </w:r>
          </w:p>
        </w:tc>
        <w:tc>
          <w:tcPr>
            <w:tcW w:w="9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5B6BD27">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1ECBB76">
            <w:r>
              <w:rPr>
                <w:rFonts w:hint="eastAsia"/>
              </w:rPr>
              <w:t>监督项目土建工程和消防工程抽查抽测及日常宣传等工作经费</w:t>
            </w:r>
          </w:p>
        </w:tc>
        <w:tc>
          <w:tcPr>
            <w:tcW w:w="53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D6F79B1">
            <w:r>
              <w:rPr>
                <w:rFonts w:hint="eastAsia"/>
              </w:rPr>
              <w:t>1、对受监工程进行质量安全抽查抽测预计540次；2、加强建筑施工扬尘管控，综合运用日常巡查、随机抽查和远程监控、动态监管、信用评价等手段，预计150次；3、聘请机械安全专家对受监工程的塔吊、人货梯等机械设备进行检查指导，预计26人次，全年度累计发放日常安全宣传单预计4300份，4、对建筑施工质量安全检查所需的仪器设备进行日常维护预计13次；5、消防工程日常双随机检查预计50次。6、聘请消防检查专家预计25次。</w:t>
            </w:r>
          </w:p>
        </w:tc>
      </w:tr>
      <w:tr w14:paraId="647976E5">
        <w:tblPrEx>
          <w:tblCellMar>
            <w:top w:w="0" w:type="dxa"/>
            <w:left w:w="0" w:type="dxa"/>
            <w:bottom w:w="0" w:type="dxa"/>
            <w:right w:w="0" w:type="dxa"/>
          </w:tblCellMar>
        </w:tblPrEx>
        <w:trPr>
          <w:trHeight w:val="90" w:hRule="atLeast"/>
        </w:trPr>
        <w:tc>
          <w:tcPr>
            <w:tcW w:w="3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991A934">
            <w:r>
              <w:rPr>
                <w:rFonts w:hint="eastAsia"/>
              </w:rPr>
              <w:t>10</w:t>
            </w:r>
          </w:p>
        </w:tc>
        <w:tc>
          <w:tcPr>
            <w:tcW w:w="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30C9D78">
            <w:r>
              <w:rPr>
                <w:rFonts w:hint="eastAsia"/>
              </w:rPr>
              <w:t>莆田市房屋征收办公室</w:t>
            </w:r>
          </w:p>
        </w:tc>
        <w:tc>
          <w:tcPr>
            <w:tcW w:w="9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1AD0ECD">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F3972BC">
            <w:r>
              <w:rPr>
                <w:rFonts w:hint="eastAsia"/>
              </w:rPr>
              <w:t>征收（拆迁）及信访维稳等工作经费</w:t>
            </w:r>
          </w:p>
        </w:tc>
        <w:tc>
          <w:tcPr>
            <w:tcW w:w="53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C11F185">
            <w:r>
              <w:rPr>
                <w:rFonts w:hint="eastAsia"/>
              </w:rPr>
              <w:t>做好遗留项目拆迁纠纷调解裁决；处理征迁领域的信访、维稳等工作；指导各县区做好国有土地上房屋征收工作并出台相关政策规定；督促县区按计划完成安置房建设回迁，进行征收实施规范化考核；处理征收领域的信访、维稳等工作。</w:t>
            </w:r>
          </w:p>
        </w:tc>
      </w:tr>
      <w:tr w14:paraId="03C1C641">
        <w:tblPrEx>
          <w:tblCellMar>
            <w:top w:w="0" w:type="dxa"/>
            <w:left w:w="0" w:type="dxa"/>
            <w:bottom w:w="0" w:type="dxa"/>
            <w:right w:w="0" w:type="dxa"/>
          </w:tblCellMar>
        </w:tblPrEx>
        <w:trPr>
          <w:trHeight w:val="898" w:hRule="atLeast"/>
        </w:trPr>
        <w:tc>
          <w:tcPr>
            <w:tcW w:w="3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7AC1F04">
            <w:r>
              <w:rPr>
                <w:rFonts w:hint="eastAsia"/>
              </w:rPr>
              <w:t>11</w:t>
            </w:r>
          </w:p>
        </w:tc>
        <w:tc>
          <w:tcPr>
            <w:tcW w:w="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3331347">
            <w:r>
              <w:rPr>
                <w:rFonts w:hint="eastAsia"/>
              </w:rPr>
              <w:t>莆田市建设人才发展中心</w:t>
            </w:r>
          </w:p>
        </w:tc>
        <w:tc>
          <w:tcPr>
            <w:tcW w:w="9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D3433D7">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2248D24">
            <w:r>
              <w:rPr>
                <w:rFonts w:hint="eastAsia"/>
              </w:rPr>
              <w:t>建设行业上岗培训和继续教育</w:t>
            </w:r>
          </w:p>
        </w:tc>
        <w:tc>
          <w:tcPr>
            <w:tcW w:w="53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644E3B6">
            <w:r>
              <w:rPr>
                <w:rFonts w:hint="eastAsia"/>
              </w:rPr>
              <w:t>2020年建设行业上岗培训和继续教育培训全年计划25期，培训人次12000人。</w:t>
            </w:r>
          </w:p>
        </w:tc>
      </w:tr>
      <w:tr w14:paraId="059DF53C">
        <w:tblPrEx>
          <w:tblCellMar>
            <w:top w:w="0" w:type="dxa"/>
            <w:left w:w="0" w:type="dxa"/>
            <w:bottom w:w="0" w:type="dxa"/>
            <w:right w:w="0" w:type="dxa"/>
          </w:tblCellMar>
        </w:tblPrEx>
        <w:trPr>
          <w:trHeight w:val="90" w:hRule="atLeast"/>
        </w:trPr>
        <w:tc>
          <w:tcPr>
            <w:tcW w:w="3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8C2F11C">
            <w:r>
              <w:rPr>
                <w:rFonts w:hint="eastAsia"/>
              </w:rPr>
              <w:t>12</w:t>
            </w:r>
          </w:p>
        </w:tc>
        <w:tc>
          <w:tcPr>
            <w:tcW w:w="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0EC79AD">
            <w:r>
              <w:rPr>
                <w:rFonts w:hint="eastAsia"/>
              </w:rPr>
              <w:t>莆田市新型建材和散装水泥发展管理办公室</w:t>
            </w:r>
          </w:p>
        </w:tc>
        <w:tc>
          <w:tcPr>
            <w:tcW w:w="9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7289627">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EE83332">
            <w:r>
              <w:rPr>
                <w:rFonts w:hint="eastAsia"/>
              </w:rPr>
              <w:t>新材宣传、培训、执法等业务经费</w:t>
            </w:r>
          </w:p>
        </w:tc>
        <w:tc>
          <w:tcPr>
            <w:tcW w:w="53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3D364B9">
            <w:r>
              <w:rPr>
                <w:rFonts w:hint="eastAsia"/>
              </w:rPr>
              <w:t>新材企业的产品质量组织抽检，委托第三方检测机构进行质量抽检一年不少于12批次，产品质量合格率达70%以上。配合科技科开展的绿色建筑和建筑节能检查一年不少于2次，全年共计检查24个在建工程，检查率达100%。掌握全市新材产品和砼产品的生产，对生产数量进行月统计，预计新材产品产量达4亿块标砖；砼产量达450万立方米。协助对申请认定新型墙体材料资质的企业产品开展认定工作，收到转报件之日起10个工作日内组织专家到现场完成核实工作并上报省新材办。利用新闻媒体开展宣传提高推广力度，积极宣传绿色建筑法规、政策措施，加强舆论监督，营造开展绿色建筑行动的良好氛围，提高执法检查和监督处罚力度,提升全市新材企业的生产和产品质量，推进墙体材料革新和节能建筑的发展；组织实施新型墙体材料、散装水泥、预拌混凝土和预拌砂浆的新技术、新工艺、新设备推广应用。</w:t>
            </w:r>
          </w:p>
        </w:tc>
      </w:tr>
      <w:tr w14:paraId="345459D8">
        <w:tblPrEx>
          <w:tblCellMar>
            <w:top w:w="0" w:type="dxa"/>
            <w:left w:w="0" w:type="dxa"/>
            <w:bottom w:w="0" w:type="dxa"/>
            <w:right w:w="0" w:type="dxa"/>
          </w:tblCellMar>
        </w:tblPrEx>
        <w:trPr>
          <w:trHeight w:val="90" w:hRule="atLeast"/>
        </w:trPr>
        <w:tc>
          <w:tcPr>
            <w:tcW w:w="3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B7BE5B8">
            <w:r>
              <w:rPr>
                <w:rFonts w:hint="eastAsia"/>
              </w:rPr>
              <w:t>13</w:t>
            </w:r>
          </w:p>
        </w:tc>
        <w:tc>
          <w:tcPr>
            <w:tcW w:w="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9478731">
            <w:r>
              <w:rPr>
                <w:rFonts w:hint="eastAsia"/>
              </w:rPr>
              <w:t>莆田市房地产市场管理中心</w:t>
            </w:r>
          </w:p>
        </w:tc>
        <w:tc>
          <w:tcPr>
            <w:tcW w:w="9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6A1A47E">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7B98522">
            <w:r>
              <w:rPr>
                <w:rFonts w:hint="eastAsia"/>
              </w:rPr>
              <w:t>房地产市场监管经费</w:t>
            </w:r>
          </w:p>
        </w:tc>
        <w:tc>
          <w:tcPr>
            <w:tcW w:w="53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CA9EB50">
            <w:r>
              <w:rPr>
                <w:rFonts w:hint="eastAsia"/>
              </w:rPr>
              <w:t>贯彻落实中央、省、市房地产市场宏观调控各项政策措施，加快建立多主体供给、多渠道保障、租购并举的住房制度，均衡市场供给、稳控销售价格、规范房地产开发销售中介等市场行为、履行政府保障，促进我市房地产市场健康稳定发展，预计2020年全市房地产企业完成投资额约400亿元，商品房销售面积约400万平方米（届时以上级下达的目标任务为准），房地产中介备案200家。</w:t>
            </w:r>
          </w:p>
        </w:tc>
      </w:tr>
    </w:tbl>
    <w:p w14:paraId="5EB99845">
      <w:pPr>
        <w:ind w:firstLine="420" w:firstLineChars="200"/>
      </w:pPr>
      <w:r>
        <w:rPr>
          <w:rFonts w:hint="eastAsia"/>
        </w:rPr>
        <w:t>专项资金项目绩效目标</w:t>
      </w:r>
    </w:p>
    <w:p w14:paraId="3FDB1B27">
      <w:pPr>
        <w:ind w:firstLine="420" w:firstLineChars="200"/>
      </w:pPr>
      <w:r>
        <w:rPr>
          <w:rFonts w:hint="eastAsia"/>
        </w:rPr>
        <w:t>表3  莆田市住房和城乡建设局2020年专项资金项目绩效目标表 （单位：万元）</w:t>
      </w:r>
    </w:p>
    <w:tbl>
      <w:tblPr>
        <w:tblStyle w:val="17"/>
        <w:tblW w:w="0" w:type="auto"/>
        <w:tblInd w:w="0" w:type="dxa"/>
        <w:tblLayout w:type="fixed"/>
        <w:tblCellMar>
          <w:top w:w="0" w:type="dxa"/>
          <w:left w:w="0" w:type="dxa"/>
          <w:bottom w:w="0" w:type="dxa"/>
          <w:right w:w="0" w:type="dxa"/>
        </w:tblCellMar>
      </w:tblPr>
      <w:tblGrid>
        <w:gridCol w:w="383"/>
        <w:gridCol w:w="887"/>
        <w:gridCol w:w="900"/>
        <w:gridCol w:w="1351"/>
        <w:gridCol w:w="5350"/>
      </w:tblGrid>
      <w:tr w14:paraId="16AB1214">
        <w:tblPrEx>
          <w:tblCellMar>
            <w:top w:w="0" w:type="dxa"/>
            <w:left w:w="0" w:type="dxa"/>
            <w:bottom w:w="0" w:type="dxa"/>
            <w:right w:w="0" w:type="dxa"/>
          </w:tblCellMar>
        </w:tblPrEx>
        <w:trPr>
          <w:trHeight w:val="552"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5AFE4F">
            <w:r>
              <w:rPr>
                <w:rFonts w:hint="eastAsia"/>
              </w:rPr>
              <w:t>序号</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C7CCA7">
            <w:r>
              <w:rPr>
                <w:rFonts w:hint="eastAsia"/>
              </w:rPr>
              <w:t>单位名称</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A3FA41">
            <w:pPr>
              <w:ind w:firstLine="420" w:firstLineChars="200"/>
            </w:pPr>
            <w:r>
              <w:rPr>
                <w:rFonts w:hint="eastAsia"/>
              </w:rPr>
              <w:t>项目</w:t>
            </w:r>
          </w:p>
          <w:p w14:paraId="6EB446D8">
            <w:pPr>
              <w:ind w:firstLine="420" w:firstLineChars="200"/>
            </w:pPr>
            <w:r>
              <w:rPr>
                <w:rFonts w:hint="eastAsia"/>
              </w:rPr>
              <w:t>类别</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05D3E5">
            <w:pPr>
              <w:ind w:firstLine="420" w:firstLineChars="200"/>
            </w:pPr>
            <w:r>
              <w:rPr>
                <w:rFonts w:hint="eastAsia"/>
              </w:rPr>
              <w:t>项目</w:t>
            </w:r>
          </w:p>
          <w:p w14:paraId="0D7A39AB">
            <w:pPr>
              <w:ind w:firstLine="420" w:firstLineChars="200"/>
            </w:pPr>
            <w:r>
              <w:rPr>
                <w:rFonts w:hint="eastAsia"/>
              </w:rPr>
              <w:t>名称</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F0F216">
            <w:r>
              <w:rPr>
                <w:rFonts w:hint="eastAsia"/>
              </w:rPr>
              <w:t>绩效目标</w:t>
            </w:r>
          </w:p>
        </w:tc>
      </w:tr>
      <w:tr w14:paraId="5CAA8D3E">
        <w:tblPrEx>
          <w:tblCellMar>
            <w:top w:w="0" w:type="dxa"/>
            <w:left w:w="0" w:type="dxa"/>
            <w:bottom w:w="0" w:type="dxa"/>
            <w:right w:w="0" w:type="dxa"/>
          </w:tblCellMar>
        </w:tblPrEx>
        <w:trPr>
          <w:trHeight w:val="326"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9CD685"/>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C1BAD9"/>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9C0F60"/>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E1FD92"/>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6B5629"/>
        </w:tc>
      </w:tr>
      <w:tr w14:paraId="0D068959">
        <w:tblPrEx>
          <w:tblCellMar>
            <w:top w:w="0" w:type="dxa"/>
            <w:left w:w="0" w:type="dxa"/>
            <w:bottom w:w="0" w:type="dxa"/>
            <w:right w:w="0" w:type="dxa"/>
          </w:tblCellMar>
        </w:tblPrEx>
        <w:trPr>
          <w:trHeight w:val="704"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2896E3">
            <w:r>
              <w:rPr>
                <w:rFonts w:hint="eastAsia"/>
              </w:rPr>
              <w:t>1</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C1DDB3">
            <w:r>
              <w:rPr>
                <w:rFonts w:hint="eastAsia"/>
              </w:rPr>
              <w:t>莆田市住房和城乡建设局本级</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6690BD">
            <w:r>
              <w:rPr>
                <w:rFonts w:hint="eastAsia"/>
              </w:rPr>
              <w:t>发展性项目支出/其他项目支出</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F166B2">
            <w:r>
              <w:rPr>
                <w:rFonts w:hint="eastAsia"/>
              </w:rPr>
              <w:t>美丽乡村建设补助资金</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857419">
            <w:r>
              <w:rPr>
                <w:rFonts w:hint="eastAsia"/>
              </w:rPr>
              <w:t>完成省里下达的美丽乡村年度任务数29个</w:t>
            </w:r>
          </w:p>
        </w:tc>
      </w:tr>
      <w:tr w14:paraId="11E210ED">
        <w:tblPrEx>
          <w:tblCellMar>
            <w:top w:w="0" w:type="dxa"/>
            <w:left w:w="0" w:type="dxa"/>
            <w:bottom w:w="0" w:type="dxa"/>
            <w:right w:w="0" w:type="dxa"/>
          </w:tblCellMar>
        </w:tblPrEx>
        <w:trPr>
          <w:trHeight w:val="326"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4B549A"/>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262615"/>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18399F"/>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862756"/>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352922"/>
        </w:tc>
      </w:tr>
      <w:tr w14:paraId="4FBD8C14">
        <w:tblPrEx>
          <w:tblCellMar>
            <w:top w:w="0" w:type="dxa"/>
            <w:left w:w="0" w:type="dxa"/>
            <w:bottom w:w="0" w:type="dxa"/>
            <w:right w:w="0" w:type="dxa"/>
          </w:tblCellMar>
        </w:tblPrEx>
        <w:trPr>
          <w:trHeight w:val="704"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EB4698">
            <w:r>
              <w:rPr>
                <w:rFonts w:hint="eastAsia"/>
              </w:rPr>
              <w:t>2</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3F7735">
            <w:r>
              <w:rPr>
                <w:rFonts w:hint="eastAsia"/>
              </w:rPr>
              <w:t>莆田市住房和城乡建设局本级</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C02F40">
            <w:r>
              <w:rPr>
                <w:rFonts w:hint="eastAsia"/>
              </w:rPr>
              <w:t>发展性项目支出/其他项目支出</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3419E5">
            <w:r>
              <w:rPr>
                <w:rFonts w:hint="eastAsia"/>
              </w:rPr>
              <w:t>2020年城市公共停车设施以奖代补</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C7AEE3">
            <w:r>
              <w:rPr>
                <w:rFonts w:hint="eastAsia"/>
              </w:rPr>
              <w:t>项目共新建500个停车泊位。</w:t>
            </w:r>
          </w:p>
        </w:tc>
      </w:tr>
      <w:tr w14:paraId="47594095">
        <w:tblPrEx>
          <w:tblCellMar>
            <w:top w:w="0" w:type="dxa"/>
            <w:left w:w="0" w:type="dxa"/>
            <w:bottom w:w="0" w:type="dxa"/>
            <w:right w:w="0" w:type="dxa"/>
          </w:tblCellMar>
        </w:tblPrEx>
        <w:trPr>
          <w:trHeight w:val="605"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AA7B5D"/>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85A1BC"/>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E737C4"/>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00E7DE"/>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F8F19E"/>
        </w:tc>
      </w:tr>
      <w:tr w14:paraId="7FBAA934">
        <w:tblPrEx>
          <w:tblCellMar>
            <w:top w:w="0" w:type="dxa"/>
            <w:left w:w="0" w:type="dxa"/>
            <w:bottom w:w="0" w:type="dxa"/>
            <w:right w:w="0" w:type="dxa"/>
          </w:tblCellMar>
        </w:tblPrEx>
        <w:trPr>
          <w:trHeight w:val="704"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247DCE">
            <w:r>
              <w:rPr>
                <w:rFonts w:hint="eastAsia"/>
              </w:rPr>
              <w:t>3</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196196">
            <w:r>
              <w:rPr>
                <w:rFonts w:hint="eastAsia"/>
              </w:rPr>
              <w:t>莆田市住房和城乡建设局本级</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3B7013">
            <w:r>
              <w:rPr>
                <w:rFonts w:hint="eastAsia"/>
              </w:rPr>
              <w:t>发展性项目支出/信息化建设支出</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D60F9B">
            <w:r>
              <w:rPr>
                <w:rFonts w:hint="eastAsia"/>
              </w:rPr>
              <w:t>莆田市智慧住建大数据管理系统及智控集成综合平台</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B10D28">
            <w:r>
              <w:rPr>
                <w:rFonts w:hint="eastAsia"/>
              </w:rPr>
              <w:t>提升住建领域信息化水平</w:t>
            </w:r>
          </w:p>
        </w:tc>
      </w:tr>
      <w:tr w14:paraId="3016677B">
        <w:tblPrEx>
          <w:tblCellMar>
            <w:top w:w="0" w:type="dxa"/>
            <w:left w:w="0" w:type="dxa"/>
            <w:bottom w:w="0" w:type="dxa"/>
            <w:right w:w="0" w:type="dxa"/>
          </w:tblCellMar>
        </w:tblPrEx>
        <w:trPr>
          <w:trHeight w:val="704"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006853"/>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9BE707"/>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4EEC98"/>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95386F"/>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1F3403"/>
        </w:tc>
      </w:tr>
      <w:tr w14:paraId="0F98931E">
        <w:tblPrEx>
          <w:tblCellMar>
            <w:top w:w="0" w:type="dxa"/>
            <w:left w:w="0" w:type="dxa"/>
            <w:bottom w:w="0" w:type="dxa"/>
            <w:right w:w="0" w:type="dxa"/>
          </w:tblCellMar>
        </w:tblPrEx>
        <w:trPr>
          <w:trHeight w:val="444"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C9FE50"/>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C80E43"/>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B81419"/>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C24ABB"/>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71B0D8"/>
        </w:tc>
      </w:tr>
      <w:tr w14:paraId="3B04B7AF">
        <w:tblPrEx>
          <w:tblCellMar>
            <w:top w:w="0" w:type="dxa"/>
            <w:left w:w="0" w:type="dxa"/>
            <w:bottom w:w="0" w:type="dxa"/>
            <w:right w:w="0" w:type="dxa"/>
          </w:tblCellMar>
        </w:tblPrEx>
        <w:trPr>
          <w:trHeight w:val="1270" w:hRule="atLeast"/>
        </w:trPr>
        <w:tc>
          <w:tcPr>
            <w:tcW w:w="3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C553B7">
            <w:r>
              <w:rPr>
                <w:rFonts w:hint="eastAsia"/>
              </w:rPr>
              <w:t>4</w:t>
            </w:r>
          </w:p>
        </w:tc>
        <w:tc>
          <w:tcPr>
            <w:tcW w:w="8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D0FE9F">
            <w:r>
              <w:rPr>
                <w:rFonts w:hint="eastAsia"/>
              </w:rPr>
              <w:t>莆田市住房和城乡建设局本级</w:t>
            </w:r>
          </w:p>
        </w:tc>
        <w:tc>
          <w:tcPr>
            <w:tcW w:w="9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43E92A">
            <w:r>
              <w:rPr>
                <w:rFonts w:hint="eastAsia"/>
              </w:rPr>
              <w:t>发展性项目支出/其他项目支出</w:t>
            </w:r>
          </w:p>
        </w:tc>
        <w:tc>
          <w:tcPr>
            <w:tcW w:w="13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7D0584">
            <w:r>
              <w:rPr>
                <w:rFonts w:hint="eastAsia"/>
              </w:rPr>
              <w:t>莆田市城市污水工程专项规划（修编）</w:t>
            </w:r>
          </w:p>
        </w:tc>
        <w:tc>
          <w:tcPr>
            <w:tcW w:w="53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43C3BF">
            <w:r>
              <w:rPr>
                <w:rFonts w:hint="eastAsia"/>
              </w:rPr>
              <w:t>完成莆田市城市污水工程专项规划修编工作。</w:t>
            </w:r>
          </w:p>
        </w:tc>
      </w:tr>
      <w:tr w14:paraId="702871FF">
        <w:tblPrEx>
          <w:tblCellMar>
            <w:top w:w="0" w:type="dxa"/>
            <w:left w:w="0" w:type="dxa"/>
            <w:bottom w:w="0" w:type="dxa"/>
            <w:right w:w="0" w:type="dxa"/>
          </w:tblCellMar>
        </w:tblPrEx>
        <w:trPr>
          <w:trHeight w:val="704"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4DE42E">
            <w:r>
              <w:rPr>
                <w:rFonts w:hint="eastAsia"/>
              </w:rPr>
              <w:t>5</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671FCD">
            <w:r>
              <w:rPr>
                <w:rFonts w:hint="eastAsia"/>
              </w:rPr>
              <w:t>莆田市住房和城乡建设局本级</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F16D90">
            <w:r>
              <w:rPr>
                <w:rFonts w:hint="eastAsia"/>
              </w:rPr>
              <w:t>发展性项目支出/基本建设项目支出</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7A7B58">
            <w:r>
              <w:rPr>
                <w:rFonts w:hint="eastAsia"/>
              </w:rPr>
              <w:t>福厦铁路沿线环境综合整治“以奖代补”资金</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482A5D">
            <w:r>
              <w:rPr>
                <w:rFonts w:hint="eastAsia"/>
              </w:rPr>
              <w:t>完成沿线房屋立面整治1400栋、平改坡900栋、新增绿廊花廊6条、沿线绿化提升方案1份，公众满意度达90%以上。</w:t>
            </w:r>
          </w:p>
        </w:tc>
      </w:tr>
      <w:tr w14:paraId="4A90C889">
        <w:tblPrEx>
          <w:tblCellMar>
            <w:top w:w="0" w:type="dxa"/>
            <w:left w:w="0" w:type="dxa"/>
            <w:bottom w:w="0" w:type="dxa"/>
            <w:right w:w="0" w:type="dxa"/>
          </w:tblCellMar>
        </w:tblPrEx>
        <w:trPr>
          <w:trHeight w:val="704"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36946A"/>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012152"/>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A01296"/>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D3FE85"/>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AE4A8C"/>
        </w:tc>
      </w:tr>
      <w:tr w14:paraId="1CC6BC8C">
        <w:tblPrEx>
          <w:tblCellMar>
            <w:top w:w="0" w:type="dxa"/>
            <w:left w:w="0" w:type="dxa"/>
            <w:bottom w:w="0" w:type="dxa"/>
            <w:right w:w="0" w:type="dxa"/>
          </w:tblCellMar>
        </w:tblPrEx>
        <w:trPr>
          <w:trHeight w:val="326"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6454DF"/>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758394"/>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294F85"/>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25E489"/>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712FE6"/>
        </w:tc>
      </w:tr>
      <w:tr w14:paraId="29207901">
        <w:tblPrEx>
          <w:tblCellMar>
            <w:top w:w="0" w:type="dxa"/>
            <w:left w:w="0" w:type="dxa"/>
            <w:bottom w:w="0" w:type="dxa"/>
            <w:right w:w="0" w:type="dxa"/>
          </w:tblCellMar>
        </w:tblPrEx>
        <w:trPr>
          <w:trHeight w:val="951"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52F703">
            <w:r>
              <w:rPr>
                <w:rFonts w:hint="eastAsia"/>
              </w:rPr>
              <w:t>6</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8742C2">
            <w:r>
              <w:rPr>
                <w:rFonts w:hint="eastAsia"/>
              </w:rPr>
              <w:t>莆田市住房和城乡建设局本级</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41A06D">
            <w:r>
              <w:rPr>
                <w:rFonts w:hint="eastAsia"/>
              </w:rPr>
              <w:t>发展性项目支出/其他项目支出</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845106">
            <w:r>
              <w:rPr>
                <w:rFonts w:hint="eastAsia"/>
              </w:rPr>
              <w:t>省提前下达2020年省级保障性安居工程专项补助资金</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BC0FF1">
            <w:r>
              <w:rPr>
                <w:rFonts w:hint="eastAsia"/>
              </w:rPr>
              <w:t>完成城厢区县委300套小区改造，位于荔城南大道，涉及300户、12栋、建筑面积3.86万平方米，改造内容：道路修缮、管线改造、雨污分流等。</w:t>
            </w:r>
          </w:p>
        </w:tc>
      </w:tr>
      <w:tr w14:paraId="400BCD8C">
        <w:tblPrEx>
          <w:tblCellMar>
            <w:top w:w="0" w:type="dxa"/>
            <w:left w:w="0" w:type="dxa"/>
            <w:bottom w:w="0" w:type="dxa"/>
            <w:right w:w="0" w:type="dxa"/>
          </w:tblCellMar>
        </w:tblPrEx>
        <w:trPr>
          <w:trHeight w:val="671"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76AFC2"/>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22D04B"/>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CF1FD6"/>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38D72F"/>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6C0E59"/>
        </w:tc>
      </w:tr>
      <w:tr w14:paraId="1D06C7EA">
        <w:tblPrEx>
          <w:tblCellMar>
            <w:top w:w="0" w:type="dxa"/>
            <w:left w:w="0" w:type="dxa"/>
            <w:bottom w:w="0" w:type="dxa"/>
            <w:right w:w="0" w:type="dxa"/>
          </w:tblCellMar>
        </w:tblPrEx>
        <w:trPr>
          <w:trHeight w:val="704"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AC77ED">
            <w:r>
              <w:rPr>
                <w:rFonts w:hint="eastAsia"/>
              </w:rPr>
              <w:t>7</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A29746">
            <w:r>
              <w:rPr>
                <w:rFonts w:hint="eastAsia"/>
              </w:rPr>
              <w:t>莆田市住房和城乡建设局本级</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DB7781">
            <w:r>
              <w:rPr>
                <w:rFonts w:hint="eastAsia"/>
              </w:rPr>
              <w:t xml:space="preserve">发展性项目支出/市级财政专项资金 </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CD906F">
            <w:r>
              <w:rPr>
                <w:rFonts w:hint="eastAsia"/>
              </w:rPr>
              <w:t>保障性安居工程建设资金</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607B72">
            <w:r>
              <w:rPr>
                <w:rFonts w:hint="eastAsia"/>
              </w:rPr>
              <w:t>2020年市级计提住房公积金增值收益用于保障性安居工程补助资金安排不少于5000万元（参照往年标准），促进全面完成全年保障性安居工程目标任务，计划新开工棚改1805套。</w:t>
            </w:r>
          </w:p>
        </w:tc>
      </w:tr>
      <w:tr w14:paraId="78F4F980">
        <w:tblPrEx>
          <w:tblCellMar>
            <w:top w:w="0" w:type="dxa"/>
            <w:left w:w="0" w:type="dxa"/>
            <w:bottom w:w="0" w:type="dxa"/>
            <w:right w:w="0" w:type="dxa"/>
          </w:tblCellMar>
        </w:tblPrEx>
        <w:trPr>
          <w:trHeight w:val="704"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5136E3"/>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D3703D"/>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0C8038"/>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05D570"/>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43C543"/>
        </w:tc>
      </w:tr>
      <w:tr w14:paraId="34C28004">
        <w:tblPrEx>
          <w:tblCellMar>
            <w:top w:w="0" w:type="dxa"/>
            <w:left w:w="0" w:type="dxa"/>
            <w:bottom w:w="0" w:type="dxa"/>
            <w:right w:w="0" w:type="dxa"/>
          </w:tblCellMar>
        </w:tblPrEx>
        <w:trPr>
          <w:trHeight w:val="326"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4C26CE"/>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D66507"/>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9CF60C"/>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9C276F"/>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E7FAA5"/>
        </w:tc>
      </w:tr>
      <w:tr w14:paraId="49D04558">
        <w:tblPrEx>
          <w:tblCellMar>
            <w:top w:w="0" w:type="dxa"/>
            <w:left w:w="0" w:type="dxa"/>
            <w:bottom w:w="0" w:type="dxa"/>
            <w:right w:w="0" w:type="dxa"/>
          </w:tblCellMar>
        </w:tblPrEx>
        <w:trPr>
          <w:trHeight w:val="981" w:hRule="atLeast"/>
        </w:trPr>
        <w:tc>
          <w:tcPr>
            <w:tcW w:w="3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A2143D">
            <w:r>
              <w:rPr>
                <w:rFonts w:hint="eastAsia"/>
              </w:rPr>
              <w:t>8</w:t>
            </w:r>
          </w:p>
        </w:tc>
        <w:tc>
          <w:tcPr>
            <w:tcW w:w="8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462220">
            <w:r>
              <w:rPr>
                <w:rFonts w:hint="eastAsia"/>
              </w:rPr>
              <w:t>莆田市住房和城乡建设局本级</w:t>
            </w:r>
          </w:p>
        </w:tc>
        <w:tc>
          <w:tcPr>
            <w:tcW w:w="9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34F98E">
            <w:r>
              <w:rPr>
                <w:rFonts w:hint="eastAsia"/>
              </w:rPr>
              <w:t>部门业务费</w:t>
            </w:r>
          </w:p>
        </w:tc>
        <w:tc>
          <w:tcPr>
            <w:tcW w:w="13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CD31DF">
            <w:r>
              <w:rPr>
                <w:rFonts w:hint="eastAsia"/>
              </w:rPr>
              <w:t>原市本级廉租住房改造工程遗留问题处置结算（2019年项目尾款）</w:t>
            </w:r>
          </w:p>
        </w:tc>
        <w:tc>
          <w:tcPr>
            <w:tcW w:w="53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335F4C">
            <w:r>
              <w:rPr>
                <w:rFonts w:hint="eastAsia"/>
              </w:rPr>
              <w:t>完成原荔港大道拆迁安置房配建廉租房改建工程纠纷一审诉讼费分摊、延寿山庄二期安置房改建廉租房改造工程委托第三方结算编制咨询费用、延寿山庄二期安置房改建廉租房改造工程结算费用3个细化项目的结算，确保遗留问题处置到位无后遗症。</w:t>
            </w:r>
          </w:p>
        </w:tc>
      </w:tr>
      <w:tr w14:paraId="76543C96">
        <w:tblPrEx>
          <w:tblCellMar>
            <w:top w:w="0" w:type="dxa"/>
            <w:left w:w="0" w:type="dxa"/>
            <w:bottom w:w="0" w:type="dxa"/>
            <w:right w:w="0" w:type="dxa"/>
          </w:tblCellMar>
        </w:tblPrEx>
        <w:trPr>
          <w:trHeight w:val="928" w:hRule="atLeast"/>
        </w:trPr>
        <w:tc>
          <w:tcPr>
            <w:tcW w:w="3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F153C1">
            <w:r>
              <w:rPr>
                <w:rFonts w:hint="eastAsia"/>
              </w:rPr>
              <w:t>9</w:t>
            </w:r>
          </w:p>
        </w:tc>
        <w:tc>
          <w:tcPr>
            <w:tcW w:w="8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E0B385">
            <w:r>
              <w:rPr>
                <w:rFonts w:hint="eastAsia"/>
              </w:rPr>
              <w:t>莆田市园林管理局</w:t>
            </w:r>
          </w:p>
        </w:tc>
        <w:tc>
          <w:tcPr>
            <w:tcW w:w="9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F6C402">
            <w:r>
              <w:rPr>
                <w:rFonts w:hint="eastAsia"/>
              </w:rPr>
              <w:t>发展性项目支出/基本建设项目支出</w:t>
            </w:r>
          </w:p>
        </w:tc>
        <w:tc>
          <w:tcPr>
            <w:tcW w:w="13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B9CB8D">
            <w:r>
              <w:rPr>
                <w:rFonts w:hint="eastAsia"/>
              </w:rPr>
              <w:t>绶溪片区基础设施建设</w:t>
            </w:r>
          </w:p>
        </w:tc>
        <w:tc>
          <w:tcPr>
            <w:tcW w:w="53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FC7B26">
            <w:r>
              <w:rPr>
                <w:rFonts w:hint="eastAsia"/>
              </w:rPr>
              <w:t>实施启动区建设、刘克庄文化园、状元阁、状元桥等项目建设，绿化面积约20000平方米，仿古建筑约5座，硬质铺装铺设约3000平方米，立体停车场1座；成功获评国家4A级旅游景区</w:t>
            </w:r>
          </w:p>
        </w:tc>
      </w:tr>
      <w:tr w14:paraId="0C99424F">
        <w:tblPrEx>
          <w:tblCellMar>
            <w:top w:w="0" w:type="dxa"/>
            <w:left w:w="0" w:type="dxa"/>
            <w:bottom w:w="0" w:type="dxa"/>
            <w:right w:w="0" w:type="dxa"/>
          </w:tblCellMar>
        </w:tblPrEx>
        <w:trPr>
          <w:trHeight w:val="395"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D7D4FC">
            <w:r>
              <w:rPr>
                <w:rFonts w:hint="eastAsia"/>
              </w:rPr>
              <w:t>10</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1BD2D5">
            <w:r>
              <w:rPr>
                <w:rFonts w:hint="eastAsia"/>
              </w:rPr>
              <w:t>莆田市园林管理局</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45F53E">
            <w:r>
              <w:rPr>
                <w:rFonts w:hint="eastAsia"/>
              </w:rPr>
              <w:t>发展性项目支出/其他项目支出</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935D2C">
            <w:r>
              <w:rPr>
                <w:rFonts w:hint="eastAsia"/>
              </w:rPr>
              <w:t>莆田市公共自行车PPP项目</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9B140F">
            <w:r>
              <w:rPr>
                <w:rFonts w:hint="eastAsia"/>
              </w:rPr>
              <w:t>2019年年底前完成全部970个站点建设，投放3.1万辆自行车，实现建成区全域覆盖。2020年按照合同条款需支付一期第二笔及二期第一笔可用性付费，并根据实际有效运营次数支付运营补贴,支付合规性论证费用8万。</w:t>
            </w:r>
          </w:p>
        </w:tc>
      </w:tr>
      <w:tr w14:paraId="0539BD50">
        <w:tblPrEx>
          <w:tblCellMar>
            <w:top w:w="0" w:type="dxa"/>
            <w:left w:w="0" w:type="dxa"/>
            <w:bottom w:w="0" w:type="dxa"/>
            <w:right w:w="0" w:type="dxa"/>
          </w:tblCellMar>
        </w:tblPrEx>
        <w:trPr>
          <w:trHeight w:val="331"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3E6C42"/>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A2BC57"/>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ED77BD"/>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74AF6B"/>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DB87D1"/>
        </w:tc>
      </w:tr>
      <w:tr w14:paraId="66614EB6">
        <w:tblPrEx>
          <w:tblCellMar>
            <w:top w:w="0" w:type="dxa"/>
            <w:left w:w="0" w:type="dxa"/>
            <w:bottom w:w="0" w:type="dxa"/>
            <w:right w:w="0" w:type="dxa"/>
          </w:tblCellMar>
        </w:tblPrEx>
        <w:trPr>
          <w:trHeight w:val="331"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843236"/>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B76F73"/>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65B5AE"/>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7221CF"/>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B33940"/>
        </w:tc>
      </w:tr>
      <w:tr w14:paraId="06E4AA32">
        <w:tblPrEx>
          <w:tblCellMar>
            <w:top w:w="0" w:type="dxa"/>
            <w:left w:w="0" w:type="dxa"/>
            <w:bottom w:w="0" w:type="dxa"/>
            <w:right w:w="0" w:type="dxa"/>
          </w:tblCellMar>
        </w:tblPrEx>
        <w:trPr>
          <w:trHeight w:val="326"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19EF51"/>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F72986"/>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18453C"/>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01AB57"/>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D2C5DD"/>
        </w:tc>
      </w:tr>
      <w:tr w14:paraId="32E2F091">
        <w:tblPrEx>
          <w:tblCellMar>
            <w:top w:w="0" w:type="dxa"/>
            <w:left w:w="0" w:type="dxa"/>
            <w:bottom w:w="0" w:type="dxa"/>
            <w:right w:w="0" w:type="dxa"/>
          </w:tblCellMar>
        </w:tblPrEx>
        <w:trPr>
          <w:trHeight w:val="704"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EF782F">
            <w:r>
              <w:rPr>
                <w:rFonts w:hint="eastAsia"/>
              </w:rPr>
              <w:t>11</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DC21C1">
            <w:r>
              <w:rPr>
                <w:rFonts w:hint="eastAsia"/>
              </w:rPr>
              <w:t>莆田市园林管理局</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4B8C09">
            <w:r>
              <w:rPr>
                <w:rFonts w:hint="eastAsia"/>
              </w:rPr>
              <w:t>发展性项目支出/市级财政专项资金</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4E054C">
            <w:r>
              <w:rPr>
                <w:rFonts w:hint="eastAsia"/>
              </w:rPr>
              <w:t>园林绿化“以奖代补”奖金</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8814ED">
            <w:r>
              <w:rPr>
                <w:rFonts w:hint="eastAsia"/>
              </w:rPr>
              <w:t>针对全市7个县（区）、管委会，开展1次综合考评，并发放“以奖代补”奖金600万元。</w:t>
            </w:r>
          </w:p>
        </w:tc>
      </w:tr>
      <w:tr w14:paraId="534DFB2E">
        <w:tblPrEx>
          <w:tblCellMar>
            <w:top w:w="0" w:type="dxa"/>
            <w:left w:w="0" w:type="dxa"/>
            <w:bottom w:w="0" w:type="dxa"/>
            <w:right w:w="0" w:type="dxa"/>
          </w:tblCellMar>
        </w:tblPrEx>
        <w:trPr>
          <w:trHeight w:val="443"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4BFDB3"/>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36A88E"/>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840E01"/>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BABB84"/>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032575"/>
        </w:tc>
      </w:tr>
      <w:tr w14:paraId="29B53D4F">
        <w:tblPrEx>
          <w:tblCellMar>
            <w:top w:w="0" w:type="dxa"/>
            <w:left w:w="0" w:type="dxa"/>
            <w:bottom w:w="0" w:type="dxa"/>
            <w:right w:w="0" w:type="dxa"/>
          </w:tblCellMar>
        </w:tblPrEx>
        <w:trPr>
          <w:trHeight w:val="795" w:hRule="atLeast"/>
        </w:trPr>
        <w:tc>
          <w:tcPr>
            <w:tcW w:w="3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8386F4">
            <w:r>
              <w:rPr>
                <w:rFonts w:hint="eastAsia"/>
              </w:rPr>
              <w:t>12</w:t>
            </w:r>
          </w:p>
        </w:tc>
        <w:tc>
          <w:tcPr>
            <w:tcW w:w="8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C51481">
            <w:r>
              <w:rPr>
                <w:rFonts w:hint="eastAsia"/>
              </w:rPr>
              <w:t>莆田市园林管理局</w:t>
            </w:r>
          </w:p>
        </w:tc>
        <w:tc>
          <w:tcPr>
            <w:tcW w:w="9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4C7722">
            <w:r>
              <w:rPr>
                <w:rFonts w:hint="eastAsia"/>
              </w:rPr>
              <w:t>发展性项目支出/其他项目支出</w:t>
            </w:r>
          </w:p>
        </w:tc>
        <w:tc>
          <w:tcPr>
            <w:tcW w:w="13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1D4A86">
            <w:r>
              <w:rPr>
                <w:rFonts w:hint="eastAsia"/>
              </w:rPr>
              <w:t>高铁沿线黄石七境段园林绿化景观项目</w:t>
            </w:r>
          </w:p>
        </w:tc>
        <w:tc>
          <w:tcPr>
            <w:tcW w:w="53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0C7CD9">
            <w:r>
              <w:rPr>
                <w:rFonts w:hint="eastAsia"/>
              </w:rPr>
              <w:t>按阶段保质保量完成建设工作，计划完成绿道建设面积约119915平方米，生态绿屏面积约40616.4平方米。</w:t>
            </w:r>
          </w:p>
        </w:tc>
      </w:tr>
      <w:tr w14:paraId="1B38E805">
        <w:tblPrEx>
          <w:tblCellMar>
            <w:top w:w="0" w:type="dxa"/>
            <w:left w:w="0" w:type="dxa"/>
            <w:bottom w:w="0" w:type="dxa"/>
            <w:right w:w="0" w:type="dxa"/>
          </w:tblCellMar>
        </w:tblPrEx>
        <w:trPr>
          <w:trHeight w:val="795" w:hRule="atLeast"/>
        </w:trPr>
        <w:tc>
          <w:tcPr>
            <w:tcW w:w="3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685EC9">
            <w:r>
              <w:rPr>
                <w:rFonts w:hint="eastAsia"/>
              </w:rPr>
              <w:t>13</w:t>
            </w:r>
          </w:p>
        </w:tc>
        <w:tc>
          <w:tcPr>
            <w:tcW w:w="8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893EC7">
            <w:r>
              <w:rPr>
                <w:rFonts w:hint="eastAsia"/>
              </w:rPr>
              <w:t>莆田市园林管理局</w:t>
            </w:r>
          </w:p>
        </w:tc>
        <w:tc>
          <w:tcPr>
            <w:tcW w:w="9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E32C84">
            <w:r>
              <w:rPr>
                <w:rFonts w:hint="eastAsia"/>
              </w:rPr>
              <w:t>发展性项目支出/其他项目支出</w:t>
            </w:r>
          </w:p>
        </w:tc>
        <w:tc>
          <w:tcPr>
            <w:tcW w:w="13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38D909">
            <w:r>
              <w:rPr>
                <w:rFonts w:hint="eastAsia"/>
              </w:rPr>
              <w:t>迎宾大道品质提升工程</w:t>
            </w:r>
          </w:p>
        </w:tc>
        <w:tc>
          <w:tcPr>
            <w:tcW w:w="53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3531A0">
            <w:r>
              <w:rPr>
                <w:rFonts w:hint="eastAsia"/>
              </w:rPr>
              <w:t>按阶段保质保量完成建设工作，完成沿线中、侧三条绿化分隔带绿化提升、桥梁花化彩化、两侧各30米范围绿地绿化提升、绿道建设及附属设施的建设与迎宾大道7.1公里的路面提升。</w:t>
            </w:r>
          </w:p>
        </w:tc>
      </w:tr>
      <w:tr w14:paraId="14051854">
        <w:tblPrEx>
          <w:tblCellMar>
            <w:top w:w="0" w:type="dxa"/>
            <w:left w:w="0" w:type="dxa"/>
            <w:bottom w:w="0" w:type="dxa"/>
            <w:right w:w="0" w:type="dxa"/>
          </w:tblCellMar>
        </w:tblPrEx>
        <w:trPr>
          <w:trHeight w:val="795" w:hRule="atLeast"/>
        </w:trPr>
        <w:tc>
          <w:tcPr>
            <w:tcW w:w="3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0C2F3A">
            <w:r>
              <w:rPr>
                <w:rFonts w:hint="eastAsia"/>
              </w:rPr>
              <w:t>14</w:t>
            </w:r>
          </w:p>
        </w:tc>
        <w:tc>
          <w:tcPr>
            <w:tcW w:w="8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BE9DA3">
            <w:r>
              <w:rPr>
                <w:rFonts w:hint="eastAsia"/>
              </w:rPr>
              <w:t>莆田市园林管理局</w:t>
            </w:r>
          </w:p>
        </w:tc>
        <w:tc>
          <w:tcPr>
            <w:tcW w:w="9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F8D790">
            <w:r>
              <w:rPr>
                <w:rFonts w:hint="eastAsia"/>
              </w:rPr>
              <w:t>业务经费/常年性业务费</w:t>
            </w:r>
          </w:p>
        </w:tc>
        <w:tc>
          <w:tcPr>
            <w:tcW w:w="13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987B42">
            <w:r>
              <w:rPr>
                <w:rFonts w:hint="eastAsia"/>
              </w:rPr>
              <w:t>莆田市公共自行车PPP项目服务费用</w:t>
            </w:r>
          </w:p>
        </w:tc>
        <w:tc>
          <w:tcPr>
            <w:tcW w:w="53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076728">
            <w:pPr>
              <w:rPr>
                <w:rFonts w:hint="eastAsia" w:eastAsiaTheme="minorEastAsia"/>
                <w:lang w:eastAsia="zh-CN"/>
              </w:rPr>
            </w:pPr>
            <w:r>
              <w:rPr>
                <w:rFonts w:hint="eastAsia"/>
              </w:rPr>
              <w:t>1、每月对运营单位的运营数据及补贴费用进行审计服务</w:t>
            </w:r>
          </w:p>
          <w:p w14:paraId="5DEC5D79">
            <w:r>
              <w:rPr>
                <w:rFonts w:hint="eastAsia"/>
              </w:rPr>
              <w:t>2、莆田市公共自行车PPP项目通过合规性论证</w:t>
            </w:r>
          </w:p>
        </w:tc>
      </w:tr>
    </w:tbl>
    <w:p w14:paraId="64610764">
      <w:pPr>
        <w:ind w:firstLine="420" w:firstLineChars="200"/>
      </w:pPr>
      <w:bookmarkStart w:id="560" w:name="_Toc23632"/>
      <w:r>
        <w:rPr>
          <w:rFonts w:hint="eastAsia"/>
        </w:rPr>
        <w:t>（三）部门整体支出预算与预算执行完成情况</w:t>
      </w:r>
      <w:bookmarkEnd w:id="560"/>
    </w:p>
    <w:p w14:paraId="7B5CCC4E">
      <w:pPr>
        <w:ind w:firstLine="420" w:firstLineChars="200"/>
      </w:pPr>
      <w:r>
        <w:rPr>
          <w:rFonts w:hint="eastAsia"/>
        </w:rPr>
        <w:t>1.部门整体支出预算</w:t>
      </w:r>
    </w:p>
    <w:p w14:paraId="58E8AAC3">
      <w:pPr>
        <w:ind w:firstLine="420" w:firstLineChars="200"/>
      </w:pPr>
      <w:r>
        <w:rPr>
          <w:rFonts w:hint="eastAsia"/>
        </w:rPr>
        <w:t>根据《莆田市财政局关于批复2020年市本级部门预算的通知》（莆财建【2020】12号）文件，莆田市住房和城乡建设局2020年度支出预算39774.96万元，其中一般公共预算支出预算8945.96万元，政府性基金预算30829万元。调整后年度预算安排金额154975.2万元，其中莆田市住房和城乡建设局本级24609.84万元。</w:t>
      </w:r>
    </w:p>
    <w:p w14:paraId="6A772557">
      <w:pPr>
        <w:ind w:firstLine="420" w:firstLineChars="200"/>
      </w:pPr>
      <w:r>
        <w:rPr>
          <w:rFonts w:hint="eastAsia"/>
        </w:rPr>
        <w:t>2.预算执行完成情况</w:t>
      </w:r>
    </w:p>
    <w:p w14:paraId="4D4DACCD">
      <w:pPr>
        <w:ind w:firstLine="420" w:firstLineChars="200"/>
      </w:pPr>
      <w:r>
        <w:rPr>
          <w:rFonts w:hint="eastAsia"/>
        </w:rPr>
        <w:t>2020年年初结转结余66.9万元，本年部门预算实际到位收入75843.13万元，本年实际支出71233.01万元（包括人员经费、公用经费和项目经费），结余分配0万元，年末结转结余4677.02万元。预算执行率93.92%。</w:t>
      </w:r>
    </w:p>
    <w:p w14:paraId="073D5A9D">
      <w:pPr>
        <w:ind w:firstLine="420" w:firstLineChars="200"/>
      </w:pPr>
      <w:bookmarkStart w:id="561" w:name="_Toc30904"/>
      <w:r>
        <w:rPr>
          <w:rFonts w:hint="eastAsia"/>
        </w:rPr>
        <w:t>部门整体支出绩效评价实施过程</w:t>
      </w:r>
      <w:bookmarkEnd w:id="561"/>
    </w:p>
    <w:p w14:paraId="199E506A">
      <w:pPr>
        <w:ind w:firstLine="420" w:firstLineChars="200"/>
      </w:pPr>
      <w:bookmarkStart w:id="562" w:name="_Toc24492"/>
      <w:r>
        <w:t>（一）绩效评价目的</w:t>
      </w:r>
      <w:bookmarkEnd w:id="562"/>
    </w:p>
    <w:p w14:paraId="053F32E8">
      <w:pPr>
        <w:ind w:firstLine="420" w:firstLineChars="200"/>
      </w:pPr>
      <w:r>
        <w:rPr>
          <w:rFonts w:hint="eastAsia"/>
        </w:rPr>
        <w:t>根据部门整体设定的预期目标，选择合适的评价指标和标准，运用科学的评价方法，对资金使用全过程及其支出的产出效益和满意度等进行客观公正的综合评价，以衡量财政资金的使用绩效，分析检验整体支出是否达到预期目标。通过对莆田市住房和城乡建设局2020年度部门整体支出绩效实施评价，分析存在的问题及原因，有针对性地提出有效措施进一步改进和加强财政资金管理，不断提升财政资金科学化、精细化管理水平，提高单位行政效能和用财水平，提升财政资金使用效益。</w:t>
      </w:r>
    </w:p>
    <w:p w14:paraId="6413E719">
      <w:pPr>
        <w:ind w:firstLine="420" w:firstLineChars="200"/>
      </w:pPr>
      <w:bookmarkStart w:id="563" w:name="_Toc4472"/>
      <w:r>
        <w:rPr>
          <w:rFonts w:hint="eastAsia"/>
        </w:rPr>
        <w:t>（二）绩效评价方法</w:t>
      </w:r>
      <w:bookmarkEnd w:id="563"/>
    </w:p>
    <w:p w14:paraId="1DE5B861">
      <w:pPr>
        <w:ind w:firstLine="420" w:firstLineChars="200"/>
      </w:pPr>
      <w:r>
        <w:rPr>
          <w:rFonts w:hint="eastAsia"/>
        </w:rPr>
        <w:t>根据财政部《项目支出绩效评价管理办法》(财预[2020]第10号)规定的绩效评价方法，莆田市住房和城乡建设局2020年度部门整体支出绩效评价主要采用比较法、公众评判法和目标评价法。</w:t>
      </w:r>
    </w:p>
    <w:p w14:paraId="46FC2B5E">
      <w:pPr>
        <w:ind w:firstLine="420" w:firstLineChars="200"/>
      </w:pPr>
      <w:r>
        <w:rPr>
          <w:rFonts w:hint="eastAsia"/>
        </w:rPr>
        <w:t>1.比较法</w:t>
      </w:r>
    </w:p>
    <w:p w14:paraId="0898E887">
      <w:pPr>
        <w:ind w:firstLine="420" w:firstLineChars="200"/>
      </w:pPr>
      <w:r>
        <w:rPr>
          <w:rFonts w:hint="eastAsia"/>
        </w:rPr>
        <w:t>指通过实际支出、实施效果等与绩效目标、历史情况、不同地区同类支出等的比较，综合分析绩效目标实现程度。莆田市住房和城乡建设局2020年度部门整体支出绩效评价将以资金拨付用途要求为标准，将项目执行单位实际产出数量、产出质量与绩效目标相比较，综合分析绩效目标实现程度。</w:t>
      </w:r>
    </w:p>
    <w:p w14:paraId="03004DB6">
      <w:pPr>
        <w:ind w:firstLine="420" w:firstLineChars="200"/>
      </w:pPr>
      <w:r>
        <w:rPr>
          <w:rFonts w:hint="eastAsia"/>
        </w:rPr>
        <w:t>2.现场评价法</w:t>
      </w:r>
    </w:p>
    <w:p w14:paraId="298BC0A8">
      <w:pPr>
        <w:ind w:firstLine="420" w:firstLineChars="200"/>
      </w:pPr>
      <w:r>
        <w:rPr>
          <w:rFonts w:hint="eastAsia"/>
        </w:rPr>
        <w:t>现场评价工作组与项目实施的相关单位，包括自评单位、项目实施单位等进行深入沟通交流，实事求是核查其财务情况、项目管理情况和绩效表现等相关资料，对项目进行核实。</w:t>
      </w:r>
    </w:p>
    <w:p w14:paraId="01F2A874">
      <w:pPr>
        <w:ind w:firstLine="420" w:firstLineChars="200"/>
      </w:pPr>
      <w:r>
        <w:rPr>
          <w:rFonts w:hint="eastAsia"/>
        </w:rPr>
        <w:t>3.公众评判法</w:t>
      </w:r>
    </w:p>
    <w:p w14:paraId="5D68AE6A">
      <w:pPr>
        <w:ind w:firstLine="420" w:firstLineChars="200"/>
      </w:pPr>
      <w:r>
        <w:rPr>
          <w:rFonts w:hint="eastAsia"/>
        </w:rPr>
        <w:t>指通过专家评估、公众问卷及抽样调查等对财政资金效果进行评判，评价绩效目标实现程度。服务对象满意度即通过问卷调查方式获取相关数据资料。通过问卷回答情况，了解服务对象的真实感受，从而对该专项资金支出的社会效益和满意度进行评判。</w:t>
      </w:r>
    </w:p>
    <w:p w14:paraId="2BE656ED">
      <w:pPr>
        <w:ind w:firstLine="420" w:firstLineChars="200"/>
      </w:pPr>
      <w:bookmarkStart w:id="564" w:name="_Toc13963"/>
      <w:r>
        <w:rPr>
          <w:rFonts w:hint="eastAsia"/>
        </w:rPr>
        <w:t>（三）绩效评价步骤</w:t>
      </w:r>
      <w:bookmarkEnd w:id="564"/>
    </w:p>
    <w:p w14:paraId="355C71CE">
      <w:pPr>
        <w:ind w:firstLine="420" w:firstLineChars="200"/>
      </w:pPr>
      <w:r>
        <w:rPr>
          <w:rFonts w:hint="eastAsia"/>
        </w:rPr>
        <w:t>评价流程分前期准备、书面评审、现场评价、综合分析、提交报告五个阶段实施，具体安排如下：</w:t>
      </w:r>
    </w:p>
    <w:p w14:paraId="3ACBC053">
      <w:pPr>
        <w:ind w:firstLine="420" w:firstLineChars="200"/>
      </w:pPr>
      <w:r>
        <w:rPr>
          <w:rFonts w:hint="eastAsia"/>
        </w:rPr>
        <w:t>1.前期准备</w:t>
      </w:r>
    </w:p>
    <w:p w14:paraId="4F3A1C24">
      <w:pPr>
        <w:ind w:firstLine="420" w:firstLineChars="200"/>
      </w:pPr>
      <w:r>
        <w:rPr>
          <w:rFonts w:hint="eastAsia"/>
        </w:rPr>
        <w:t>一是单位对接。莆田学院财政绩效管理研究中心在市财政局安排下，与被评价单位对接，了解项目资金、绩效情况。二是资料收集。收集与本次评价相关的资料，包括项目绩效自评，及相关佐证资料。</w:t>
      </w:r>
    </w:p>
    <w:p w14:paraId="6A1CE5BB">
      <w:pPr>
        <w:ind w:firstLine="420" w:firstLineChars="200"/>
      </w:pPr>
      <w:r>
        <w:rPr>
          <w:rFonts w:hint="eastAsia"/>
        </w:rPr>
        <w:t>2.书面评审</w:t>
      </w:r>
    </w:p>
    <w:p w14:paraId="39B7A913">
      <w:pPr>
        <w:ind w:firstLine="420" w:firstLineChars="200"/>
      </w:pPr>
      <w:r>
        <w:rPr>
          <w:rFonts w:hint="eastAsia"/>
        </w:rPr>
        <w:t>资料收集齐全后，莆田学院财政绩效管理研究中心对材料进行梳理和审核，并形成书面审核意见。目的在于审查被评价单位报送资料的完整性、规范性和内容的真实性，重点考察项目支出的绩效，与现场考察结果形成对照，从中发现差异与问题。</w:t>
      </w:r>
    </w:p>
    <w:p w14:paraId="11CB3B43">
      <w:pPr>
        <w:ind w:firstLine="420" w:firstLineChars="200"/>
      </w:pPr>
      <w:r>
        <w:rPr>
          <w:rFonts w:hint="eastAsia"/>
        </w:rPr>
        <w:t>3.现场评价</w:t>
      </w:r>
    </w:p>
    <w:p w14:paraId="41C443BB">
      <w:pPr>
        <w:ind w:firstLine="420" w:firstLineChars="200"/>
      </w:pPr>
      <w:r>
        <w:rPr>
          <w:rFonts w:hint="eastAsia"/>
        </w:rPr>
        <w:t>评价小组到被评价单位开展现场评价，了解项目支出情况，并查阅与资金申请、支出、工作开展等有关的资料。</w:t>
      </w:r>
    </w:p>
    <w:p w14:paraId="4BF6E0F1">
      <w:pPr>
        <w:ind w:firstLine="420" w:firstLineChars="200"/>
      </w:pPr>
      <w:r>
        <w:rPr>
          <w:rFonts w:hint="eastAsia"/>
        </w:rPr>
        <w:t>4.综合分析</w:t>
      </w:r>
    </w:p>
    <w:p w14:paraId="6DD2FF12">
      <w:pPr>
        <w:ind w:firstLine="420" w:firstLineChars="200"/>
      </w:pPr>
      <w:r>
        <w:rPr>
          <w:rFonts w:hint="eastAsia"/>
        </w:rPr>
        <w:t>评价小组对采集的基础数据资料进行整理汇总，结合现场核查情况，对项目绩效进行全面分析，形成初步评价意见。</w:t>
      </w:r>
    </w:p>
    <w:p w14:paraId="31D6BAE2">
      <w:pPr>
        <w:ind w:firstLine="420" w:firstLineChars="200"/>
      </w:pPr>
      <w:r>
        <w:rPr>
          <w:rFonts w:hint="eastAsia"/>
        </w:rPr>
        <w:t>5.提交报告</w:t>
      </w:r>
    </w:p>
    <w:p w14:paraId="49EC906C">
      <w:pPr>
        <w:ind w:firstLine="420" w:firstLineChars="200"/>
      </w:pPr>
      <w:r>
        <w:rPr>
          <w:rFonts w:hint="eastAsia"/>
        </w:rPr>
        <w:t>（1）编写报告初稿。根据综合评价结果，编写《绩效评价报告》，报告撰写的内容包括项目基本情况、资金使用情况、过程管理情况、绩效实施效果、存在问题和具体改进措施及建议等。</w:t>
      </w:r>
    </w:p>
    <w:p w14:paraId="7973BB3D">
      <w:pPr>
        <w:ind w:firstLine="420" w:firstLineChars="200"/>
      </w:pPr>
      <w:r>
        <w:rPr>
          <w:rFonts w:hint="eastAsia"/>
        </w:rPr>
        <w:t>（2）提交正式报告。根据莆田市财政局和被评价单位的反馈意见，莆田学院财政绩效管理研究中心研究、修订并提交正式报告。</w:t>
      </w:r>
    </w:p>
    <w:p w14:paraId="7783CB23">
      <w:pPr>
        <w:ind w:firstLine="420" w:firstLineChars="200"/>
        <w:outlineLvl w:val="0"/>
      </w:pPr>
      <w:bookmarkStart w:id="565" w:name="_Toc3233"/>
      <w:bookmarkStart w:id="566" w:name="_Toc15456"/>
      <w:r>
        <w:t>三、绩效评价指标体系设计</w:t>
      </w:r>
      <w:bookmarkEnd w:id="565"/>
      <w:bookmarkEnd w:id="566"/>
    </w:p>
    <w:p w14:paraId="5C66FDBF">
      <w:pPr>
        <w:ind w:firstLine="420" w:firstLineChars="200"/>
      </w:pPr>
      <w:bookmarkStart w:id="567" w:name="_Toc7264"/>
      <w:r>
        <w:t>（一）指标</w:t>
      </w:r>
      <w:r>
        <w:rPr>
          <w:rFonts w:hint="eastAsia"/>
        </w:rPr>
        <w:t>体系</w:t>
      </w:r>
      <w:r>
        <w:t>设计依据</w:t>
      </w:r>
      <w:bookmarkEnd w:id="567"/>
    </w:p>
    <w:p w14:paraId="0D3EB798">
      <w:pPr>
        <w:ind w:firstLine="420" w:firstLineChars="200"/>
      </w:pPr>
      <w:r>
        <w:rPr>
          <w:rFonts w:hint="eastAsia"/>
        </w:rPr>
        <w:t>该项目绩效评价指标是在参考财政部印发的《预算绩效评价共性指标体系》（财预[2013]53号）、《项目支出绩效评价管理办法》（财预[2020]10号）和中国资产评估协会印发的《财政支出（项目支出）绩效评价操作指引（试行）》（中评协[2014]70号）等文件的基础上，结合项目特点进行指标和分值设定。绩效评价指标体系设定遵循相关性、重要性、可比性、系统性和经济性原则，评价小组根据绩效评价对象和内容优先使用最具代表性、最能反映评价要求的核心指标，确保绩效评价指标体系设定与绩效目标有直接的联系，能够综合反映项目所产生的社会效益、经济效益和可持续影响，且保证数据的获得充分考虑现实条件和可操作性。</w:t>
      </w:r>
    </w:p>
    <w:p w14:paraId="55330989">
      <w:pPr>
        <w:ind w:firstLine="420" w:firstLineChars="200"/>
      </w:pPr>
      <w:bookmarkStart w:id="568" w:name="_Toc20817"/>
      <w:r>
        <w:t>（二）指标</w:t>
      </w:r>
      <w:r>
        <w:rPr>
          <w:rFonts w:hint="eastAsia"/>
        </w:rPr>
        <w:t>体系</w:t>
      </w:r>
      <w:r>
        <w:t>与</w:t>
      </w:r>
      <w:r>
        <w:rPr>
          <w:rFonts w:hint="eastAsia"/>
        </w:rPr>
        <w:t>评分</w:t>
      </w:r>
      <w:r>
        <w:t>标准</w:t>
      </w:r>
      <w:bookmarkEnd w:id="568"/>
    </w:p>
    <w:p w14:paraId="233B9726">
      <w:pPr>
        <w:ind w:firstLine="420" w:firstLineChars="200"/>
      </w:pPr>
      <w:r>
        <w:rPr>
          <w:rFonts w:hint="eastAsia"/>
        </w:rPr>
        <w:t>根据上述指标体系设计依据，设计莆田市住房与城乡建设局部门整体支出绩效评价指标体系与评分标准，具体如表4</w:t>
      </w:r>
      <w:r>
        <w:t>所示。</w:t>
      </w:r>
    </w:p>
    <w:p w14:paraId="707E884F">
      <w:pPr>
        <w:ind w:firstLine="420" w:firstLineChars="200"/>
      </w:pPr>
      <w:r>
        <w:rPr>
          <w:rFonts w:hint="eastAsia"/>
        </w:rPr>
        <w:t>该</w:t>
      </w:r>
      <w:r>
        <w:t>绩效评价指标体系包括</w:t>
      </w:r>
      <w:r>
        <w:rPr>
          <w:rFonts w:hint="eastAsia"/>
        </w:rPr>
        <w:t>4</w:t>
      </w:r>
      <w:r>
        <w:t>个一级指标，即</w:t>
      </w:r>
      <w:r>
        <w:rPr>
          <w:rFonts w:hint="eastAsia"/>
        </w:rPr>
        <w:t>投入</w:t>
      </w:r>
      <w:r>
        <w:t>、</w:t>
      </w:r>
      <w:r>
        <w:rPr>
          <w:rFonts w:hint="eastAsia"/>
        </w:rPr>
        <w:t>过程、产出</w:t>
      </w:r>
      <w:r>
        <w:t>和</w:t>
      </w:r>
      <w:r>
        <w:rPr>
          <w:rFonts w:hint="eastAsia"/>
        </w:rPr>
        <w:t>履职效益</w:t>
      </w:r>
      <w:r>
        <w:t>，总分值为100分。其中</w:t>
      </w:r>
      <w:r>
        <w:rPr>
          <w:rFonts w:hint="eastAsia"/>
        </w:rPr>
        <w:t>投入</w:t>
      </w:r>
      <w:r>
        <w:t>包括</w:t>
      </w:r>
      <w:r>
        <w:rPr>
          <w:rFonts w:hint="eastAsia"/>
        </w:rPr>
        <w:t>目标设定、预算配置2个二级指标</w:t>
      </w:r>
      <w:r>
        <w:t>，并细分为</w:t>
      </w:r>
      <w:r>
        <w:rPr>
          <w:rFonts w:hint="eastAsia"/>
        </w:rPr>
        <w:t>4</w:t>
      </w:r>
      <w:r>
        <w:t>个三级指标，分值为1</w:t>
      </w:r>
      <w:r>
        <w:rPr>
          <w:rFonts w:hint="eastAsia"/>
        </w:rPr>
        <w:t>5</w:t>
      </w:r>
      <w:r>
        <w:t>分；</w:t>
      </w:r>
      <w:r>
        <w:rPr>
          <w:rFonts w:hint="eastAsia"/>
        </w:rPr>
        <w:t>过程</w:t>
      </w:r>
      <w:r>
        <w:t>包括</w:t>
      </w:r>
      <w:r>
        <w:rPr>
          <w:rFonts w:hint="eastAsia"/>
        </w:rPr>
        <w:t>预算执行</w:t>
      </w:r>
      <w:r>
        <w:t>、</w:t>
      </w:r>
      <w:r>
        <w:rPr>
          <w:rFonts w:hint="eastAsia"/>
        </w:rPr>
        <w:t>预算管理</w:t>
      </w:r>
      <w:r>
        <w:t>和</w:t>
      </w:r>
      <w:r>
        <w:rPr>
          <w:rFonts w:hint="eastAsia"/>
        </w:rPr>
        <w:t>资产管理</w:t>
      </w:r>
      <w:r>
        <w:t>3个二级指标，并细分为</w:t>
      </w:r>
      <w:r>
        <w:rPr>
          <w:rFonts w:hint="eastAsia"/>
        </w:rPr>
        <w:t>12</w:t>
      </w:r>
      <w:r>
        <w:t>个三级指标，分值为</w:t>
      </w:r>
      <w:r>
        <w:rPr>
          <w:rFonts w:hint="eastAsia"/>
        </w:rPr>
        <w:t>30</w:t>
      </w:r>
      <w:r>
        <w:t>分；</w:t>
      </w:r>
      <w:r>
        <w:rPr>
          <w:rFonts w:hint="eastAsia"/>
        </w:rPr>
        <w:t>产出仅设职责履行1个</w:t>
      </w:r>
      <w:r>
        <w:t>二级指标，并细分为</w:t>
      </w:r>
      <w:r>
        <w:rPr>
          <w:rFonts w:hint="eastAsia"/>
        </w:rPr>
        <w:t>4</w:t>
      </w:r>
      <w:r>
        <w:t>个三级指标，分值为</w:t>
      </w:r>
      <w:r>
        <w:rPr>
          <w:rFonts w:hint="eastAsia"/>
        </w:rPr>
        <w:t>20</w:t>
      </w:r>
      <w:r>
        <w:t>分</w:t>
      </w:r>
      <w:r>
        <w:rPr>
          <w:rFonts w:hint="eastAsia"/>
        </w:rPr>
        <w:t>；履职效益包括经济效益、社会效益、生态效益和公众满意度4个</w:t>
      </w:r>
      <w:r>
        <w:t>二级</w:t>
      </w:r>
      <w:r>
        <w:rPr>
          <w:rFonts w:hint="eastAsia"/>
        </w:rPr>
        <w:t>指标</w:t>
      </w:r>
      <w:r>
        <w:t>，并细分为</w:t>
      </w:r>
      <w:r>
        <w:rPr>
          <w:rFonts w:hint="eastAsia"/>
        </w:rPr>
        <w:t>9</w:t>
      </w:r>
      <w:r>
        <w:t>个三级指标，分值为</w:t>
      </w:r>
      <w:r>
        <w:rPr>
          <w:rFonts w:hint="eastAsia"/>
        </w:rPr>
        <w:t>35</w:t>
      </w:r>
      <w:r>
        <w:t>分。</w:t>
      </w:r>
    </w:p>
    <w:p w14:paraId="1A067D7C">
      <w:pPr>
        <w:ind w:firstLine="420" w:firstLineChars="200"/>
      </w:pPr>
      <w:r>
        <w:rPr>
          <w:rFonts w:hint="eastAsia"/>
        </w:rPr>
        <w:t>表4   莆田市住房与城乡建设局部门整体支出绩效评价指标体系表</w:t>
      </w:r>
    </w:p>
    <w:tbl>
      <w:tblPr>
        <w:tblStyle w:val="1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17"/>
        <w:gridCol w:w="1201"/>
        <w:gridCol w:w="4739"/>
        <w:gridCol w:w="774"/>
      </w:tblGrid>
      <w:tr w14:paraId="3014A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blHeader/>
        </w:trPr>
        <w:tc>
          <w:tcPr>
            <w:tcW w:w="1061" w:type="dxa"/>
            <w:tcBorders>
              <w:top w:val="single" w:color="auto" w:sz="8" w:space="0"/>
              <w:bottom w:val="single" w:color="auto" w:sz="8" w:space="0"/>
            </w:tcBorders>
            <w:shd w:val="clear" w:color="auto" w:fill="D8D8D8"/>
            <w:vAlign w:val="center"/>
          </w:tcPr>
          <w:p w14:paraId="6D1C38FC">
            <w:r>
              <w:rPr>
                <w:rFonts w:hint="eastAsia"/>
              </w:rPr>
              <w:t>一级指标</w:t>
            </w:r>
          </w:p>
        </w:tc>
        <w:tc>
          <w:tcPr>
            <w:tcW w:w="1117" w:type="dxa"/>
            <w:tcBorders>
              <w:top w:val="single" w:color="auto" w:sz="8" w:space="0"/>
              <w:bottom w:val="single" w:color="auto" w:sz="8" w:space="0"/>
            </w:tcBorders>
            <w:shd w:val="clear" w:color="auto" w:fill="D8D8D8"/>
            <w:vAlign w:val="center"/>
          </w:tcPr>
          <w:p w14:paraId="6EFD739C">
            <w:r>
              <w:rPr>
                <w:rFonts w:hint="eastAsia"/>
              </w:rPr>
              <w:t>二级指标</w:t>
            </w:r>
          </w:p>
        </w:tc>
        <w:tc>
          <w:tcPr>
            <w:tcW w:w="1201" w:type="dxa"/>
            <w:tcBorders>
              <w:top w:val="single" w:color="auto" w:sz="8" w:space="0"/>
              <w:bottom w:val="single" w:color="auto" w:sz="8" w:space="0"/>
            </w:tcBorders>
            <w:shd w:val="clear" w:color="auto" w:fill="D8D8D8"/>
            <w:vAlign w:val="center"/>
          </w:tcPr>
          <w:p w14:paraId="33BEFE70">
            <w:r>
              <w:rPr>
                <w:rFonts w:hint="eastAsia"/>
              </w:rPr>
              <w:t>三级指标</w:t>
            </w:r>
          </w:p>
        </w:tc>
        <w:tc>
          <w:tcPr>
            <w:tcW w:w="4739" w:type="dxa"/>
            <w:tcBorders>
              <w:top w:val="single" w:color="auto" w:sz="8" w:space="0"/>
              <w:bottom w:val="single" w:color="auto" w:sz="8" w:space="0"/>
            </w:tcBorders>
            <w:shd w:val="clear" w:color="auto" w:fill="D8D8D8"/>
            <w:vAlign w:val="center"/>
          </w:tcPr>
          <w:p w14:paraId="138849E8">
            <w:r>
              <w:rPr>
                <w:rFonts w:hint="eastAsia"/>
              </w:rPr>
              <w:t>评价要点与评分标准</w:t>
            </w:r>
          </w:p>
        </w:tc>
        <w:tc>
          <w:tcPr>
            <w:tcW w:w="774" w:type="dxa"/>
            <w:tcBorders>
              <w:top w:val="single" w:color="auto" w:sz="8" w:space="0"/>
              <w:bottom w:val="single" w:color="auto" w:sz="8" w:space="0"/>
            </w:tcBorders>
            <w:shd w:val="clear" w:color="auto" w:fill="D8D8D8"/>
            <w:vAlign w:val="center"/>
          </w:tcPr>
          <w:p w14:paraId="29165959">
            <w:r>
              <w:rPr>
                <w:rFonts w:hint="eastAsia"/>
              </w:rPr>
              <w:t>分值</w:t>
            </w:r>
          </w:p>
        </w:tc>
      </w:tr>
      <w:tr w14:paraId="46AD5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061" w:type="dxa"/>
            <w:vMerge w:val="restart"/>
            <w:vAlign w:val="center"/>
          </w:tcPr>
          <w:p w14:paraId="7AC04D3C">
            <w:pPr>
              <w:ind w:firstLine="420" w:firstLineChars="200"/>
            </w:pPr>
            <w:r>
              <w:rPr>
                <w:rFonts w:hint="eastAsia"/>
              </w:rPr>
              <w:t>投入</w:t>
            </w:r>
          </w:p>
          <w:p w14:paraId="194DC900">
            <w:pPr>
              <w:ind w:firstLine="420" w:firstLineChars="200"/>
            </w:pPr>
            <w:r>
              <w:rPr>
                <w:rFonts w:hint="eastAsia"/>
              </w:rPr>
              <w:t>（15分）</w:t>
            </w:r>
          </w:p>
        </w:tc>
        <w:tc>
          <w:tcPr>
            <w:tcW w:w="1117" w:type="dxa"/>
            <w:vMerge w:val="restart"/>
            <w:tcBorders>
              <w:top w:val="single" w:color="auto" w:sz="8" w:space="0"/>
            </w:tcBorders>
            <w:vAlign w:val="center"/>
          </w:tcPr>
          <w:p w14:paraId="610F27B6">
            <w:pPr>
              <w:ind w:firstLine="420" w:firstLineChars="200"/>
            </w:pPr>
            <w:r>
              <w:rPr>
                <w:rFonts w:hint="eastAsia"/>
              </w:rPr>
              <w:t>目标设定</w:t>
            </w:r>
          </w:p>
          <w:p w14:paraId="1030D213">
            <w:pPr>
              <w:ind w:firstLine="420" w:firstLineChars="200"/>
            </w:pPr>
            <w:r>
              <w:rPr>
                <w:rFonts w:hint="eastAsia"/>
              </w:rPr>
              <w:t>（7分）</w:t>
            </w:r>
          </w:p>
        </w:tc>
        <w:tc>
          <w:tcPr>
            <w:tcW w:w="1201" w:type="dxa"/>
            <w:tcBorders>
              <w:top w:val="single" w:color="auto" w:sz="8" w:space="0"/>
              <w:bottom w:val="single" w:color="auto" w:sz="8" w:space="0"/>
            </w:tcBorders>
            <w:vAlign w:val="center"/>
          </w:tcPr>
          <w:p w14:paraId="293D33A4">
            <w:r>
              <w:rPr>
                <w:rFonts w:hint="eastAsia"/>
              </w:rPr>
              <w:t>绩效目标合理性</w:t>
            </w:r>
          </w:p>
        </w:tc>
        <w:tc>
          <w:tcPr>
            <w:tcW w:w="4739" w:type="dxa"/>
            <w:tcBorders>
              <w:top w:val="single" w:color="auto" w:sz="8" w:space="0"/>
              <w:bottom w:val="single" w:color="auto" w:sz="8" w:space="0"/>
            </w:tcBorders>
            <w:vAlign w:val="center"/>
          </w:tcPr>
          <w:p w14:paraId="419B4B48">
            <w:pPr>
              <w:ind w:firstLine="420" w:firstLineChars="200"/>
            </w:pPr>
            <w:r>
              <w:rPr>
                <w:rFonts w:hint="eastAsia"/>
              </w:rPr>
              <w:t>1.是否符合国家法律法规、国民经济和社会发展总体规划；</w:t>
            </w:r>
          </w:p>
          <w:p w14:paraId="2DBE7A4E">
            <w:pPr>
              <w:ind w:firstLine="420" w:firstLineChars="200"/>
            </w:pPr>
            <w:r>
              <w:rPr>
                <w:rFonts w:hint="eastAsia"/>
              </w:rPr>
              <w:t>2.是否符合部门“三定”方案确定的职责；</w:t>
            </w:r>
          </w:p>
          <w:p w14:paraId="4EFBFB97">
            <w:pPr>
              <w:ind w:firstLine="420" w:firstLineChars="200"/>
            </w:pPr>
            <w:r>
              <w:rPr>
                <w:rFonts w:hint="eastAsia"/>
              </w:rPr>
              <w:t>3.是否符合部门制定的中长期实施规划。</w:t>
            </w:r>
          </w:p>
          <w:p w14:paraId="09D4DF41">
            <w:pPr>
              <w:ind w:firstLine="420" w:firstLineChars="200"/>
            </w:pPr>
            <w:r>
              <w:rPr>
                <w:rFonts w:hint="eastAsia"/>
              </w:rPr>
              <w:t>每项1分，符合则得分，不符合则扣分。</w:t>
            </w:r>
          </w:p>
        </w:tc>
        <w:tc>
          <w:tcPr>
            <w:tcW w:w="774" w:type="dxa"/>
            <w:tcBorders>
              <w:top w:val="single" w:color="auto" w:sz="8" w:space="0"/>
              <w:bottom w:val="single" w:color="auto" w:sz="8" w:space="0"/>
            </w:tcBorders>
            <w:vAlign w:val="center"/>
          </w:tcPr>
          <w:p w14:paraId="6B45FEA3">
            <w:r>
              <w:rPr>
                <w:rFonts w:hint="eastAsia"/>
              </w:rPr>
              <w:t>3</w:t>
            </w:r>
          </w:p>
        </w:tc>
      </w:tr>
      <w:tr w14:paraId="4F8D6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061" w:type="dxa"/>
            <w:vMerge w:val="continue"/>
            <w:vAlign w:val="center"/>
          </w:tcPr>
          <w:p w14:paraId="1D100632"/>
        </w:tc>
        <w:tc>
          <w:tcPr>
            <w:tcW w:w="1117" w:type="dxa"/>
            <w:vMerge w:val="continue"/>
            <w:vAlign w:val="center"/>
          </w:tcPr>
          <w:p w14:paraId="26E20F51"/>
        </w:tc>
        <w:tc>
          <w:tcPr>
            <w:tcW w:w="1201" w:type="dxa"/>
            <w:tcBorders>
              <w:top w:val="single" w:color="auto" w:sz="8" w:space="0"/>
              <w:bottom w:val="single" w:color="auto" w:sz="8" w:space="0"/>
            </w:tcBorders>
            <w:vAlign w:val="center"/>
          </w:tcPr>
          <w:p w14:paraId="450396E0">
            <w:r>
              <w:rPr>
                <w:rFonts w:hint="eastAsia"/>
              </w:rPr>
              <w:t>绩效指标明确性</w:t>
            </w:r>
          </w:p>
        </w:tc>
        <w:tc>
          <w:tcPr>
            <w:tcW w:w="4739" w:type="dxa"/>
            <w:tcBorders>
              <w:top w:val="single" w:color="auto" w:sz="8" w:space="0"/>
              <w:bottom w:val="single" w:color="auto" w:sz="8" w:space="0"/>
            </w:tcBorders>
            <w:vAlign w:val="center"/>
          </w:tcPr>
          <w:p w14:paraId="739E64A3">
            <w:pPr>
              <w:ind w:firstLine="420" w:firstLineChars="200"/>
            </w:pPr>
            <w:r>
              <w:rPr>
                <w:rFonts w:hint="eastAsia"/>
              </w:rPr>
              <w:t>1.是否将部门整体的绩效目标细化分解为具体的工作任务；</w:t>
            </w:r>
          </w:p>
          <w:p w14:paraId="567A9EFB">
            <w:pPr>
              <w:ind w:firstLine="420" w:firstLineChars="200"/>
            </w:pPr>
            <w:r>
              <w:rPr>
                <w:rFonts w:hint="eastAsia"/>
              </w:rPr>
              <w:t>2.是否通过清晰、可衡量的指标值予以体现；</w:t>
            </w:r>
          </w:p>
          <w:p w14:paraId="5037CDED">
            <w:pPr>
              <w:ind w:firstLine="420" w:firstLineChars="200"/>
            </w:pPr>
            <w:r>
              <w:rPr>
                <w:rFonts w:hint="eastAsia"/>
              </w:rPr>
              <w:t>3.是否与部门年度的任务数或计划数相对应；</w:t>
            </w:r>
          </w:p>
          <w:p w14:paraId="10CCEC2E">
            <w:pPr>
              <w:ind w:firstLine="420" w:firstLineChars="200"/>
            </w:pPr>
            <w:r>
              <w:rPr>
                <w:rFonts w:hint="eastAsia"/>
              </w:rPr>
              <w:t>4.是否与本年度部门预算资金相匹配。</w:t>
            </w:r>
          </w:p>
          <w:p w14:paraId="24D4E2AF">
            <w:pPr>
              <w:ind w:firstLine="420" w:firstLineChars="200"/>
            </w:pPr>
            <w:r>
              <w:rPr>
                <w:rFonts w:hint="eastAsia"/>
              </w:rPr>
              <w:t>每项1分，符合则得分，不符合则扣分。</w:t>
            </w:r>
          </w:p>
        </w:tc>
        <w:tc>
          <w:tcPr>
            <w:tcW w:w="774" w:type="dxa"/>
            <w:tcBorders>
              <w:top w:val="single" w:color="auto" w:sz="8" w:space="0"/>
              <w:bottom w:val="single" w:color="auto" w:sz="8" w:space="0"/>
            </w:tcBorders>
            <w:vAlign w:val="center"/>
          </w:tcPr>
          <w:p w14:paraId="11C02CCF">
            <w:r>
              <w:rPr>
                <w:rFonts w:hint="eastAsia"/>
              </w:rPr>
              <w:t>4</w:t>
            </w:r>
          </w:p>
        </w:tc>
      </w:tr>
      <w:tr w14:paraId="2B6BD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061" w:type="dxa"/>
            <w:vMerge w:val="continue"/>
            <w:vAlign w:val="center"/>
          </w:tcPr>
          <w:p w14:paraId="4A28DD93"/>
        </w:tc>
        <w:tc>
          <w:tcPr>
            <w:tcW w:w="1117" w:type="dxa"/>
            <w:vMerge w:val="restart"/>
            <w:vAlign w:val="center"/>
          </w:tcPr>
          <w:p w14:paraId="0673852D">
            <w:pPr>
              <w:ind w:firstLine="420" w:firstLineChars="200"/>
            </w:pPr>
            <w:r>
              <w:rPr>
                <w:rFonts w:hint="eastAsia"/>
              </w:rPr>
              <w:t>预算配置</w:t>
            </w:r>
          </w:p>
          <w:p w14:paraId="36F1CE48">
            <w:pPr>
              <w:ind w:firstLine="420" w:firstLineChars="200"/>
            </w:pPr>
            <w:r>
              <w:rPr>
                <w:rFonts w:hint="eastAsia"/>
              </w:rPr>
              <w:t>（8分）</w:t>
            </w:r>
          </w:p>
        </w:tc>
        <w:tc>
          <w:tcPr>
            <w:tcW w:w="1201" w:type="dxa"/>
            <w:tcBorders>
              <w:top w:val="single" w:color="auto" w:sz="8" w:space="0"/>
              <w:bottom w:val="single" w:color="auto" w:sz="8" w:space="0"/>
            </w:tcBorders>
            <w:vAlign w:val="center"/>
          </w:tcPr>
          <w:p w14:paraId="56435D88">
            <w:r>
              <w:rPr>
                <w:rFonts w:hint="eastAsia"/>
              </w:rPr>
              <w:t>在职人员控制率</w:t>
            </w:r>
          </w:p>
        </w:tc>
        <w:tc>
          <w:tcPr>
            <w:tcW w:w="4739" w:type="dxa"/>
            <w:tcBorders>
              <w:top w:val="single" w:color="auto" w:sz="8" w:space="0"/>
              <w:bottom w:val="single" w:color="auto" w:sz="8" w:space="0"/>
            </w:tcBorders>
            <w:vAlign w:val="center"/>
          </w:tcPr>
          <w:p w14:paraId="0F0C7117">
            <w:pPr>
              <w:ind w:firstLine="420" w:firstLineChars="200"/>
            </w:pPr>
            <w:r>
              <w:rPr>
                <w:rFonts w:hint="eastAsia"/>
              </w:rPr>
              <w:t>在职人员控制率=（在职人员数/编制数）×100%。</w:t>
            </w:r>
          </w:p>
          <w:p w14:paraId="4182C3E8">
            <w:pPr>
              <w:ind w:firstLine="420" w:firstLineChars="200"/>
            </w:pPr>
            <w:r>
              <w:rPr>
                <w:rFonts w:hint="eastAsia"/>
              </w:rPr>
              <w:t>在职人员数：部门（单位）实际在职人数，以财政部确定的部门决算编制口径为准。</w:t>
            </w:r>
          </w:p>
          <w:p w14:paraId="409E0BA4">
            <w:pPr>
              <w:ind w:firstLine="420" w:firstLineChars="200"/>
            </w:pPr>
            <w:r>
              <w:rPr>
                <w:rFonts w:hint="eastAsia"/>
              </w:rPr>
              <w:t>编制数：机构编制部门核定批复的部门（单位）的人员编制数。</w:t>
            </w:r>
          </w:p>
          <w:p w14:paraId="708602CB">
            <w:pPr>
              <w:ind w:firstLine="420" w:firstLineChars="200"/>
            </w:pPr>
            <w:r>
              <w:rPr>
                <w:rFonts w:hint="eastAsia"/>
              </w:rPr>
              <w:t>在职人员控制率低于95%得满分；并以此为基准，每提高1%（含）扣减1分，减至0分为止。</w:t>
            </w:r>
          </w:p>
        </w:tc>
        <w:tc>
          <w:tcPr>
            <w:tcW w:w="774" w:type="dxa"/>
            <w:tcBorders>
              <w:top w:val="single" w:color="auto" w:sz="8" w:space="0"/>
              <w:bottom w:val="single" w:color="auto" w:sz="8" w:space="0"/>
            </w:tcBorders>
            <w:vAlign w:val="center"/>
          </w:tcPr>
          <w:p w14:paraId="386C3DEA">
            <w:r>
              <w:rPr>
                <w:rFonts w:hint="eastAsia"/>
              </w:rPr>
              <w:t>4</w:t>
            </w:r>
          </w:p>
        </w:tc>
      </w:tr>
      <w:tr w14:paraId="36927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061" w:type="dxa"/>
            <w:vMerge w:val="continue"/>
            <w:vAlign w:val="center"/>
          </w:tcPr>
          <w:p w14:paraId="70C4E19F"/>
        </w:tc>
        <w:tc>
          <w:tcPr>
            <w:tcW w:w="1117" w:type="dxa"/>
            <w:vMerge w:val="continue"/>
            <w:vAlign w:val="center"/>
          </w:tcPr>
          <w:p w14:paraId="100F96AE"/>
        </w:tc>
        <w:tc>
          <w:tcPr>
            <w:tcW w:w="1201" w:type="dxa"/>
            <w:tcBorders>
              <w:top w:val="single" w:color="auto" w:sz="8" w:space="0"/>
              <w:bottom w:val="single" w:color="auto" w:sz="8" w:space="0"/>
            </w:tcBorders>
            <w:vAlign w:val="center"/>
          </w:tcPr>
          <w:p w14:paraId="17CFBD22">
            <w:r>
              <w:rPr>
                <w:rFonts w:hint="eastAsia"/>
              </w:rPr>
              <w:t>“三公经费”变动率</w:t>
            </w:r>
          </w:p>
        </w:tc>
        <w:tc>
          <w:tcPr>
            <w:tcW w:w="4739" w:type="dxa"/>
            <w:tcBorders>
              <w:top w:val="single" w:color="auto" w:sz="8" w:space="0"/>
              <w:bottom w:val="single" w:color="auto" w:sz="8" w:space="0"/>
            </w:tcBorders>
            <w:vAlign w:val="center"/>
          </w:tcPr>
          <w:p w14:paraId="5F05C775">
            <w:pPr>
              <w:ind w:firstLine="420" w:firstLineChars="200"/>
            </w:pPr>
            <w:r>
              <w:rPr>
                <w:rFonts w:hint="eastAsia"/>
              </w:rPr>
              <w:t>“三公经费”变动率=[（本年度“三公经费”预算总额-上年度“三公经费”预算总额）/上年度“三公经费”预算总额]×100%。</w:t>
            </w:r>
          </w:p>
          <w:p w14:paraId="12746E8A">
            <w:pPr>
              <w:ind w:firstLine="420" w:firstLineChars="200"/>
            </w:pPr>
            <w:r>
              <w:rPr>
                <w:rFonts w:hint="eastAsia"/>
              </w:rPr>
              <w:t>“三公经费”：年度预算安排的因公出国（境）费、公务车辆购置及运行费和公务招待费。</w:t>
            </w:r>
          </w:p>
          <w:p w14:paraId="1D5E2B08">
            <w:pPr>
              <w:ind w:firstLine="420" w:firstLineChars="200"/>
            </w:pPr>
            <w:r>
              <w:rPr>
                <w:rFonts w:hint="eastAsia"/>
              </w:rPr>
              <w:t>“三公经费”下降的计4分，增加的按比例扣分，每提高1%（含）扣减1分，减至0分为止。</w:t>
            </w:r>
          </w:p>
        </w:tc>
        <w:tc>
          <w:tcPr>
            <w:tcW w:w="774" w:type="dxa"/>
            <w:tcBorders>
              <w:top w:val="single" w:color="auto" w:sz="8" w:space="0"/>
              <w:bottom w:val="single" w:color="auto" w:sz="8" w:space="0"/>
            </w:tcBorders>
            <w:vAlign w:val="center"/>
          </w:tcPr>
          <w:p w14:paraId="5ED34792">
            <w:r>
              <w:rPr>
                <w:rFonts w:hint="eastAsia"/>
              </w:rPr>
              <w:t>4</w:t>
            </w:r>
          </w:p>
        </w:tc>
      </w:tr>
      <w:tr w14:paraId="60D45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1" w:type="dxa"/>
            <w:vMerge w:val="restart"/>
            <w:tcBorders>
              <w:top w:val="single" w:color="auto" w:sz="8" w:space="0"/>
            </w:tcBorders>
            <w:vAlign w:val="center"/>
          </w:tcPr>
          <w:p w14:paraId="20AAEDC3">
            <w:pPr>
              <w:ind w:firstLine="420" w:firstLineChars="200"/>
            </w:pPr>
            <w:r>
              <w:rPr>
                <w:rFonts w:hint="eastAsia"/>
              </w:rPr>
              <w:t>过程</w:t>
            </w:r>
          </w:p>
          <w:p w14:paraId="61B47DE9">
            <w:pPr>
              <w:ind w:firstLine="420" w:firstLineChars="200"/>
            </w:pPr>
            <w:r>
              <w:rPr>
                <w:rFonts w:hint="eastAsia"/>
              </w:rPr>
              <w:t>（30分）</w:t>
            </w:r>
          </w:p>
        </w:tc>
        <w:tc>
          <w:tcPr>
            <w:tcW w:w="1117" w:type="dxa"/>
            <w:vMerge w:val="restart"/>
            <w:tcBorders>
              <w:top w:val="single" w:color="auto" w:sz="8" w:space="0"/>
            </w:tcBorders>
            <w:vAlign w:val="center"/>
          </w:tcPr>
          <w:p w14:paraId="2ADF54B8">
            <w:pPr>
              <w:ind w:firstLine="420" w:firstLineChars="200"/>
            </w:pPr>
            <w:r>
              <w:rPr>
                <w:rFonts w:hint="eastAsia"/>
              </w:rPr>
              <w:t>预算执行</w:t>
            </w:r>
          </w:p>
          <w:p w14:paraId="5DD2DAD4">
            <w:pPr>
              <w:ind w:firstLine="420" w:firstLineChars="200"/>
            </w:pPr>
            <w:r>
              <w:rPr>
                <w:rFonts w:hint="eastAsia"/>
              </w:rPr>
              <w:t>（14分）</w:t>
            </w:r>
          </w:p>
        </w:tc>
        <w:tc>
          <w:tcPr>
            <w:tcW w:w="1201" w:type="dxa"/>
            <w:tcBorders>
              <w:top w:val="single" w:color="auto" w:sz="8" w:space="0"/>
            </w:tcBorders>
            <w:vAlign w:val="center"/>
          </w:tcPr>
          <w:p w14:paraId="4FFF9519">
            <w:r>
              <w:rPr>
                <w:rFonts w:hint="eastAsia"/>
              </w:rPr>
              <w:t>预算完成率</w:t>
            </w:r>
          </w:p>
        </w:tc>
        <w:tc>
          <w:tcPr>
            <w:tcW w:w="4739" w:type="dxa"/>
            <w:tcBorders>
              <w:top w:val="single" w:color="auto" w:sz="8" w:space="0"/>
            </w:tcBorders>
            <w:vAlign w:val="center"/>
          </w:tcPr>
          <w:p w14:paraId="0F3C0F97">
            <w:pPr>
              <w:ind w:firstLine="420" w:firstLineChars="200"/>
            </w:pPr>
            <w:r>
              <w:rPr>
                <w:rFonts w:hint="eastAsia"/>
              </w:rPr>
              <w:t>预算完成率=（预算完成数/预算数）×100%。</w:t>
            </w:r>
          </w:p>
          <w:p w14:paraId="58911245">
            <w:pPr>
              <w:ind w:firstLine="420" w:firstLineChars="200"/>
            </w:pPr>
            <w:r>
              <w:rPr>
                <w:rFonts w:hint="eastAsia"/>
              </w:rPr>
              <w:t>预算完成数：部门（单位）本年度实际完成的预算数。</w:t>
            </w:r>
          </w:p>
          <w:p w14:paraId="02756338">
            <w:pPr>
              <w:ind w:firstLine="420" w:firstLineChars="200"/>
            </w:pPr>
            <w:r>
              <w:rPr>
                <w:rFonts w:hint="eastAsia"/>
              </w:rPr>
              <w:t>预算数：财政部门批复的本年度部门（单位）预算数。</w:t>
            </w:r>
          </w:p>
          <w:p w14:paraId="3419DFDC">
            <w:pPr>
              <w:ind w:firstLine="420" w:firstLineChars="200"/>
            </w:pPr>
            <w:r>
              <w:rPr>
                <w:rFonts w:hint="eastAsia"/>
              </w:rPr>
              <w:t>得分=预算完成率*权重分值</w:t>
            </w:r>
          </w:p>
        </w:tc>
        <w:tc>
          <w:tcPr>
            <w:tcW w:w="774" w:type="dxa"/>
            <w:tcBorders>
              <w:top w:val="single" w:color="auto" w:sz="8" w:space="0"/>
            </w:tcBorders>
            <w:vAlign w:val="center"/>
          </w:tcPr>
          <w:p w14:paraId="550C9BD5">
            <w:r>
              <w:rPr>
                <w:rFonts w:hint="eastAsia"/>
              </w:rPr>
              <w:t>3</w:t>
            </w:r>
          </w:p>
        </w:tc>
      </w:tr>
      <w:tr w14:paraId="48786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061" w:type="dxa"/>
            <w:vMerge w:val="continue"/>
            <w:vAlign w:val="center"/>
          </w:tcPr>
          <w:p w14:paraId="24CA4D2B"/>
        </w:tc>
        <w:tc>
          <w:tcPr>
            <w:tcW w:w="1117" w:type="dxa"/>
            <w:vMerge w:val="continue"/>
            <w:vAlign w:val="center"/>
          </w:tcPr>
          <w:p w14:paraId="6BB84BAE"/>
        </w:tc>
        <w:tc>
          <w:tcPr>
            <w:tcW w:w="1201" w:type="dxa"/>
            <w:tcBorders>
              <w:top w:val="single" w:color="auto" w:sz="8" w:space="0"/>
            </w:tcBorders>
            <w:vAlign w:val="center"/>
          </w:tcPr>
          <w:p w14:paraId="3CA2F2CD">
            <w:r>
              <w:rPr>
                <w:rFonts w:hint="eastAsia"/>
              </w:rPr>
              <w:t>预算调整率</w:t>
            </w:r>
          </w:p>
        </w:tc>
        <w:tc>
          <w:tcPr>
            <w:tcW w:w="4739" w:type="dxa"/>
            <w:tcBorders>
              <w:top w:val="single" w:color="auto" w:sz="8" w:space="0"/>
            </w:tcBorders>
            <w:vAlign w:val="center"/>
          </w:tcPr>
          <w:p w14:paraId="51F38931">
            <w:pPr>
              <w:ind w:firstLine="420" w:firstLineChars="200"/>
            </w:pPr>
            <w:r>
              <w:rPr>
                <w:rFonts w:hint="eastAsia"/>
              </w:rPr>
              <w:t>预算调整率=（预算调整数/预算数）×100%。</w:t>
            </w:r>
          </w:p>
          <w:p w14:paraId="40C49985">
            <w:pPr>
              <w:ind w:firstLine="420" w:firstLineChars="200"/>
            </w:pPr>
            <w:r>
              <w:rPr>
                <w:rFonts w:hint="eastAsia"/>
              </w:rPr>
              <w:t>预算调整数：部门（单位）在本年度内涉及预算的追加、追减或结构调整的资金总和（因落实国家政策、发生不可抗力、上级部门或本级党委政府临时交办而产生的调整除外）。</w:t>
            </w:r>
          </w:p>
          <w:p w14:paraId="0ED6FD1B">
            <w:pPr>
              <w:ind w:firstLine="420" w:firstLineChars="200"/>
            </w:pPr>
            <w:r>
              <w:rPr>
                <w:rFonts w:hint="eastAsia"/>
              </w:rPr>
              <w:t>未调整的计3分，调整了的除特殊原因外按比例扣减。</w:t>
            </w:r>
          </w:p>
        </w:tc>
        <w:tc>
          <w:tcPr>
            <w:tcW w:w="774" w:type="dxa"/>
            <w:tcBorders>
              <w:top w:val="single" w:color="auto" w:sz="8" w:space="0"/>
            </w:tcBorders>
            <w:vAlign w:val="center"/>
          </w:tcPr>
          <w:p w14:paraId="633E16B4">
            <w:r>
              <w:rPr>
                <w:rFonts w:hint="eastAsia"/>
              </w:rPr>
              <w:t>3</w:t>
            </w:r>
          </w:p>
        </w:tc>
      </w:tr>
      <w:tr w14:paraId="408B0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61" w:type="dxa"/>
            <w:vMerge w:val="continue"/>
            <w:vAlign w:val="center"/>
          </w:tcPr>
          <w:p w14:paraId="6BA69F67"/>
        </w:tc>
        <w:tc>
          <w:tcPr>
            <w:tcW w:w="1117" w:type="dxa"/>
            <w:vMerge w:val="continue"/>
            <w:vAlign w:val="center"/>
          </w:tcPr>
          <w:p w14:paraId="0F3F345E"/>
        </w:tc>
        <w:tc>
          <w:tcPr>
            <w:tcW w:w="1201" w:type="dxa"/>
            <w:tcBorders>
              <w:top w:val="single" w:color="auto" w:sz="8" w:space="0"/>
              <w:bottom w:val="single" w:color="auto" w:sz="8" w:space="0"/>
            </w:tcBorders>
            <w:vAlign w:val="center"/>
          </w:tcPr>
          <w:p w14:paraId="3B9FA7AC">
            <w:r>
              <w:rPr>
                <w:rFonts w:hint="eastAsia"/>
              </w:rPr>
              <w:t>结转结余变动率</w:t>
            </w:r>
          </w:p>
        </w:tc>
        <w:tc>
          <w:tcPr>
            <w:tcW w:w="4739" w:type="dxa"/>
            <w:tcBorders>
              <w:top w:val="single" w:color="auto" w:sz="8" w:space="0"/>
              <w:bottom w:val="single" w:color="auto" w:sz="8" w:space="0"/>
            </w:tcBorders>
            <w:vAlign w:val="center"/>
          </w:tcPr>
          <w:p w14:paraId="2A680AB1">
            <w:pPr>
              <w:ind w:firstLine="420" w:firstLineChars="200"/>
            </w:pPr>
            <w:r>
              <w:rPr>
                <w:rFonts w:hint="eastAsia"/>
              </w:rPr>
              <w:t>结转结余变动率=（本年结转结余总额-上年结转结余总额）/上年结转结余总额×100%。</w:t>
            </w:r>
          </w:p>
          <w:p w14:paraId="784D31FB">
            <w:pPr>
              <w:ind w:firstLine="420" w:firstLineChars="200"/>
            </w:pPr>
            <w:r>
              <w:rPr>
                <w:rFonts w:hint="eastAsia"/>
              </w:rPr>
              <w:t>结转结余总额：部门本年度的结转资金与结余资金之和（以决算数为准）。</w:t>
            </w:r>
          </w:p>
          <w:p w14:paraId="3C3F5852">
            <w:pPr>
              <w:ind w:firstLine="420" w:firstLineChars="200"/>
            </w:pPr>
            <w:r>
              <w:rPr>
                <w:rFonts w:hint="eastAsia"/>
              </w:rPr>
              <w:t>结转结余变动率﹥0时不得分；</w:t>
            </w:r>
          </w:p>
          <w:p w14:paraId="76DCB292">
            <w:pPr>
              <w:ind w:firstLine="420" w:firstLineChars="200"/>
            </w:pPr>
            <w:r>
              <w:rPr>
                <w:rFonts w:hint="eastAsia"/>
              </w:rPr>
              <w:t>结转结余变动率≦0时得满分。</w:t>
            </w:r>
          </w:p>
        </w:tc>
        <w:tc>
          <w:tcPr>
            <w:tcW w:w="774" w:type="dxa"/>
            <w:tcBorders>
              <w:top w:val="single" w:color="auto" w:sz="8" w:space="0"/>
              <w:bottom w:val="single" w:color="auto" w:sz="8" w:space="0"/>
            </w:tcBorders>
            <w:vAlign w:val="center"/>
          </w:tcPr>
          <w:p w14:paraId="4E9037A4">
            <w:r>
              <w:rPr>
                <w:rFonts w:hint="eastAsia"/>
              </w:rPr>
              <w:t>2</w:t>
            </w:r>
          </w:p>
        </w:tc>
      </w:tr>
      <w:tr w14:paraId="6ECD1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61" w:type="dxa"/>
            <w:vMerge w:val="continue"/>
            <w:vAlign w:val="center"/>
          </w:tcPr>
          <w:p w14:paraId="3D8E5A89"/>
        </w:tc>
        <w:tc>
          <w:tcPr>
            <w:tcW w:w="1117" w:type="dxa"/>
            <w:vMerge w:val="continue"/>
            <w:vAlign w:val="center"/>
          </w:tcPr>
          <w:p w14:paraId="3DE4EE41"/>
        </w:tc>
        <w:tc>
          <w:tcPr>
            <w:tcW w:w="1201" w:type="dxa"/>
            <w:tcBorders>
              <w:top w:val="single" w:color="auto" w:sz="8" w:space="0"/>
              <w:bottom w:val="single" w:color="auto" w:sz="8" w:space="0"/>
            </w:tcBorders>
            <w:vAlign w:val="center"/>
          </w:tcPr>
          <w:p w14:paraId="79C72EEB">
            <w:r>
              <w:rPr>
                <w:rFonts w:hint="eastAsia"/>
              </w:rPr>
              <w:t>公用经费控制率</w:t>
            </w:r>
          </w:p>
        </w:tc>
        <w:tc>
          <w:tcPr>
            <w:tcW w:w="4739" w:type="dxa"/>
            <w:tcBorders>
              <w:top w:val="single" w:color="auto" w:sz="8" w:space="0"/>
              <w:bottom w:val="single" w:color="auto" w:sz="8" w:space="0"/>
            </w:tcBorders>
            <w:vAlign w:val="center"/>
          </w:tcPr>
          <w:p w14:paraId="4DD69D9A">
            <w:pPr>
              <w:ind w:firstLine="420" w:firstLineChars="200"/>
            </w:pPr>
            <w:r>
              <w:rPr>
                <w:rFonts w:hint="eastAsia"/>
              </w:rPr>
              <w:t>公用经费控制率=（实际支出公用经费总额/预算安排公用经费总额）×100%。</w:t>
            </w:r>
          </w:p>
          <w:p w14:paraId="2DEBBD17">
            <w:pPr>
              <w:ind w:firstLine="420" w:firstLineChars="200"/>
            </w:pPr>
            <w:r>
              <w:rPr>
                <w:rFonts w:hint="eastAsia"/>
              </w:rPr>
              <w:t>公用经费控制率﹥100%时不得分；</w:t>
            </w:r>
          </w:p>
          <w:p w14:paraId="4B282EF0">
            <w:pPr>
              <w:ind w:firstLine="420" w:firstLineChars="200"/>
            </w:pPr>
            <w:r>
              <w:rPr>
                <w:rFonts w:hint="eastAsia"/>
              </w:rPr>
              <w:t>公用经费控制率≤100%时得满分。</w:t>
            </w:r>
          </w:p>
        </w:tc>
        <w:tc>
          <w:tcPr>
            <w:tcW w:w="774" w:type="dxa"/>
            <w:tcBorders>
              <w:top w:val="single" w:color="auto" w:sz="8" w:space="0"/>
              <w:bottom w:val="single" w:color="auto" w:sz="8" w:space="0"/>
            </w:tcBorders>
            <w:vAlign w:val="center"/>
          </w:tcPr>
          <w:p w14:paraId="26FA44AE">
            <w:r>
              <w:rPr>
                <w:rFonts w:hint="eastAsia"/>
              </w:rPr>
              <w:t>2</w:t>
            </w:r>
          </w:p>
        </w:tc>
      </w:tr>
      <w:tr w14:paraId="7EA05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61" w:type="dxa"/>
            <w:vMerge w:val="continue"/>
            <w:vAlign w:val="center"/>
          </w:tcPr>
          <w:p w14:paraId="614C15A9"/>
        </w:tc>
        <w:tc>
          <w:tcPr>
            <w:tcW w:w="1117" w:type="dxa"/>
            <w:vMerge w:val="continue"/>
            <w:vAlign w:val="center"/>
          </w:tcPr>
          <w:p w14:paraId="31CC1B2C"/>
        </w:tc>
        <w:tc>
          <w:tcPr>
            <w:tcW w:w="1201" w:type="dxa"/>
            <w:tcBorders>
              <w:top w:val="single" w:color="auto" w:sz="8" w:space="0"/>
              <w:bottom w:val="single" w:color="auto" w:sz="8" w:space="0"/>
            </w:tcBorders>
            <w:vAlign w:val="center"/>
          </w:tcPr>
          <w:p w14:paraId="7E07CE8A">
            <w:r>
              <w:rPr>
                <w:rFonts w:hint="eastAsia"/>
              </w:rPr>
              <w:t>“三公经费”控制率</w:t>
            </w:r>
          </w:p>
        </w:tc>
        <w:tc>
          <w:tcPr>
            <w:tcW w:w="4739" w:type="dxa"/>
            <w:tcBorders>
              <w:top w:val="single" w:color="auto" w:sz="8" w:space="0"/>
              <w:bottom w:val="single" w:color="auto" w:sz="8" w:space="0"/>
            </w:tcBorders>
            <w:vAlign w:val="center"/>
          </w:tcPr>
          <w:p w14:paraId="1AEA494A">
            <w:pPr>
              <w:ind w:firstLine="420" w:firstLineChars="200"/>
            </w:pPr>
            <w:r>
              <w:rPr>
                <w:rFonts w:hint="eastAsia"/>
              </w:rPr>
              <w:t>“三公经费”控制率=（“三公经费”实际支出数/“三公经费”预算安排数）×100%。</w:t>
            </w:r>
          </w:p>
          <w:p w14:paraId="17E9D36E">
            <w:pPr>
              <w:ind w:firstLine="420" w:firstLineChars="200"/>
            </w:pPr>
            <w:r>
              <w:rPr>
                <w:rFonts w:hint="eastAsia"/>
              </w:rPr>
              <w:t>“三公经费”控制率﹥100%时不得分；</w:t>
            </w:r>
          </w:p>
          <w:p w14:paraId="76A1AC70">
            <w:pPr>
              <w:ind w:firstLine="420" w:firstLineChars="200"/>
            </w:pPr>
            <w:r>
              <w:rPr>
                <w:rFonts w:hint="eastAsia"/>
              </w:rPr>
              <w:t>“三公经费”控制率≤100%时得满分。</w:t>
            </w:r>
          </w:p>
        </w:tc>
        <w:tc>
          <w:tcPr>
            <w:tcW w:w="774" w:type="dxa"/>
            <w:tcBorders>
              <w:top w:val="single" w:color="auto" w:sz="8" w:space="0"/>
              <w:bottom w:val="single" w:color="auto" w:sz="8" w:space="0"/>
            </w:tcBorders>
            <w:vAlign w:val="center"/>
          </w:tcPr>
          <w:p w14:paraId="3B09714F">
            <w:r>
              <w:rPr>
                <w:rFonts w:hint="eastAsia"/>
              </w:rPr>
              <w:t>2</w:t>
            </w:r>
          </w:p>
        </w:tc>
      </w:tr>
      <w:tr w14:paraId="104F5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61" w:type="dxa"/>
            <w:vMerge w:val="continue"/>
            <w:vAlign w:val="center"/>
          </w:tcPr>
          <w:p w14:paraId="1ACE04EE"/>
        </w:tc>
        <w:tc>
          <w:tcPr>
            <w:tcW w:w="1117" w:type="dxa"/>
            <w:vMerge w:val="continue"/>
            <w:vAlign w:val="center"/>
          </w:tcPr>
          <w:p w14:paraId="60F7FAE6"/>
        </w:tc>
        <w:tc>
          <w:tcPr>
            <w:tcW w:w="1201" w:type="dxa"/>
            <w:tcBorders>
              <w:top w:val="single" w:color="auto" w:sz="8" w:space="0"/>
              <w:bottom w:val="single" w:color="auto" w:sz="8" w:space="0"/>
            </w:tcBorders>
            <w:vAlign w:val="center"/>
          </w:tcPr>
          <w:p w14:paraId="09D1ECA6">
            <w:r>
              <w:rPr>
                <w:rFonts w:hint="eastAsia"/>
              </w:rPr>
              <w:t>政府采购执行率</w:t>
            </w:r>
          </w:p>
        </w:tc>
        <w:tc>
          <w:tcPr>
            <w:tcW w:w="4739" w:type="dxa"/>
            <w:tcBorders>
              <w:top w:val="single" w:color="auto" w:sz="8" w:space="0"/>
              <w:bottom w:val="single" w:color="auto" w:sz="8" w:space="0"/>
            </w:tcBorders>
            <w:vAlign w:val="center"/>
          </w:tcPr>
          <w:p w14:paraId="5C2718C3">
            <w:pPr>
              <w:ind w:firstLine="420" w:firstLineChars="200"/>
            </w:pPr>
            <w:r>
              <w:rPr>
                <w:rFonts w:hint="eastAsia"/>
              </w:rPr>
              <w:t>政府采购执行率=（实际政府采购金额/政府采购预算数）×100%；</w:t>
            </w:r>
          </w:p>
          <w:p w14:paraId="2EA3F797">
            <w:pPr>
              <w:ind w:firstLine="420" w:firstLineChars="200"/>
            </w:pPr>
            <w:r>
              <w:rPr>
                <w:rFonts w:hint="eastAsia"/>
              </w:rPr>
              <w:t xml:space="preserve">政府采购预算：采购机关根据事业发展计划和行政任务编制的、并经过规定程序批准的年度政府采购计划。 </w:t>
            </w:r>
          </w:p>
          <w:p w14:paraId="6E73874F">
            <w:pPr>
              <w:ind w:firstLine="420" w:firstLineChars="200"/>
            </w:pPr>
            <w:r>
              <w:rPr>
                <w:rFonts w:hint="eastAsia"/>
              </w:rPr>
              <w:t>政府采购执行率﹥100%时不得分；</w:t>
            </w:r>
          </w:p>
          <w:p w14:paraId="5C3086DA">
            <w:pPr>
              <w:ind w:firstLine="420" w:firstLineChars="200"/>
            </w:pPr>
            <w:r>
              <w:rPr>
                <w:rFonts w:hint="eastAsia"/>
              </w:rPr>
              <w:t>政府采购执行率为100%的计满分，每低于1个百分点扣0.1分，扣完为止。</w:t>
            </w:r>
          </w:p>
        </w:tc>
        <w:tc>
          <w:tcPr>
            <w:tcW w:w="774" w:type="dxa"/>
            <w:tcBorders>
              <w:top w:val="single" w:color="auto" w:sz="8" w:space="0"/>
              <w:bottom w:val="single" w:color="auto" w:sz="8" w:space="0"/>
            </w:tcBorders>
            <w:vAlign w:val="center"/>
          </w:tcPr>
          <w:p w14:paraId="45F18D05">
            <w:r>
              <w:rPr>
                <w:rFonts w:hint="eastAsia"/>
              </w:rPr>
              <w:t>2</w:t>
            </w:r>
          </w:p>
        </w:tc>
      </w:tr>
      <w:tr w14:paraId="12E29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1" w:type="dxa"/>
            <w:vMerge w:val="continue"/>
            <w:vAlign w:val="center"/>
          </w:tcPr>
          <w:p w14:paraId="2FF0B215"/>
        </w:tc>
        <w:tc>
          <w:tcPr>
            <w:tcW w:w="1117" w:type="dxa"/>
            <w:vMerge w:val="restart"/>
            <w:tcBorders>
              <w:top w:val="single" w:color="auto" w:sz="8" w:space="0"/>
            </w:tcBorders>
            <w:vAlign w:val="center"/>
          </w:tcPr>
          <w:p w14:paraId="3F4C5679">
            <w:pPr>
              <w:ind w:firstLine="420" w:firstLineChars="200"/>
            </w:pPr>
            <w:r>
              <w:rPr>
                <w:rFonts w:hint="eastAsia"/>
              </w:rPr>
              <w:t>预算管理</w:t>
            </w:r>
          </w:p>
          <w:p w14:paraId="619DBE91">
            <w:pPr>
              <w:ind w:firstLine="420" w:firstLineChars="200"/>
            </w:pPr>
            <w:r>
              <w:rPr>
                <w:rFonts w:hint="eastAsia"/>
              </w:rPr>
              <w:t>（7分）</w:t>
            </w:r>
          </w:p>
        </w:tc>
        <w:tc>
          <w:tcPr>
            <w:tcW w:w="1201" w:type="dxa"/>
            <w:tcBorders>
              <w:top w:val="single" w:color="auto" w:sz="8" w:space="0"/>
              <w:bottom w:val="single" w:color="auto" w:sz="8" w:space="0"/>
            </w:tcBorders>
            <w:vAlign w:val="center"/>
          </w:tcPr>
          <w:p w14:paraId="5FBB4AE2">
            <w:r>
              <w:rPr>
                <w:rFonts w:hint="eastAsia"/>
              </w:rPr>
              <w:t>财务制度健全性</w:t>
            </w:r>
          </w:p>
        </w:tc>
        <w:tc>
          <w:tcPr>
            <w:tcW w:w="4739" w:type="dxa"/>
            <w:tcBorders>
              <w:top w:val="single" w:color="auto" w:sz="8" w:space="0"/>
              <w:bottom w:val="single" w:color="auto" w:sz="8" w:space="0"/>
            </w:tcBorders>
            <w:vAlign w:val="center"/>
          </w:tcPr>
          <w:p w14:paraId="5AC21BB2">
            <w:pPr>
              <w:ind w:firstLine="420" w:firstLineChars="200"/>
            </w:pPr>
            <w:r>
              <w:rPr>
                <w:rFonts w:hint="eastAsia"/>
              </w:rPr>
              <w:t>1.是否已制定或具有预算资金管理办法、内部财务管理制度、会计核算制度等管理制度；</w:t>
            </w:r>
          </w:p>
          <w:p w14:paraId="25BB5558">
            <w:pPr>
              <w:ind w:firstLine="420" w:firstLineChars="200"/>
            </w:pPr>
            <w:r>
              <w:rPr>
                <w:rFonts w:hint="eastAsia"/>
              </w:rPr>
              <w:t>2.相关管理制度是否合法、合规、完整。</w:t>
            </w:r>
          </w:p>
          <w:p w14:paraId="3C054198">
            <w:pPr>
              <w:ind w:firstLine="420" w:firstLineChars="200"/>
            </w:pPr>
            <w:r>
              <w:rPr>
                <w:rFonts w:hint="eastAsia"/>
              </w:rPr>
              <w:t>每项1分，符合则得分，不符合则扣分。</w:t>
            </w:r>
          </w:p>
        </w:tc>
        <w:tc>
          <w:tcPr>
            <w:tcW w:w="774" w:type="dxa"/>
            <w:tcBorders>
              <w:top w:val="single" w:color="auto" w:sz="8" w:space="0"/>
              <w:bottom w:val="single" w:color="auto" w:sz="8" w:space="0"/>
            </w:tcBorders>
            <w:vAlign w:val="center"/>
          </w:tcPr>
          <w:p w14:paraId="478EE343">
            <w:r>
              <w:rPr>
                <w:rFonts w:hint="eastAsia"/>
              </w:rPr>
              <w:t>2</w:t>
            </w:r>
          </w:p>
        </w:tc>
      </w:tr>
      <w:tr w14:paraId="2F3FC6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1" w:type="dxa"/>
            <w:vMerge w:val="continue"/>
            <w:vAlign w:val="center"/>
          </w:tcPr>
          <w:p w14:paraId="0452CD1D"/>
        </w:tc>
        <w:tc>
          <w:tcPr>
            <w:tcW w:w="1117" w:type="dxa"/>
            <w:vMerge w:val="continue"/>
            <w:vAlign w:val="center"/>
          </w:tcPr>
          <w:p w14:paraId="7AE18D00"/>
        </w:tc>
        <w:tc>
          <w:tcPr>
            <w:tcW w:w="1201" w:type="dxa"/>
            <w:tcBorders>
              <w:top w:val="single" w:color="auto" w:sz="8" w:space="0"/>
              <w:bottom w:val="single" w:color="auto" w:sz="8" w:space="0"/>
            </w:tcBorders>
            <w:vAlign w:val="center"/>
          </w:tcPr>
          <w:p w14:paraId="3E4E9365">
            <w:r>
              <w:rPr>
                <w:rFonts w:hint="eastAsia"/>
              </w:rPr>
              <w:t>资金使用合规性</w:t>
            </w:r>
          </w:p>
        </w:tc>
        <w:tc>
          <w:tcPr>
            <w:tcW w:w="4739" w:type="dxa"/>
            <w:tcBorders>
              <w:top w:val="single" w:color="auto" w:sz="8" w:space="0"/>
              <w:bottom w:val="single" w:color="auto" w:sz="8" w:space="0"/>
            </w:tcBorders>
            <w:vAlign w:val="center"/>
          </w:tcPr>
          <w:p w14:paraId="4B7173D5">
            <w:pPr>
              <w:ind w:firstLine="420" w:firstLineChars="200"/>
            </w:pPr>
            <w:r>
              <w:rPr>
                <w:rFonts w:hint="eastAsia"/>
              </w:rPr>
              <w:t>1.资金用途是否符合部门预算批复；</w:t>
            </w:r>
          </w:p>
          <w:p w14:paraId="5ACD59E7">
            <w:pPr>
              <w:ind w:firstLine="420" w:firstLineChars="200"/>
            </w:pPr>
            <w:r>
              <w:rPr>
                <w:rFonts w:hint="eastAsia"/>
              </w:rPr>
              <w:t>2.资金的拨付是否有完整的审批程序和手续；</w:t>
            </w:r>
          </w:p>
          <w:p w14:paraId="40DC5FD1">
            <w:pPr>
              <w:ind w:firstLine="420" w:firstLineChars="200"/>
            </w:pPr>
            <w:r>
              <w:rPr>
                <w:rFonts w:hint="eastAsia"/>
              </w:rPr>
              <w:t>3.是否存在截留、挤占、挪用、虚列支出等情况。</w:t>
            </w:r>
          </w:p>
          <w:p w14:paraId="4A7C4EE6">
            <w:pPr>
              <w:ind w:firstLine="420" w:firstLineChars="200"/>
            </w:pPr>
            <w:r>
              <w:rPr>
                <w:rFonts w:hint="eastAsia"/>
              </w:rPr>
              <w:t>每项1分，符合则得分，不符合则扣分。</w:t>
            </w:r>
          </w:p>
        </w:tc>
        <w:tc>
          <w:tcPr>
            <w:tcW w:w="774" w:type="dxa"/>
            <w:tcBorders>
              <w:top w:val="single" w:color="auto" w:sz="8" w:space="0"/>
              <w:bottom w:val="single" w:color="auto" w:sz="8" w:space="0"/>
            </w:tcBorders>
            <w:vAlign w:val="center"/>
          </w:tcPr>
          <w:p w14:paraId="2C4A6D5B">
            <w:r>
              <w:rPr>
                <w:rFonts w:hint="eastAsia"/>
              </w:rPr>
              <w:t>3</w:t>
            </w:r>
          </w:p>
        </w:tc>
      </w:tr>
      <w:tr w14:paraId="2F5C1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1" w:type="dxa"/>
            <w:vMerge w:val="continue"/>
            <w:vAlign w:val="center"/>
          </w:tcPr>
          <w:p w14:paraId="44530406"/>
        </w:tc>
        <w:tc>
          <w:tcPr>
            <w:tcW w:w="1117" w:type="dxa"/>
            <w:vMerge w:val="continue"/>
            <w:tcBorders>
              <w:bottom w:val="single" w:color="auto" w:sz="4" w:space="0"/>
            </w:tcBorders>
            <w:vAlign w:val="center"/>
          </w:tcPr>
          <w:p w14:paraId="70BBAFC6"/>
        </w:tc>
        <w:tc>
          <w:tcPr>
            <w:tcW w:w="1201" w:type="dxa"/>
            <w:tcBorders>
              <w:top w:val="single" w:color="auto" w:sz="8" w:space="0"/>
              <w:bottom w:val="single" w:color="auto" w:sz="8" w:space="0"/>
            </w:tcBorders>
            <w:vAlign w:val="center"/>
          </w:tcPr>
          <w:p w14:paraId="1ED52963">
            <w:r>
              <w:rPr>
                <w:rFonts w:hint="eastAsia"/>
              </w:rPr>
              <w:t>预决算信息公开性</w:t>
            </w:r>
          </w:p>
        </w:tc>
        <w:tc>
          <w:tcPr>
            <w:tcW w:w="4739" w:type="dxa"/>
            <w:tcBorders>
              <w:top w:val="single" w:color="auto" w:sz="8" w:space="0"/>
              <w:bottom w:val="single" w:color="auto" w:sz="8" w:space="0"/>
            </w:tcBorders>
            <w:vAlign w:val="center"/>
          </w:tcPr>
          <w:p w14:paraId="1B5ECAEB">
            <w:pPr>
              <w:ind w:firstLine="420" w:firstLineChars="200"/>
            </w:pPr>
            <w:r>
              <w:rPr>
                <w:rFonts w:hint="eastAsia"/>
              </w:rPr>
              <w:t>1.是否按规定内容公开预决算信息；</w:t>
            </w:r>
          </w:p>
          <w:p w14:paraId="094F070F">
            <w:pPr>
              <w:ind w:firstLine="420" w:firstLineChars="200"/>
            </w:pPr>
            <w:r>
              <w:rPr>
                <w:rFonts w:hint="eastAsia"/>
              </w:rPr>
              <w:t>2.是否按规定时限公开预决算信息。</w:t>
            </w:r>
          </w:p>
          <w:p w14:paraId="20C58E1E">
            <w:pPr>
              <w:ind w:firstLine="420" w:firstLineChars="200"/>
            </w:pPr>
            <w:r>
              <w:rPr>
                <w:rFonts w:hint="eastAsia"/>
              </w:rPr>
              <w:t>每项1分，符合则得分，不符合则扣分。</w:t>
            </w:r>
          </w:p>
        </w:tc>
        <w:tc>
          <w:tcPr>
            <w:tcW w:w="774" w:type="dxa"/>
            <w:tcBorders>
              <w:top w:val="single" w:color="auto" w:sz="8" w:space="0"/>
              <w:bottom w:val="single" w:color="auto" w:sz="8" w:space="0"/>
            </w:tcBorders>
            <w:vAlign w:val="center"/>
          </w:tcPr>
          <w:p w14:paraId="2BB075C7">
            <w:r>
              <w:rPr>
                <w:rFonts w:hint="eastAsia"/>
              </w:rPr>
              <w:t>2</w:t>
            </w:r>
          </w:p>
        </w:tc>
      </w:tr>
      <w:tr w14:paraId="7E94F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1" w:type="dxa"/>
            <w:vMerge w:val="continue"/>
            <w:vAlign w:val="center"/>
          </w:tcPr>
          <w:p w14:paraId="373FD027"/>
        </w:tc>
        <w:tc>
          <w:tcPr>
            <w:tcW w:w="1117" w:type="dxa"/>
            <w:vMerge w:val="restart"/>
            <w:tcBorders>
              <w:top w:val="single" w:color="auto" w:sz="4" w:space="0"/>
            </w:tcBorders>
            <w:vAlign w:val="center"/>
          </w:tcPr>
          <w:p w14:paraId="0E4E18BE">
            <w:pPr>
              <w:ind w:firstLine="420" w:firstLineChars="200"/>
            </w:pPr>
            <w:r>
              <w:rPr>
                <w:rFonts w:hint="eastAsia"/>
              </w:rPr>
              <w:t>资产管理</w:t>
            </w:r>
          </w:p>
          <w:p w14:paraId="5CE8459F">
            <w:pPr>
              <w:ind w:firstLine="420" w:firstLineChars="200"/>
            </w:pPr>
            <w:r>
              <w:rPr>
                <w:rFonts w:hint="eastAsia"/>
              </w:rPr>
              <w:t>（9分）</w:t>
            </w:r>
          </w:p>
        </w:tc>
        <w:tc>
          <w:tcPr>
            <w:tcW w:w="1201" w:type="dxa"/>
            <w:tcBorders>
              <w:top w:val="single" w:color="auto" w:sz="8" w:space="0"/>
              <w:bottom w:val="single" w:color="auto" w:sz="8" w:space="0"/>
            </w:tcBorders>
            <w:vAlign w:val="center"/>
          </w:tcPr>
          <w:p w14:paraId="7717781E">
            <w:r>
              <w:rPr>
                <w:rFonts w:hint="eastAsia"/>
              </w:rPr>
              <w:t>管理制度健全性</w:t>
            </w:r>
          </w:p>
        </w:tc>
        <w:tc>
          <w:tcPr>
            <w:tcW w:w="4739" w:type="dxa"/>
            <w:tcBorders>
              <w:top w:val="single" w:color="auto" w:sz="8" w:space="0"/>
              <w:bottom w:val="single" w:color="auto" w:sz="8" w:space="0"/>
            </w:tcBorders>
            <w:vAlign w:val="center"/>
          </w:tcPr>
          <w:p w14:paraId="6535B342">
            <w:pPr>
              <w:ind w:firstLine="420" w:firstLineChars="200"/>
            </w:pPr>
            <w:r>
              <w:rPr>
                <w:rFonts w:hint="eastAsia"/>
              </w:rPr>
              <w:t xml:space="preserve">1.是否已制定或具有资产管理制度； </w:t>
            </w:r>
          </w:p>
          <w:p w14:paraId="2948D008">
            <w:pPr>
              <w:ind w:firstLine="420" w:firstLineChars="200"/>
            </w:pPr>
            <w:r>
              <w:rPr>
                <w:rFonts w:hint="eastAsia"/>
              </w:rPr>
              <w:t>2.相关资金管理制度是否合法、合规、完整；</w:t>
            </w:r>
          </w:p>
          <w:p w14:paraId="7BC25161">
            <w:pPr>
              <w:ind w:firstLine="420" w:firstLineChars="200"/>
            </w:pPr>
            <w:r>
              <w:rPr>
                <w:rFonts w:hint="eastAsia"/>
              </w:rPr>
              <w:t>3.相关资产管理制度是否得到有效执行。</w:t>
            </w:r>
          </w:p>
          <w:p w14:paraId="12A69C05">
            <w:pPr>
              <w:ind w:firstLine="420" w:firstLineChars="200"/>
            </w:pPr>
            <w:r>
              <w:rPr>
                <w:rFonts w:hint="eastAsia"/>
              </w:rPr>
              <w:t>每项1分，符合则得分，不符合则扣分。</w:t>
            </w:r>
          </w:p>
        </w:tc>
        <w:tc>
          <w:tcPr>
            <w:tcW w:w="774" w:type="dxa"/>
            <w:tcBorders>
              <w:top w:val="single" w:color="auto" w:sz="8" w:space="0"/>
              <w:bottom w:val="single" w:color="auto" w:sz="8" w:space="0"/>
            </w:tcBorders>
            <w:vAlign w:val="center"/>
          </w:tcPr>
          <w:p w14:paraId="50524367">
            <w:r>
              <w:rPr>
                <w:rFonts w:hint="eastAsia"/>
              </w:rPr>
              <w:t>3</w:t>
            </w:r>
          </w:p>
        </w:tc>
      </w:tr>
      <w:tr w14:paraId="4933F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1" w:type="dxa"/>
            <w:vMerge w:val="continue"/>
            <w:vAlign w:val="center"/>
          </w:tcPr>
          <w:p w14:paraId="57EE95FD"/>
        </w:tc>
        <w:tc>
          <w:tcPr>
            <w:tcW w:w="1117" w:type="dxa"/>
            <w:vMerge w:val="continue"/>
            <w:vAlign w:val="center"/>
          </w:tcPr>
          <w:p w14:paraId="6542C3B3"/>
        </w:tc>
        <w:tc>
          <w:tcPr>
            <w:tcW w:w="1201" w:type="dxa"/>
            <w:tcBorders>
              <w:top w:val="single" w:color="auto" w:sz="8" w:space="0"/>
              <w:bottom w:val="single" w:color="auto" w:sz="8" w:space="0"/>
            </w:tcBorders>
            <w:vAlign w:val="center"/>
          </w:tcPr>
          <w:p w14:paraId="29C0F9FB">
            <w:r>
              <w:rPr>
                <w:rFonts w:hint="eastAsia"/>
              </w:rPr>
              <w:t>资产管理安全性</w:t>
            </w:r>
          </w:p>
        </w:tc>
        <w:tc>
          <w:tcPr>
            <w:tcW w:w="4739" w:type="dxa"/>
            <w:tcBorders>
              <w:top w:val="single" w:color="auto" w:sz="8" w:space="0"/>
              <w:bottom w:val="single" w:color="auto" w:sz="8" w:space="0"/>
            </w:tcBorders>
            <w:vAlign w:val="center"/>
          </w:tcPr>
          <w:p w14:paraId="63E1F905">
            <w:pPr>
              <w:ind w:firstLine="420" w:firstLineChars="200"/>
            </w:pPr>
            <w:r>
              <w:rPr>
                <w:rFonts w:hint="eastAsia"/>
              </w:rPr>
              <w:t>1.资产保存是否完整、配置是否合理；</w:t>
            </w:r>
          </w:p>
          <w:p w14:paraId="3B8B8BBA">
            <w:pPr>
              <w:ind w:firstLine="420" w:firstLineChars="200"/>
            </w:pPr>
            <w:r>
              <w:rPr>
                <w:rFonts w:hint="eastAsia"/>
              </w:rPr>
              <w:t>2.资产账务管理是否合规，是否帐实相符；</w:t>
            </w:r>
          </w:p>
          <w:p w14:paraId="496FAE45">
            <w:pPr>
              <w:ind w:firstLine="420" w:firstLineChars="200"/>
            </w:pPr>
            <w:r>
              <w:rPr>
                <w:rFonts w:hint="eastAsia"/>
              </w:rPr>
              <w:t>3.资产处置是否规范、资产是否有偿使用及处置收入及时足额上缴。</w:t>
            </w:r>
          </w:p>
          <w:p w14:paraId="6D55E60D">
            <w:pPr>
              <w:ind w:firstLine="420" w:firstLineChars="200"/>
            </w:pPr>
            <w:r>
              <w:rPr>
                <w:rFonts w:hint="eastAsia"/>
              </w:rPr>
              <w:t>每项1分，符合则得分，不符合则扣分。</w:t>
            </w:r>
          </w:p>
        </w:tc>
        <w:tc>
          <w:tcPr>
            <w:tcW w:w="774" w:type="dxa"/>
            <w:tcBorders>
              <w:top w:val="single" w:color="auto" w:sz="8" w:space="0"/>
              <w:bottom w:val="single" w:color="auto" w:sz="8" w:space="0"/>
            </w:tcBorders>
            <w:vAlign w:val="center"/>
          </w:tcPr>
          <w:p w14:paraId="0362C5F8">
            <w:r>
              <w:rPr>
                <w:rFonts w:hint="eastAsia"/>
              </w:rPr>
              <w:t>3</w:t>
            </w:r>
          </w:p>
        </w:tc>
      </w:tr>
      <w:tr w14:paraId="5C9B4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1" w:type="dxa"/>
            <w:vMerge w:val="continue"/>
            <w:vAlign w:val="center"/>
          </w:tcPr>
          <w:p w14:paraId="7A66CF7F"/>
        </w:tc>
        <w:tc>
          <w:tcPr>
            <w:tcW w:w="1117" w:type="dxa"/>
            <w:vMerge w:val="continue"/>
            <w:vAlign w:val="center"/>
          </w:tcPr>
          <w:p w14:paraId="7DCCCFB2"/>
        </w:tc>
        <w:tc>
          <w:tcPr>
            <w:tcW w:w="1201" w:type="dxa"/>
            <w:tcBorders>
              <w:top w:val="single" w:color="auto" w:sz="8" w:space="0"/>
              <w:bottom w:val="single" w:color="auto" w:sz="8" w:space="0"/>
            </w:tcBorders>
            <w:vAlign w:val="center"/>
          </w:tcPr>
          <w:p w14:paraId="473C612B">
            <w:r>
              <w:rPr>
                <w:rFonts w:hint="eastAsia"/>
              </w:rPr>
              <w:t>固定资产利用率</w:t>
            </w:r>
          </w:p>
        </w:tc>
        <w:tc>
          <w:tcPr>
            <w:tcW w:w="4739" w:type="dxa"/>
            <w:tcBorders>
              <w:top w:val="single" w:color="auto" w:sz="8" w:space="0"/>
              <w:bottom w:val="single" w:color="auto" w:sz="8" w:space="0"/>
            </w:tcBorders>
            <w:vAlign w:val="center"/>
          </w:tcPr>
          <w:p w14:paraId="561E3A9E">
            <w:pPr>
              <w:ind w:firstLine="420" w:firstLineChars="200"/>
            </w:pPr>
            <w:r>
              <w:rPr>
                <w:rFonts w:hint="eastAsia"/>
              </w:rPr>
              <w:t>固定资产利用率=（实际在用固定资产总额/所有固定资产总额）×100%。</w:t>
            </w:r>
          </w:p>
          <w:p w14:paraId="4E170F3A">
            <w:pPr>
              <w:ind w:firstLine="420" w:firstLineChars="200"/>
            </w:pPr>
            <w:r>
              <w:rPr>
                <w:rFonts w:hint="eastAsia"/>
              </w:rPr>
              <w:t>固定资产利用率高于85%得满分；并以此为基准，每降低5%（含）扣减1分，减至0分为止。</w:t>
            </w:r>
          </w:p>
        </w:tc>
        <w:tc>
          <w:tcPr>
            <w:tcW w:w="774" w:type="dxa"/>
            <w:tcBorders>
              <w:top w:val="single" w:color="auto" w:sz="8" w:space="0"/>
              <w:bottom w:val="single" w:color="auto" w:sz="8" w:space="0"/>
            </w:tcBorders>
            <w:vAlign w:val="center"/>
          </w:tcPr>
          <w:p w14:paraId="408E5EA3">
            <w:r>
              <w:rPr>
                <w:rFonts w:hint="eastAsia"/>
              </w:rPr>
              <w:t>3</w:t>
            </w:r>
          </w:p>
        </w:tc>
      </w:tr>
      <w:tr w14:paraId="715790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1061" w:type="dxa"/>
            <w:vMerge w:val="restart"/>
            <w:tcBorders>
              <w:top w:val="single" w:color="auto" w:sz="8" w:space="0"/>
            </w:tcBorders>
            <w:vAlign w:val="center"/>
          </w:tcPr>
          <w:p w14:paraId="28AFFC02">
            <w:pPr>
              <w:ind w:firstLine="420" w:firstLineChars="200"/>
            </w:pPr>
            <w:r>
              <w:rPr>
                <w:rFonts w:hint="eastAsia"/>
              </w:rPr>
              <w:t>产出</w:t>
            </w:r>
          </w:p>
          <w:p w14:paraId="306D32B6">
            <w:pPr>
              <w:ind w:firstLine="420" w:firstLineChars="200"/>
            </w:pPr>
            <w:r>
              <w:rPr>
                <w:rFonts w:hint="eastAsia"/>
              </w:rPr>
              <w:t>（20分）</w:t>
            </w:r>
          </w:p>
        </w:tc>
        <w:tc>
          <w:tcPr>
            <w:tcW w:w="1117" w:type="dxa"/>
            <w:vMerge w:val="restart"/>
            <w:tcBorders>
              <w:top w:val="single" w:color="auto" w:sz="8" w:space="0"/>
            </w:tcBorders>
            <w:vAlign w:val="center"/>
          </w:tcPr>
          <w:p w14:paraId="3DE1DD62">
            <w:pPr>
              <w:ind w:firstLine="420" w:firstLineChars="200"/>
            </w:pPr>
            <w:r>
              <w:rPr>
                <w:rFonts w:hint="eastAsia"/>
              </w:rPr>
              <w:t>职责履行</w:t>
            </w:r>
          </w:p>
          <w:p w14:paraId="537D5E2C">
            <w:pPr>
              <w:ind w:firstLine="420" w:firstLineChars="200"/>
            </w:pPr>
            <w:r>
              <w:rPr>
                <w:rFonts w:hint="eastAsia"/>
              </w:rPr>
              <w:t>（20分）</w:t>
            </w:r>
          </w:p>
        </w:tc>
        <w:tc>
          <w:tcPr>
            <w:tcW w:w="1201" w:type="dxa"/>
            <w:tcBorders>
              <w:top w:val="single" w:color="auto" w:sz="8" w:space="0"/>
            </w:tcBorders>
            <w:vAlign w:val="center"/>
          </w:tcPr>
          <w:p w14:paraId="0B582B4E">
            <w:r>
              <w:rPr>
                <w:rFonts w:hint="eastAsia"/>
              </w:rPr>
              <w:t>绩效目标完成率</w:t>
            </w:r>
          </w:p>
        </w:tc>
        <w:tc>
          <w:tcPr>
            <w:tcW w:w="4739" w:type="dxa"/>
            <w:tcBorders>
              <w:top w:val="single" w:color="auto" w:sz="8" w:space="0"/>
            </w:tcBorders>
            <w:vAlign w:val="center"/>
          </w:tcPr>
          <w:p w14:paraId="0F5049CA">
            <w:pPr>
              <w:ind w:firstLine="420" w:firstLineChars="200"/>
            </w:pPr>
            <w:r>
              <w:rPr>
                <w:rFonts w:hint="eastAsia"/>
              </w:rPr>
              <w:t>绩效目标完成率=（部门整体支出绩效目标申报表中已实现目标数/申报目标数）×100%。</w:t>
            </w:r>
          </w:p>
          <w:p w14:paraId="49890419">
            <w:pPr>
              <w:ind w:firstLine="420" w:firstLineChars="200"/>
            </w:pPr>
            <w:r>
              <w:rPr>
                <w:rFonts w:hint="eastAsia"/>
              </w:rPr>
              <w:t>得分=绩效目标完成率×分值。</w:t>
            </w:r>
          </w:p>
        </w:tc>
        <w:tc>
          <w:tcPr>
            <w:tcW w:w="774" w:type="dxa"/>
            <w:tcBorders>
              <w:top w:val="single" w:color="auto" w:sz="8" w:space="0"/>
            </w:tcBorders>
            <w:vAlign w:val="center"/>
          </w:tcPr>
          <w:p w14:paraId="55C9E4E8">
            <w:r>
              <w:rPr>
                <w:rFonts w:hint="eastAsia"/>
              </w:rPr>
              <w:t>5</w:t>
            </w:r>
          </w:p>
        </w:tc>
      </w:tr>
      <w:tr w14:paraId="43FA9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61" w:type="dxa"/>
            <w:vMerge w:val="continue"/>
            <w:vAlign w:val="center"/>
          </w:tcPr>
          <w:p w14:paraId="2F1CDF3E"/>
        </w:tc>
        <w:tc>
          <w:tcPr>
            <w:tcW w:w="1117" w:type="dxa"/>
            <w:vMerge w:val="continue"/>
            <w:vAlign w:val="center"/>
          </w:tcPr>
          <w:p w14:paraId="1FF1A070"/>
        </w:tc>
        <w:tc>
          <w:tcPr>
            <w:tcW w:w="1201" w:type="dxa"/>
            <w:tcBorders>
              <w:top w:val="single" w:color="auto" w:sz="4" w:space="0"/>
            </w:tcBorders>
            <w:vAlign w:val="center"/>
          </w:tcPr>
          <w:p w14:paraId="0EEDB0D1">
            <w:r>
              <w:rPr>
                <w:rFonts w:hint="eastAsia"/>
              </w:rPr>
              <w:t>质量达标率</w:t>
            </w:r>
          </w:p>
        </w:tc>
        <w:tc>
          <w:tcPr>
            <w:tcW w:w="4739" w:type="dxa"/>
            <w:vAlign w:val="center"/>
          </w:tcPr>
          <w:p w14:paraId="46BE3500">
            <w:pPr>
              <w:ind w:firstLine="420" w:firstLineChars="200"/>
            </w:pPr>
            <w:r>
              <w:rPr>
                <w:rFonts w:hint="eastAsia"/>
              </w:rPr>
              <w:t>项目完成质量达标率=（自评结果为优良的项目数/计划项目数）×100%。</w:t>
            </w:r>
          </w:p>
          <w:p w14:paraId="483EFF23">
            <w:pPr>
              <w:ind w:firstLine="420" w:firstLineChars="200"/>
            </w:pPr>
            <w:r>
              <w:rPr>
                <w:rFonts w:hint="eastAsia"/>
              </w:rPr>
              <w:t>得分=项质量达标率×分值。</w:t>
            </w:r>
          </w:p>
        </w:tc>
        <w:tc>
          <w:tcPr>
            <w:tcW w:w="774" w:type="dxa"/>
            <w:vAlign w:val="center"/>
          </w:tcPr>
          <w:p w14:paraId="3CA08A7D">
            <w:r>
              <w:rPr>
                <w:rFonts w:hint="eastAsia"/>
              </w:rPr>
              <w:t>5</w:t>
            </w:r>
          </w:p>
        </w:tc>
      </w:tr>
      <w:tr w14:paraId="5C6E4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61" w:type="dxa"/>
            <w:vMerge w:val="continue"/>
            <w:vAlign w:val="center"/>
          </w:tcPr>
          <w:p w14:paraId="71F69457"/>
        </w:tc>
        <w:tc>
          <w:tcPr>
            <w:tcW w:w="1117" w:type="dxa"/>
            <w:vMerge w:val="continue"/>
            <w:vAlign w:val="center"/>
          </w:tcPr>
          <w:p w14:paraId="7B8291AA"/>
        </w:tc>
        <w:tc>
          <w:tcPr>
            <w:tcW w:w="1201" w:type="dxa"/>
            <w:tcBorders>
              <w:top w:val="single" w:color="auto" w:sz="4" w:space="0"/>
            </w:tcBorders>
            <w:vAlign w:val="center"/>
          </w:tcPr>
          <w:p w14:paraId="4B06E8C8">
            <w:r>
              <w:rPr>
                <w:rFonts w:hint="eastAsia"/>
              </w:rPr>
              <w:t>项目完成及时率</w:t>
            </w:r>
          </w:p>
        </w:tc>
        <w:tc>
          <w:tcPr>
            <w:tcW w:w="4739" w:type="dxa"/>
            <w:vAlign w:val="center"/>
          </w:tcPr>
          <w:p w14:paraId="11314029">
            <w:pPr>
              <w:ind w:firstLine="420" w:firstLineChars="200"/>
            </w:pPr>
            <w:r>
              <w:rPr>
                <w:rFonts w:hint="eastAsia"/>
              </w:rPr>
              <w:t>项目完成及时率=（及时完成实际项目数/计划项目数）×100%。</w:t>
            </w:r>
          </w:p>
          <w:p w14:paraId="15B67A54">
            <w:pPr>
              <w:ind w:firstLine="420" w:firstLineChars="200"/>
            </w:pPr>
            <w:r>
              <w:rPr>
                <w:rFonts w:hint="eastAsia"/>
              </w:rPr>
              <w:t>得分=项目完成及时率×权重分值。</w:t>
            </w:r>
          </w:p>
        </w:tc>
        <w:tc>
          <w:tcPr>
            <w:tcW w:w="774" w:type="dxa"/>
            <w:vAlign w:val="center"/>
          </w:tcPr>
          <w:p w14:paraId="5572E553">
            <w:r>
              <w:rPr>
                <w:rFonts w:hint="eastAsia"/>
              </w:rPr>
              <w:t>5</w:t>
            </w:r>
          </w:p>
        </w:tc>
      </w:tr>
      <w:tr w14:paraId="57189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061" w:type="dxa"/>
            <w:vMerge w:val="continue"/>
            <w:vAlign w:val="center"/>
          </w:tcPr>
          <w:p w14:paraId="7966B6C3"/>
        </w:tc>
        <w:tc>
          <w:tcPr>
            <w:tcW w:w="1117" w:type="dxa"/>
            <w:vMerge w:val="continue"/>
            <w:vAlign w:val="center"/>
          </w:tcPr>
          <w:p w14:paraId="311BB558"/>
        </w:tc>
        <w:tc>
          <w:tcPr>
            <w:tcW w:w="1201" w:type="dxa"/>
            <w:tcBorders>
              <w:top w:val="single" w:color="auto" w:sz="4" w:space="0"/>
            </w:tcBorders>
            <w:vAlign w:val="center"/>
          </w:tcPr>
          <w:p w14:paraId="18209F6A">
            <w:r>
              <w:rPr>
                <w:rFonts w:hint="eastAsia"/>
              </w:rPr>
              <w:t>部门重点工作落实情况</w:t>
            </w:r>
          </w:p>
        </w:tc>
        <w:tc>
          <w:tcPr>
            <w:tcW w:w="4739" w:type="dxa"/>
            <w:vAlign w:val="center"/>
          </w:tcPr>
          <w:p w14:paraId="40655D07">
            <w:pPr>
              <w:ind w:firstLine="420" w:firstLineChars="200"/>
            </w:pPr>
            <w:r>
              <w:rPr>
                <w:rFonts w:hint="eastAsia"/>
              </w:rPr>
              <w:t>重点工作是指党委、政府、人大及相关部门交办或下达的工作任务。</w:t>
            </w:r>
          </w:p>
          <w:p w14:paraId="1107B260">
            <w:pPr>
              <w:ind w:firstLine="420" w:firstLineChars="200"/>
            </w:pPr>
            <w:r>
              <w:rPr>
                <w:rFonts w:hint="eastAsia"/>
              </w:rPr>
              <w:t>部门完成所有重点工作且完成情况较好得满分；部门重点工作完成有偏差的，每项扣1分，减至0分为止。</w:t>
            </w:r>
          </w:p>
        </w:tc>
        <w:tc>
          <w:tcPr>
            <w:tcW w:w="774" w:type="dxa"/>
            <w:vAlign w:val="center"/>
          </w:tcPr>
          <w:p w14:paraId="231C452D">
            <w:r>
              <w:rPr>
                <w:rFonts w:hint="eastAsia"/>
              </w:rPr>
              <w:t>5</w:t>
            </w:r>
          </w:p>
        </w:tc>
      </w:tr>
      <w:tr w14:paraId="2F88D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061" w:type="dxa"/>
            <w:vMerge w:val="restart"/>
            <w:vAlign w:val="center"/>
          </w:tcPr>
          <w:p w14:paraId="00EC8153">
            <w:pPr>
              <w:ind w:firstLine="420" w:firstLineChars="200"/>
            </w:pPr>
            <w:r>
              <w:rPr>
                <w:rFonts w:hint="eastAsia"/>
              </w:rPr>
              <w:t>履职效益</w:t>
            </w:r>
          </w:p>
          <w:p w14:paraId="54071E2E">
            <w:pPr>
              <w:ind w:firstLine="420" w:firstLineChars="200"/>
            </w:pPr>
            <w:r>
              <w:rPr>
                <w:rFonts w:hint="eastAsia"/>
              </w:rPr>
              <w:t>（35分）</w:t>
            </w:r>
          </w:p>
        </w:tc>
        <w:tc>
          <w:tcPr>
            <w:tcW w:w="1117" w:type="dxa"/>
            <w:vMerge w:val="restart"/>
            <w:vAlign w:val="center"/>
          </w:tcPr>
          <w:p w14:paraId="4E9F95BA">
            <w:pPr>
              <w:ind w:firstLine="420" w:firstLineChars="200"/>
            </w:pPr>
            <w:r>
              <w:rPr>
                <w:rFonts w:hint="eastAsia"/>
              </w:rPr>
              <w:t>经济效益</w:t>
            </w:r>
          </w:p>
          <w:p w14:paraId="78D1C3EE">
            <w:pPr>
              <w:ind w:firstLine="420" w:firstLineChars="200"/>
            </w:pPr>
            <w:r>
              <w:rPr>
                <w:rFonts w:hint="eastAsia"/>
              </w:rPr>
              <w:t>（12分）</w:t>
            </w:r>
          </w:p>
        </w:tc>
        <w:tc>
          <w:tcPr>
            <w:tcW w:w="1201" w:type="dxa"/>
            <w:tcBorders>
              <w:top w:val="single" w:color="auto" w:sz="4" w:space="0"/>
            </w:tcBorders>
            <w:vAlign w:val="center"/>
          </w:tcPr>
          <w:p w14:paraId="7B55A391">
            <w:r>
              <w:rPr>
                <w:rFonts w:hint="eastAsia"/>
              </w:rPr>
              <w:t>房地产年度完成投资额</w:t>
            </w:r>
          </w:p>
        </w:tc>
        <w:tc>
          <w:tcPr>
            <w:tcW w:w="4739" w:type="dxa"/>
            <w:vAlign w:val="center"/>
          </w:tcPr>
          <w:p w14:paraId="2D7DFF87">
            <w:r>
              <w:rPr>
                <w:rFonts w:hint="eastAsia"/>
              </w:rPr>
              <w:t>房地产年度完成投资额≥440亿元得满分，小于440亿元大于395亿得2分，小于395亿元时不得分。</w:t>
            </w:r>
          </w:p>
        </w:tc>
        <w:tc>
          <w:tcPr>
            <w:tcW w:w="774" w:type="dxa"/>
            <w:vAlign w:val="center"/>
          </w:tcPr>
          <w:p w14:paraId="1E6E9DB8">
            <w:r>
              <w:rPr>
                <w:rFonts w:hint="eastAsia"/>
              </w:rPr>
              <w:t>4</w:t>
            </w:r>
          </w:p>
        </w:tc>
      </w:tr>
      <w:tr w14:paraId="3BCB2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061" w:type="dxa"/>
            <w:vMerge w:val="continue"/>
            <w:vAlign w:val="center"/>
          </w:tcPr>
          <w:p w14:paraId="2840C6CF"/>
        </w:tc>
        <w:tc>
          <w:tcPr>
            <w:tcW w:w="1117" w:type="dxa"/>
            <w:vMerge w:val="continue"/>
            <w:vAlign w:val="center"/>
          </w:tcPr>
          <w:p w14:paraId="29E20378"/>
        </w:tc>
        <w:tc>
          <w:tcPr>
            <w:tcW w:w="1201" w:type="dxa"/>
            <w:tcBorders>
              <w:top w:val="single" w:color="auto" w:sz="4" w:space="0"/>
            </w:tcBorders>
            <w:vAlign w:val="center"/>
          </w:tcPr>
          <w:p w14:paraId="448537EA">
            <w:r>
              <w:rPr>
                <w:rFonts w:hint="eastAsia"/>
              </w:rPr>
              <w:t>建筑业年度完成总产值</w:t>
            </w:r>
          </w:p>
        </w:tc>
        <w:tc>
          <w:tcPr>
            <w:tcW w:w="4739" w:type="dxa"/>
            <w:vAlign w:val="center"/>
          </w:tcPr>
          <w:p w14:paraId="6D6A0F60">
            <w:r>
              <w:rPr>
                <w:rFonts w:hint="eastAsia"/>
              </w:rPr>
              <w:t>建筑业年度完成总产值≥900亿元得满分，小于900亿元大于720亿元得2分，小于720亿元时不得分。</w:t>
            </w:r>
          </w:p>
        </w:tc>
        <w:tc>
          <w:tcPr>
            <w:tcW w:w="774" w:type="dxa"/>
            <w:vAlign w:val="center"/>
          </w:tcPr>
          <w:p w14:paraId="30F306DD">
            <w:r>
              <w:rPr>
                <w:rFonts w:hint="eastAsia"/>
              </w:rPr>
              <w:t>4</w:t>
            </w:r>
          </w:p>
        </w:tc>
      </w:tr>
      <w:tr w14:paraId="2BED4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061" w:type="dxa"/>
            <w:vMerge w:val="continue"/>
            <w:vAlign w:val="center"/>
          </w:tcPr>
          <w:p w14:paraId="041B21EA"/>
        </w:tc>
        <w:tc>
          <w:tcPr>
            <w:tcW w:w="1117" w:type="dxa"/>
            <w:vMerge w:val="continue"/>
            <w:vAlign w:val="center"/>
          </w:tcPr>
          <w:p w14:paraId="6D505385"/>
        </w:tc>
        <w:tc>
          <w:tcPr>
            <w:tcW w:w="1201" w:type="dxa"/>
            <w:tcBorders>
              <w:top w:val="single" w:color="auto" w:sz="4" w:space="0"/>
            </w:tcBorders>
            <w:vAlign w:val="center"/>
          </w:tcPr>
          <w:p w14:paraId="557734B8">
            <w:r>
              <w:rPr>
                <w:rFonts w:hint="eastAsia"/>
              </w:rPr>
              <w:t>城建固投年度完成投资额</w:t>
            </w:r>
          </w:p>
        </w:tc>
        <w:tc>
          <w:tcPr>
            <w:tcW w:w="4739" w:type="dxa"/>
            <w:vAlign w:val="center"/>
          </w:tcPr>
          <w:p w14:paraId="34D51850">
            <w:r>
              <w:rPr>
                <w:rFonts w:hint="eastAsia"/>
              </w:rPr>
              <w:t>城建固投年度完成投资额≥1050亿元得满分，小于1050亿元大于800亿元得2分，小于800亿元时不得分。</w:t>
            </w:r>
          </w:p>
        </w:tc>
        <w:tc>
          <w:tcPr>
            <w:tcW w:w="774" w:type="dxa"/>
            <w:vAlign w:val="center"/>
          </w:tcPr>
          <w:p w14:paraId="4EDD14AC">
            <w:r>
              <w:rPr>
                <w:rFonts w:hint="eastAsia"/>
              </w:rPr>
              <w:t>4</w:t>
            </w:r>
          </w:p>
        </w:tc>
      </w:tr>
      <w:tr w14:paraId="0134C5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061" w:type="dxa"/>
            <w:vMerge w:val="continue"/>
            <w:vAlign w:val="center"/>
          </w:tcPr>
          <w:p w14:paraId="0C7F9D8C"/>
        </w:tc>
        <w:tc>
          <w:tcPr>
            <w:tcW w:w="1117" w:type="dxa"/>
            <w:vMerge w:val="restart"/>
            <w:vAlign w:val="center"/>
          </w:tcPr>
          <w:p w14:paraId="27244430">
            <w:pPr>
              <w:ind w:firstLine="420" w:firstLineChars="200"/>
            </w:pPr>
            <w:r>
              <w:rPr>
                <w:rFonts w:hint="eastAsia"/>
              </w:rPr>
              <w:t>社会效益</w:t>
            </w:r>
          </w:p>
          <w:p w14:paraId="7C4CDB1A">
            <w:pPr>
              <w:ind w:firstLine="420" w:firstLineChars="200"/>
            </w:pPr>
            <w:r>
              <w:rPr>
                <w:rFonts w:hint="eastAsia"/>
              </w:rPr>
              <w:t>（9分）</w:t>
            </w:r>
          </w:p>
        </w:tc>
        <w:tc>
          <w:tcPr>
            <w:tcW w:w="1201" w:type="dxa"/>
            <w:vAlign w:val="center"/>
          </w:tcPr>
          <w:p w14:paraId="769FCD9A">
            <w:r>
              <w:rPr>
                <w:rFonts w:hint="eastAsia"/>
              </w:rPr>
              <w:t>促进新开工棚改套数</w:t>
            </w:r>
          </w:p>
        </w:tc>
        <w:tc>
          <w:tcPr>
            <w:tcW w:w="4739" w:type="dxa"/>
            <w:vAlign w:val="center"/>
          </w:tcPr>
          <w:p w14:paraId="6C5CCE9A">
            <w:r>
              <w:rPr>
                <w:rFonts w:hint="eastAsia"/>
              </w:rPr>
              <w:t>促进新开工棚改套数≥7296套得满分，小于7296套大于5214套得2分，小于5214套时不得分。</w:t>
            </w:r>
          </w:p>
        </w:tc>
        <w:tc>
          <w:tcPr>
            <w:tcW w:w="774" w:type="dxa"/>
            <w:vAlign w:val="center"/>
          </w:tcPr>
          <w:p w14:paraId="354ADD12">
            <w:r>
              <w:rPr>
                <w:rFonts w:hint="eastAsia"/>
              </w:rPr>
              <w:t>3</w:t>
            </w:r>
          </w:p>
        </w:tc>
      </w:tr>
      <w:tr w14:paraId="6E794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061" w:type="dxa"/>
            <w:vMerge w:val="continue"/>
            <w:vAlign w:val="center"/>
          </w:tcPr>
          <w:p w14:paraId="213E28B2"/>
        </w:tc>
        <w:tc>
          <w:tcPr>
            <w:tcW w:w="1117" w:type="dxa"/>
            <w:vMerge w:val="continue"/>
            <w:vAlign w:val="center"/>
          </w:tcPr>
          <w:p w14:paraId="794E58B6"/>
        </w:tc>
        <w:tc>
          <w:tcPr>
            <w:tcW w:w="1201" w:type="dxa"/>
            <w:vAlign w:val="center"/>
          </w:tcPr>
          <w:p w14:paraId="43A8664F">
            <w:r>
              <w:rPr>
                <w:rFonts w:hint="eastAsia"/>
              </w:rPr>
              <w:t>促进政府投资公租房分配率</w:t>
            </w:r>
          </w:p>
        </w:tc>
        <w:tc>
          <w:tcPr>
            <w:tcW w:w="4739" w:type="dxa"/>
            <w:vAlign w:val="center"/>
          </w:tcPr>
          <w:p w14:paraId="15F44421">
            <w:r>
              <w:rPr>
                <w:rFonts w:hint="eastAsia"/>
              </w:rPr>
              <w:t>分配率≥92%得满分，小于92%大于90%得2分，小于90%时不得分。注：分配率=已分配（含预分配）套数÷公租房开工套数*100%</w:t>
            </w:r>
          </w:p>
        </w:tc>
        <w:tc>
          <w:tcPr>
            <w:tcW w:w="774" w:type="dxa"/>
            <w:vAlign w:val="center"/>
          </w:tcPr>
          <w:p w14:paraId="29134CE7">
            <w:r>
              <w:rPr>
                <w:rFonts w:hint="eastAsia"/>
              </w:rPr>
              <w:t>3</w:t>
            </w:r>
          </w:p>
        </w:tc>
      </w:tr>
      <w:tr w14:paraId="60FCB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061" w:type="dxa"/>
            <w:vMerge w:val="continue"/>
            <w:vAlign w:val="center"/>
          </w:tcPr>
          <w:p w14:paraId="271EFEA3"/>
        </w:tc>
        <w:tc>
          <w:tcPr>
            <w:tcW w:w="1117" w:type="dxa"/>
            <w:vMerge w:val="continue"/>
            <w:vAlign w:val="center"/>
          </w:tcPr>
          <w:p w14:paraId="1988B1AD"/>
        </w:tc>
        <w:tc>
          <w:tcPr>
            <w:tcW w:w="1201" w:type="dxa"/>
            <w:vAlign w:val="center"/>
          </w:tcPr>
          <w:p w14:paraId="1D4716D0">
            <w:r>
              <w:rPr>
                <w:rFonts w:hint="eastAsia"/>
              </w:rPr>
              <w:t>促进新增基本建成套数</w:t>
            </w:r>
          </w:p>
        </w:tc>
        <w:tc>
          <w:tcPr>
            <w:tcW w:w="4739" w:type="dxa"/>
            <w:vAlign w:val="center"/>
          </w:tcPr>
          <w:p w14:paraId="106B225C">
            <w:r>
              <w:rPr>
                <w:rFonts w:hint="eastAsia"/>
              </w:rPr>
              <w:t>促进新增基本建成套数≥8864套得满分，小于8864套大于7000套得2分，小于7000套时不得分。</w:t>
            </w:r>
          </w:p>
        </w:tc>
        <w:tc>
          <w:tcPr>
            <w:tcW w:w="774" w:type="dxa"/>
            <w:vAlign w:val="center"/>
          </w:tcPr>
          <w:p w14:paraId="6E2E5938">
            <w:r>
              <w:rPr>
                <w:rFonts w:hint="eastAsia"/>
              </w:rPr>
              <w:t>3</w:t>
            </w:r>
          </w:p>
        </w:tc>
      </w:tr>
      <w:tr w14:paraId="0639A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1061" w:type="dxa"/>
            <w:vMerge w:val="continue"/>
            <w:vAlign w:val="center"/>
          </w:tcPr>
          <w:p w14:paraId="42985913"/>
        </w:tc>
        <w:tc>
          <w:tcPr>
            <w:tcW w:w="1117" w:type="dxa"/>
            <w:vMerge w:val="restart"/>
            <w:vAlign w:val="center"/>
          </w:tcPr>
          <w:p w14:paraId="07C1CD4A">
            <w:pPr>
              <w:ind w:firstLine="420" w:firstLineChars="200"/>
            </w:pPr>
            <w:r>
              <w:rPr>
                <w:rFonts w:hint="eastAsia"/>
              </w:rPr>
              <w:t>生态效益</w:t>
            </w:r>
          </w:p>
          <w:p w14:paraId="5D95D8F5">
            <w:pPr>
              <w:ind w:firstLine="420" w:firstLineChars="200"/>
            </w:pPr>
            <w:r>
              <w:rPr>
                <w:rFonts w:hint="eastAsia"/>
              </w:rPr>
              <w:t>（10分）</w:t>
            </w:r>
          </w:p>
        </w:tc>
        <w:tc>
          <w:tcPr>
            <w:tcW w:w="1201" w:type="dxa"/>
            <w:vAlign w:val="center"/>
          </w:tcPr>
          <w:p w14:paraId="6ED16227">
            <w:r>
              <w:rPr>
                <w:rFonts w:hint="eastAsia"/>
              </w:rPr>
              <w:t>降低尾气污染排放数</w:t>
            </w:r>
          </w:p>
        </w:tc>
        <w:tc>
          <w:tcPr>
            <w:tcW w:w="4739" w:type="dxa"/>
            <w:vAlign w:val="center"/>
          </w:tcPr>
          <w:p w14:paraId="2852931C">
            <w:r>
              <w:rPr>
                <w:rFonts w:hint="eastAsia"/>
              </w:rPr>
              <w:t>降低尾气污染排放≥380万千克得满分，降低尾气污染排放小于380万千克大于200万千克，即得2分；降低尾气污染排放小于200万千克，不得分。注：降低尾气污染排放量=二氧化碳排放量（千克）/18.3</w:t>
            </w:r>
          </w:p>
        </w:tc>
        <w:tc>
          <w:tcPr>
            <w:tcW w:w="774" w:type="dxa"/>
            <w:vAlign w:val="center"/>
          </w:tcPr>
          <w:p w14:paraId="275368E0">
            <w:r>
              <w:rPr>
                <w:rFonts w:hint="eastAsia"/>
              </w:rPr>
              <w:t>5</w:t>
            </w:r>
          </w:p>
        </w:tc>
      </w:tr>
      <w:tr w14:paraId="6C201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061" w:type="dxa"/>
            <w:vMerge w:val="continue"/>
            <w:vAlign w:val="center"/>
          </w:tcPr>
          <w:p w14:paraId="0C8F101C"/>
        </w:tc>
        <w:tc>
          <w:tcPr>
            <w:tcW w:w="1117" w:type="dxa"/>
            <w:vMerge w:val="continue"/>
            <w:vAlign w:val="center"/>
          </w:tcPr>
          <w:p w14:paraId="6760FF17"/>
        </w:tc>
        <w:tc>
          <w:tcPr>
            <w:tcW w:w="1201" w:type="dxa"/>
            <w:vAlign w:val="center"/>
          </w:tcPr>
          <w:p w14:paraId="0554E475">
            <w:r>
              <w:rPr>
                <w:rFonts w:hint="eastAsia"/>
              </w:rPr>
              <w:t>乡镇污水处理设施覆盖率</w:t>
            </w:r>
          </w:p>
        </w:tc>
        <w:tc>
          <w:tcPr>
            <w:tcW w:w="4739" w:type="dxa"/>
            <w:vAlign w:val="center"/>
          </w:tcPr>
          <w:p w14:paraId="38F8E3D0">
            <w:r>
              <w:rPr>
                <w:rFonts w:hint="eastAsia"/>
              </w:rPr>
              <w:t>乡镇污水处理设施覆盖率≥90%得满分，覆盖率小于90%大于70%，即得2分；小于70%，不得分。注：乡镇污水处理设施覆盖率=已完成乡镇污水处理设施/省下达乡镇生活污水处理设施建设任务*100%</w:t>
            </w:r>
          </w:p>
        </w:tc>
        <w:tc>
          <w:tcPr>
            <w:tcW w:w="774" w:type="dxa"/>
            <w:vAlign w:val="center"/>
          </w:tcPr>
          <w:p w14:paraId="0EFDCF09">
            <w:r>
              <w:rPr>
                <w:rFonts w:hint="eastAsia"/>
              </w:rPr>
              <w:t>5</w:t>
            </w:r>
          </w:p>
        </w:tc>
      </w:tr>
      <w:tr w14:paraId="367FE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61" w:type="dxa"/>
            <w:vMerge w:val="continue"/>
            <w:vAlign w:val="center"/>
          </w:tcPr>
          <w:p w14:paraId="141A2342"/>
        </w:tc>
        <w:tc>
          <w:tcPr>
            <w:tcW w:w="1117" w:type="dxa"/>
            <w:vAlign w:val="center"/>
          </w:tcPr>
          <w:p w14:paraId="34667F43">
            <w:pPr>
              <w:ind w:firstLine="420" w:firstLineChars="200"/>
            </w:pPr>
            <w:r>
              <w:rPr>
                <w:rFonts w:hint="eastAsia"/>
              </w:rPr>
              <w:t>公众</w:t>
            </w:r>
          </w:p>
          <w:p w14:paraId="0D7A80F2">
            <w:pPr>
              <w:ind w:firstLine="420" w:firstLineChars="200"/>
            </w:pPr>
            <w:r>
              <w:rPr>
                <w:rFonts w:hint="eastAsia"/>
              </w:rPr>
              <w:t>满意度</w:t>
            </w:r>
          </w:p>
          <w:p w14:paraId="42B7181D">
            <w:pPr>
              <w:ind w:firstLine="420" w:firstLineChars="200"/>
            </w:pPr>
            <w:r>
              <w:rPr>
                <w:rFonts w:hint="eastAsia"/>
              </w:rPr>
              <w:t>（4分）</w:t>
            </w:r>
          </w:p>
        </w:tc>
        <w:tc>
          <w:tcPr>
            <w:tcW w:w="1201" w:type="dxa"/>
            <w:vAlign w:val="center"/>
          </w:tcPr>
          <w:p w14:paraId="7109DE4D">
            <w:r>
              <w:rPr>
                <w:rFonts w:hint="eastAsia"/>
              </w:rPr>
              <w:t>公众对城市建设满意度</w:t>
            </w:r>
          </w:p>
        </w:tc>
        <w:tc>
          <w:tcPr>
            <w:tcW w:w="4739" w:type="dxa"/>
            <w:vAlign w:val="center"/>
          </w:tcPr>
          <w:p w14:paraId="70D80445">
            <w:r>
              <w:rPr>
                <w:rFonts w:hint="eastAsia"/>
              </w:rPr>
              <w:t>满意度≥90%得满分，满意率70%～90%的，即得2分；满意率低于70%的，不得分。注：满意度=（满意与比较满意的总人数÷调查总人数）*100%</w:t>
            </w:r>
          </w:p>
        </w:tc>
        <w:tc>
          <w:tcPr>
            <w:tcW w:w="774" w:type="dxa"/>
            <w:vAlign w:val="center"/>
          </w:tcPr>
          <w:p w14:paraId="0D5841DE">
            <w:r>
              <w:rPr>
                <w:rFonts w:hint="eastAsia"/>
              </w:rPr>
              <w:t>4</w:t>
            </w:r>
          </w:p>
        </w:tc>
      </w:tr>
      <w:tr w14:paraId="42276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118" w:type="dxa"/>
            <w:gridSpan w:val="4"/>
            <w:vAlign w:val="center"/>
          </w:tcPr>
          <w:p w14:paraId="15177CFA">
            <w:r>
              <w:rPr>
                <w:rFonts w:hint="eastAsia"/>
              </w:rPr>
              <w:t>总分（S）</w:t>
            </w:r>
          </w:p>
        </w:tc>
        <w:tc>
          <w:tcPr>
            <w:tcW w:w="774" w:type="dxa"/>
            <w:vAlign w:val="center"/>
          </w:tcPr>
          <w:p w14:paraId="5E55558B">
            <w:r>
              <w:rPr>
                <w:rFonts w:hint="eastAsia"/>
              </w:rPr>
              <w:t>100</w:t>
            </w:r>
          </w:p>
        </w:tc>
      </w:tr>
      <w:tr w14:paraId="4D493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78" w:type="dxa"/>
            <w:gridSpan w:val="2"/>
            <w:vAlign w:val="center"/>
          </w:tcPr>
          <w:p w14:paraId="250AD53C">
            <w:r>
              <w:rPr>
                <w:rFonts w:hint="eastAsia"/>
              </w:rPr>
              <w:t>评价等级</w:t>
            </w:r>
          </w:p>
        </w:tc>
        <w:tc>
          <w:tcPr>
            <w:tcW w:w="6714" w:type="dxa"/>
            <w:gridSpan w:val="3"/>
            <w:vAlign w:val="center"/>
          </w:tcPr>
          <w:p w14:paraId="544BD3D1">
            <w:r>
              <w:rPr>
                <w:rFonts w:hint="eastAsia"/>
              </w:rPr>
              <w:t>□优秀（S≥90）  □良好（90﹥S≧80）  □合格（80﹥S≧60）  □不合格（60&lt;S）</w:t>
            </w:r>
          </w:p>
        </w:tc>
      </w:tr>
    </w:tbl>
    <w:p w14:paraId="433FA62D">
      <w:pPr>
        <w:ind w:firstLine="420" w:firstLineChars="200"/>
        <w:outlineLvl w:val="0"/>
      </w:pPr>
      <w:bookmarkStart w:id="569" w:name="_Toc10214"/>
      <w:bookmarkStart w:id="570" w:name="_Toc30563"/>
      <w:r>
        <w:t>四、绩效</w:t>
      </w:r>
      <w:r>
        <w:rPr>
          <w:rFonts w:hint="eastAsia"/>
        </w:rPr>
        <w:t>指标</w:t>
      </w:r>
      <w:r>
        <w:t>分析及绩效评价结论</w:t>
      </w:r>
      <w:bookmarkEnd w:id="569"/>
      <w:bookmarkEnd w:id="570"/>
    </w:p>
    <w:p w14:paraId="404D083E">
      <w:pPr>
        <w:ind w:firstLine="420" w:firstLineChars="200"/>
      </w:pPr>
      <w:bookmarkStart w:id="571" w:name="_Toc8745"/>
      <w:r>
        <w:t>（一）绩效</w:t>
      </w:r>
      <w:r>
        <w:rPr>
          <w:rFonts w:hint="eastAsia"/>
        </w:rPr>
        <w:t>指标</w:t>
      </w:r>
      <w:r>
        <w:t>分析</w:t>
      </w:r>
      <w:bookmarkEnd w:id="571"/>
    </w:p>
    <w:p w14:paraId="371D0193">
      <w:pPr>
        <w:ind w:firstLine="420" w:firstLineChars="200"/>
      </w:pPr>
      <w:r>
        <w:rPr>
          <w:rFonts w:hint="eastAsia"/>
        </w:rPr>
        <w:t>秉承</w:t>
      </w:r>
      <w:r>
        <w:t>客观、公正、准确的原则对</w:t>
      </w:r>
      <w:r>
        <w:rPr>
          <w:rFonts w:hint="eastAsia"/>
        </w:rPr>
        <w:t>被</w:t>
      </w:r>
      <w:r>
        <w:t>评价项目进行绩效</w:t>
      </w:r>
      <w:r>
        <w:rPr>
          <w:rFonts w:hint="eastAsia"/>
        </w:rPr>
        <w:t>指标</w:t>
      </w:r>
      <w:r>
        <w:t>分析和综合评分，针对评价</w:t>
      </w:r>
      <w:r>
        <w:rPr>
          <w:rFonts w:hint="eastAsia"/>
        </w:rPr>
        <w:t>中</w:t>
      </w:r>
      <w:r>
        <w:t>发现的问题提出意见</w:t>
      </w:r>
      <w:r>
        <w:rPr>
          <w:rFonts w:hint="eastAsia"/>
        </w:rPr>
        <w:t>和</w:t>
      </w:r>
      <w:r>
        <w:t>建议，</w:t>
      </w:r>
      <w:r>
        <w:rPr>
          <w:rFonts w:hint="eastAsia"/>
        </w:rPr>
        <w:t>最终</w:t>
      </w:r>
      <w:r>
        <w:t>形成绩效评价结果。</w:t>
      </w:r>
    </w:p>
    <w:p w14:paraId="3EC6CF0A">
      <w:pPr>
        <w:ind w:firstLine="420" w:firstLineChars="200"/>
      </w:pPr>
      <w:r>
        <w:t>1</w:t>
      </w:r>
      <w:r>
        <w:rPr>
          <w:rFonts w:hint="eastAsia"/>
        </w:rPr>
        <w:t>.投入指标分析</w:t>
      </w:r>
      <w:r>
        <w:t>（满分</w:t>
      </w:r>
      <w:r>
        <w:rPr>
          <w:rFonts w:hint="eastAsia"/>
        </w:rPr>
        <w:t>15</w:t>
      </w:r>
      <w:r>
        <w:t>分，得分</w:t>
      </w:r>
      <w:r>
        <w:rPr>
          <w:rFonts w:hint="eastAsia"/>
        </w:rPr>
        <w:t>15</w:t>
      </w:r>
      <w:r>
        <w:t>分）</w:t>
      </w:r>
    </w:p>
    <w:p w14:paraId="78391E22">
      <w:pPr>
        <w:ind w:firstLine="420" w:firstLineChars="200"/>
      </w:pPr>
      <w:r>
        <w:rPr>
          <w:rFonts w:hint="eastAsia"/>
        </w:rPr>
        <w:t>投入</w:t>
      </w:r>
      <w:r>
        <w:t>指标从</w:t>
      </w:r>
      <w:r>
        <w:rPr>
          <w:rFonts w:hint="eastAsia"/>
        </w:rPr>
        <w:t>目标设定和预算配置</w:t>
      </w:r>
      <w:r>
        <w:t>方面进行</w:t>
      </w:r>
      <w:r>
        <w:rPr>
          <w:rFonts w:hint="eastAsia"/>
        </w:rPr>
        <w:t>分析</w:t>
      </w:r>
      <w:r>
        <w:t>。</w:t>
      </w:r>
    </w:p>
    <w:p w14:paraId="032812B3">
      <w:pPr>
        <w:ind w:firstLine="420" w:firstLineChars="200"/>
      </w:pPr>
      <w:r>
        <w:rPr>
          <w:rFonts w:hint="eastAsia"/>
        </w:rPr>
        <w:t>（1）目标设定</w:t>
      </w:r>
      <w:r>
        <w:t>（满分</w:t>
      </w:r>
      <w:r>
        <w:rPr>
          <w:rFonts w:hint="eastAsia"/>
        </w:rPr>
        <w:t>7</w:t>
      </w:r>
      <w:r>
        <w:t>分，得分</w:t>
      </w:r>
      <w:r>
        <w:rPr>
          <w:rFonts w:hint="eastAsia"/>
        </w:rPr>
        <w:t>7</w:t>
      </w:r>
      <w:r>
        <w:t>分）</w:t>
      </w:r>
    </w:p>
    <w:p w14:paraId="5CD1C9F9">
      <w:pPr>
        <w:ind w:firstLine="420" w:firstLineChars="200"/>
      </w:pPr>
      <w:r>
        <w:t>①</w:t>
      </w:r>
      <w:r>
        <w:rPr>
          <w:rFonts w:hint="eastAsia"/>
        </w:rPr>
        <w:t>绩效目标合理性（满分3分，得分3分）</w:t>
      </w:r>
    </w:p>
    <w:p w14:paraId="6EA67981">
      <w:pPr>
        <w:ind w:firstLine="420" w:firstLineChars="200"/>
      </w:pPr>
      <w:r>
        <w:rPr>
          <w:rFonts w:hint="eastAsia"/>
        </w:rPr>
        <w:t>根据《莆田市“十三五”城镇住房负责专项规划》（莆政办[2016]138号）、《莆田市住房和城乡建设局职能配置、内设机构和人员编制规定》（莆委办发[2019]35号），本项目绩效目标合理性符合法律法规、国民经济、发展规划，符合莆田市住房和城乡建设局制定的中长期实施规划，符合部门“三定”方案确定的职责。根据评分标准，绩效目标合理性得3分。</w:t>
      </w:r>
    </w:p>
    <w:p w14:paraId="1DB57A03">
      <w:pPr>
        <w:ind w:firstLine="420" w:firstLineChars="200"/>
      </w:pPr>
      <w:r>
        <w:t>②</w:t>
      </w:r>
      <w:r>
        <w:rPr>
          <w:rFonts w:hint="eastAsia"/>
        </w:rPr>
        <w:t>绩效指标明确性（满分4分，得分4分）</w:t>
      </w:r>
    </w:p>
    <w:p w14:paraId="45439FC7">
      <w:pPr>
        <w:ind w:firstLine="420" w:firstLineChars="200"/>
      </w:pPr>
      <w:r>
        <w:rPr>
          <w:rFonts w:hint="eastAsia"/>
        </w:rPr>
        <w:t>根据《</w:t>
      </w:r>
      <w:r>
        <w:t>2020年莆田市</w:t>
      </w:r>
      <w:r>
        <w:rPr>
          <w:rFonts w:hint="eastAsia"/>
        </w:rPr>
        <w:t>住房和城乡建设局</w:t>
      </w:r>
      <w:r>
        <w:t>整体支出绩效目标申报表</w:t>
      </w:r>
      <w:r>
        <w:rPr>
          <w:rFonts w:hint="eastAsia"/>
        </w:rPr>
        <w:t>》，莆田市住房和城乡建设局由已将部门整体绩效目标进行细化，并通过可量化指标进行体现，并且</w:t>
      </w:r>
      <w:r>
        <w:t>与部门年度的任务数或计划数相对应</w:t>
      </w:r>
      <w:r>
        <w:rPr>
          <w:rFonts w:hint="eastAsia"/>
        </w:rPr>
        <w:t>，</w:t>
      </w:r>
      <w:r>
        <w:t>与本年度部门预算资金相匹配。</w:t>
      </w:r>
      <w:r>
        <w:rPr>
          <w:rFonts w:hint="eastAsia"/>
        </w:rPr>
        <w:t>根据评分标准，绩效指标明确性得2分。</w:t>
      </w:r>
    </w:p>
    <w:p w14:paraId="468DA319">
      <w:pPr>
        <w:ind w:firstLine="420" w:firstLineChars="200"/>
      </w:pPr>
      <w:r>
        <w:rPr>
          <w:rFonts w:hint="eastAsia"/>
        </w:rPr>
        <w:t>（2）预算配置（满分8分，得8分）</w:t>
      </w:r>
    </w:p>
    <w:p w14:paraId="56DE9B7D">
      <w:pPr>
        <w:ind w:firstLine="420" w:firstLineChars="200"/>
      </w:pPr>
      <w:r>
        <w:t>①在职人员控制率</w:t>
      </w:r>
      <w:r>
        <w:rPr>
          <w:rFonts w:hint="eastAsia"/>
        </w:rPr>
        <w:t>（满分4分，得4分）</w:t>
      </w:r>
    </w:p>
    <w:p w14:paraId="1667D250">
      <w:pPr>
        <w:ind w:firstLine="420" w:firstLineChars="200"/>
      </w:pPr>
      <w:r>
        <w:rPr>
          <w:rFonts w:hint="eastAsia"/>
        </w:rPr>
        <w:t>2020年12月份莆田市住房和城乡建设局在职人员184人，编制数207人，在职人员控制率=184/207×100%=88.89%＜95%，根据评分标准，在职人员控制率得4分。</w:t>
      </w:r>
    </w:p>
    <w:p w14:paraId="6EAF1D4C">
      <w:pPr>
        <w:ind w:firstLine="420" w:firstLineChars="200"/>
      </w:pPr>
      <w:r>
        <w:t>②“三公”经费</w:t>
      </w:r>
      <w:r>
        <w:rPr>
          <w:rFonts w:hint="eastAsia"/>
        </w:rPr>
        <w:t>变动</w:t>
      </w:r>
      <w:r>
        <w:t>率</w:t>
      </w:r>
      <w:r>
        <w:rPr>
          <w:rFonts w:hint="eastAsia"/>
        </w:rPr>
        <w:t>（满分4分，得4分）</w:t>
      </w:r>
    </w:p>
    <w:p w14:paraId="6FF64E76">
      <w:pPr>
        <w:ind w:firstLine="420" w:firstLineChars="200"/>
      </w:pPr>
      <w:r>
        <w:t>据2019年、2020年</w:t>
      </w:r>
      <w:r>
        <w:rPr>
          <w:rFonts w:hint="eastAsia"/>
        </w:rPr>
        <w:t>莆田</w:t>
      </w:r>
      <w:r>
        <w:t>市财政</w:t>
      </w:r>
      <w:r>
        <w:rPr>
          <w:rFonts w:hint="eastAsia"/>
        </w:rPr>
        <w:t>局</w:t>
      </w:r>
      <w:r>
        <w:t>批复市</w:t>
      </w:r>
      <w:r>
        <w:rPr>
          <w:rFonts w:hint="eastAsia"/>
        </w:rPr>
        <w:t>住建局</w:t>
      </w:r>
      <w:r>
        <w:t>部门“三公”经费预算控制数文件</w:t>
      </w:r>
      <w:r>
        <w:rPr>
          <w:rFonts w:hint="eastAsia"/>
        </w:rPr>
        <w:t>，</w:t>
      </w:r>
      <w:r>
        <w:t>2020年“三公”经费预算数</w:t>
      </w:r>
      <w:r>
        <w:rPr>
          <w:rFonts w:hint="eastAsia"/>
        </w:rPr>
        <w:t>21.48</w:t>
      </w:r>
      <w:r>
        <w:t>万元</w:t>
      </w:r>
      <w:r>
        <w:rPr>
          <w:rFonts w:hint="eastAsia"/>
        </w:rPr>
        <w:t>，</w:t>
      </w:r>
      <w:r>
        <w:t>2019年“三公”经费预算数</w:t>
      </w:r>
      <w:r>
        <w:rPr>
          <w:rFonts w:hint="eastAsia"/>
        </w:rPr>
        <w:t>22.62</w:t>
      </w:r>
      <w:r>
        <w:t>万元</w:t>
      </w:r>
      <w:r>
        <w:rPr>
          <w:rFonts w:hint="eastAsia"/>
        </w:rPr>
        <w:t>。</w:t>
      </w:r>
      <w:r>
        <w:t>“三公”经费</w:t>
      </w:r>
      <w:r>
        <w:rPr>
          <w:rFonts w:hint="eastAsia"/>
        </w:rPr>
        <w:t>变动</w:t>
      </w:r>
      <w:r>
        <w:t>率</w:t>
      </w:r>
      <w:r>
        <w:rPr>
          <w:rFonts w:hint="eastAsia"/>
        </w:rPr>
        <w:t>=（21.48</w:t>
      </w:r>
      <w:r>
        <w:t>-</w:t>
      </w:r>
      <w:r>
        <w:rPr>
          <w:rFonts w:hint="eastAsia"/>
        </w:rPr>
        <w:t>22.62</w:t>
      </w:r>
      <w:r>
        <w:t>）/</w:t>
      </w:r>
      <w:r>
        <w:rPr>
          <w:rFonts w:hint="eastAsia"/>
        </w:rPr>
        <w:t>22.62</w:t>
      </w:r>
      <w:r>
        <w:t>×100%=</w:t>
      </w:r>
      <w:r>
        <w:rPr>
          <w:rFonts w:hint="eastAsia"/>
        </w:rPr>
        <w:t>-0.05</w:t>
      </w:r>
      <w:r>
        <w:t>%</w:t>
      </w:r>
      <w:r>
        <w:rPr>
          <w:rFonts w:hint="eastAsia"/>
        </w:rPr>
        <w:t>。根据评分标准，</w:t>
      </w:r>
      <w:r>
        <w:t>“三公”经费</w:t>
      </w:r>
      <w:r>
        <w:rPr>
          <w:rFonts w:hint="eastAsia"/>
        </w:rPr>
        <w:t>变动</w:t>
      </w:r>
      <w:r>
        <w:t>率</w:t>
      </w:r>
      <w:r>
        <w:rPr>
          <w:rFonts w:hint="eastAsia"/>
        </w:rPr>
        <w:t>得4分。</w:t>
      </w:r>
    </w:p>
    <w:p w14:paraId="2694DCF5">
      <w:pPr>
        <w:ind w:firstLine="420" w:firstLineChars="200"/>
      </w:pPr>
      <w:r>
        <w:t>2</w:t>
      </w:r>
      <w:r>
        <w:rPr>
          <w:rFonts w:hint="eastAsia"/>
        </w:rPr>
        <w:t>.过程指标分析</w:t>
      </w:r>
      <w:r>
        <w:t>（满分</w:t>
      </w:r>
      <w:r>
        <w:rPr>
          <w:rFonts w:hint="eastAsia"/>
        </w:rPr>
        <w:t>30</w:t>
      </w:r>
      <w:r>
        <w:t>分，得分</w:t>
      </w:r>
      <w:r>
        <w:rPr>
          <w:rFonts w:hint="eastAsia"/>
        </w:rPr>
        <w:t>27.1</w:t>
      </w:r>
      <w:r>
        <w:t>分）</w:t>
      </w:r>
    </w:p>
    <w:p w14:paraId="31F4A3DE">
      <w:pPr>
        <w:ind w:firstLine="420" w:firstLineChars="200"/>
      </w:pPr>
      <w:r>
        <w:rPr>
          <w:rFonts w:hint="eastAsia"/>
        </w:rPr>
        <w:t>过程指标分析从预算执行、预算管理和资产管理3个方面进行。</w:t>
      </w:r>
    </w:p>
    <w:p w14:paraId="789B2441">
      <w:pPr>
        <w:ind w:firstLine="420" w:firstLineChars="200"/>
      </w:pPr>
      <w:r>
        <w:t>（1）</w:t>
      </w:r>
      <w:r>
        <w:rPr>
          <w:rFonts w:hint="eastAsia"/>
        </w:rPr>
        <w:t>预算执行（满分14分，得分11.1分）</w:t>
      </w:r>
    </w:p>
    <w:p w14:paraId="71FB3E5E">
      <w:pPr>
        <w:ind w:firstLine="420" w:firstLineChars="200"/>
      </w:pPr>
      <w:r>
        <w:t>①预算</w:t>
      </w:r>
      <w:r>
        <w:rPr>
          <w:rFonts w:hint="eastAsia"/>
        </w:rPr>
        <w:t>完成</w:t>
      </w:r>
      <w:r>
        <w:t>率</w:t>
      </w:r>
      <w:r>
        <w:rPr>
          <w:rFonts w:hint="eastAsia"/>
        </w:rPr>
        <w:t>（满分3分，得分2.8分）</w:t>
      </w:r>
    </w:p>
    <w:p w14:paraId="74E995F3">
      <w:pPr>
        <w:ind w:firstLine="420" w:firstLineChars="200"/>
      </w:pPr>
      <w:r>
        <w:rPr>
          <w:rFonts w:hint="eastAsia"/>
        </w:rPr>
        <w:t>根据莆田市住房和城乡建设局2020年预算报表，本年收入75843.13万元，本年支出71233.01万元，预算执行率93.92%。根据评价标准，预算完成率得2.8分。</w:t>
      </w:r>
    </w:p>
    <w:p w14:paraId="2622679C">
      <w:pPr>
        <w:ind w:firstLine="420" w:firstLineChars="200"/>
      </w:pPr>
      <w:r>
        <w:t>②预算调整率</w:t>
      </w:r>
      <w:r>
        <w:rPr>
          <w:rFonts w:hint="eastAsia"/>
        </w:rPr>
        <w:t>（满分3分，得分3分）</w:t>
      </w:r>
    </w:p>
    <w:p w14:paraId="727ACD0F">
      <w:pPr>
        <w:ind w:firstLine="420" w:firstLineChars="200"/>
      </w:pPr>
      <w:r>
        <w:rPr>
          <w:rFonts w:hint="eastAsia"/>
        </w:rPr>
        <w:t>根据案卷研究、现场调研和预算调整事项分析，莆田市住房和城乡建设局2020年预算调整均符合相关政策和上级要求。根据评价标准，预算调整率得3分。</w:t>
      </w:r>
    </w:p>
    <w:p w14:paraId="715F4659">
      <w:pPr>
        <w:ind w:firstLine="420" w:firstLineChars="200"/>
      </w:pPr>
      <w:r>
        <w:t>③结转结余变动率</w:t>
      </w:r>
      <w:r>
        <w:rPr>
          <w:rFonts w:hint="eastAsia"/>
        </w:rPr>
        <w:t>（满分2分，得分0分）</w:t>
      </w:r>
    </w:p>
    <w:p w14:paraId="2B58BAEB">
      <w:pPr>
        <w:ind w:firstLine="420" w:firstLineChars="200"/>
      </w:pPr>
      <w:r>
        <w:rPr>
          <w:rFonts w:hint="eastAsia"/>
        </w:rPr>
        <w:t>根据莆田市住房和城乡建设局</w:t>
      </w:r>
      <w:r>
        <w:t>决算报表数据</w:t>
      </w:r>
      <w:r>
        <w:rPr>
          <w:rFonts w:hint="eastAsia"/>
        </w:rPr>
        <w:t>，2020年年初结转结余66.9万元，年末结转结余4677.02万元，结转结余控制率68.9%。根据评价标准，结转结余变动率得0分。</w:t>
      </w:r>
    </w:p>
    <w:p w14:paraId="0917B443">
      <w:pPr>
        <w:ind w:firstLine="420" w:firstLineChars="200"/>
      </w:pPr>
      <w:r>
        <w:t>④公用经费控制率</w:t>
      </w:r>
      <w:r>
        <w:rPr>
          <w:rFonts w:hint="eastAsia"/>
        </w:rPr>
        <w:t>（满分2分，得分2分）</w:t>
      </w:r>
    </w:p>
    <w:p w14:paraId="438989A9">
      <w:pPr>
        <w:ind w:firstLine="420" w:firstLineChars="200"/>
      </w:pPr>
      <w:r>
        <w:rPr>
          <w:rFonts w:hint="eastAsia"/>
        </w:rPr>
        <w:t>根据莆田市住房和城乡建设局提供的</w:t>
      </w:r>
      <w:r>
        <w:t>2020年决算报表数据</w:t>
      </w:r>
      <w:r>
        <w:rPr>
          <w:rFonts w:hint="eastAsia"/>
        </w:rPr>
        <w:t>，实际支出公用经费总额235.2万元，预算安排公用经费总额246.54万元，公用经费控制率95.4%。根据评价标准，公用经费控制率得2分。</w:t>
      </w:r>
    </w:p>
    <w:p w14:paraId="2E1421A9">
      <w:pPr>
        <w:ind w:firstLine="420" w:firstLineChars="200"/>
      </w:pPr>
      <w:r>
        <w:t>⑤“三公经费”控制率</w:t>
      </w:r>
      <w:r>
        <w:rPr>
          <w:rFonts w:hint="eastAsia"/>
        </w:rPr>
        <w:t>（满分2分，得分2分）</w:t>
      </w:r>
    </w:p>
    <w:p w14:paraId="381D6F1F">
      <w:pPr>
        <w:ind w:firstLine="420" w:firstLineChars="200"/>
      </w:pPr>
      <w:r>
        <w:rPr>
          <w:rFonts w:hint="eastAsia"/>
        </w:rPr>
        <w:t>根据莆田市住房和城乡建设局提供的</w:t>
      </w:r>
      <w:r>
        <w:t>2020年决算报表数据</w:t>
      </w:r>
      <w:r>
        <w:rPr>
          <w:rFonts w:hint="eastAsia"/>
        </w:rPr>
        <w:t>，“三公经费”实际支出数15.34万元，“三公经费”预算安排数21.48万元，“三公经费”控制率71.4%。根据评价标准，“三公经费”控制率得2分。</w:t>
      </w:r>
    </w:p>
    <w:p w14:paraId="46FA7F7A">
      <w:pPr>
        <w:ind w:firstLine="420" w:firstLineChars="200"/>
      </w:pPr>
      <w:r>
        <w:rPr>
          <w:rFonts w:hint="eastAsia"/>
        </w:rPr>
        <w:t>⑥政府采购执行率（满分2分，得分1.3分）</w:t>
      </w:r>
    </w:p>
    <w:p w14:paraId="1D39BBF5">
      <w:pPr>
        <w:ind w:firstLine="420" w:firstLineChars="200"/>
      </w:pPr>
      <w:r>
        <w:rPr>
          <w:rFonts w:hint="eastAsia"/>
        </w:rPr>
        <w:t>根据莆田市住房和城乡建设局提供的2020年度决算数据，实际政府采购金额1525.83万元，政府采购预算数1631.31万元，政府采购执行率93.5%。根据评价标准，政府采购执行率得1.3分。</w:t>
      </w:r>
    </w:p>
    <w:p w14:paraId="5B2E0942">
      <w:pPr>
        <w:ind w:firstLine="420" w:firstLineChars="200"/>
      </w:pPr>
      <w:r>
        <w:t>（2）</w:t>
      </w:r>
      <w:r>
        <w:rPr>
          <w:rFonts w:hint="eastAsia"/>
        </w:rPr>
        <w:t>预算管理（满分7分，得分7分）</w:t>
      </w:r>
    </w:p>
    <w:p w14:paraId="0EB082ED">
      <w:pPr>
        <w:ind w:firstLine="420" w:firstLineChars="200"/>
      </w:pPr>
      <w:r>
        <w:t>①</w:t>
      </w:r>
      <w:r>
        <w:rPr>
          <w:rFonts w:hint="eastAsia"/>
        </w:rPr>
        <w:t>财务管理制度健全性（满分2分，得分2分）</w:t>
      </w:r>
    </w:p>
    <w:p w14:paraId="1DA52BE8">
      <w:pPr>
        <w:ind w:firstLine="420" w:firstLineChars="200"/>
      </w:pPr>
      <w:r>
        <w:rPr>
          <w:rFonts w:hint="eastAsia"/>
        </w:rPr>
        <w:t>根据案卷研究和现场调研，莆田市住房和城乡建设局已制定资金管理办法，并且管理制度完整。根据评价标准，财务管理制度健全性得2分。</w:t>
      </w:r>
    </w:p>
    <w:p w14:paraId="2CD5EF27">
      <w:pPr>
        <w:ind w:firstLine="420" w:firstLineChars="200"/>
      </w:pPr>
      <w:r>
        <w:t>②资金使用合规性</w:t>
      </w:r>
      <w:r>
        <w:rPr>
          <w:rFonts w:hint="eastAsia"/>
        </w:rPr>
        <w:t>（满分3分，得分3分）</w:t>
      </w:r>
    </w:p>
    <w:p w14:paraId="190AC705">
      <w:pPr>
        <w:ind w:firstLine="420" w:firstLineChars="200"/>
      </w:pPr>
      <w:r>
        <w:rPr>
          <w:rFonts w:hint="eastAsia"/>
        </w:rPr>
        <w:t>根据莆田市住房和城乡建设局制度汇编和绩效评价组的资料检查，莆田市住房和城乡建设局的资金拨付有完整的审批程序和手续，资金使用符合预算批复用途，不存在截留、挤占、挪用、虚列支出的情况。根据评价标准，资金使用合规性得3分。</w:t>
      </w:r>
    </w:p>
    <w:p w14:paraId="7B8F457C">
      <w:pPr>
        <w:ind w:firstLine="420" w:firstLineChars="200"/>
      </w:pPr>
      <w:r>
        <w:t>③预决算信息公开性</w:t>
      </w:r>
      <w:r>
        <w:rPr>
          <w:rFonts w:hint="eastAsia"/>
        </w:rPr>
        <w:t>（满分2分，得分2分）</w:t>
      </w:r>
    </w:p>
    <w:p w14:paraId="6D83FEB7">
      <w:pPr>
        <w:ind w:firstLine="420" w:firstLineChars="200"/>
      </w:pPr>
      <w:r>
        <w:rPr>
          <w:rFonts w:hint="eastAsia"/>
        </w:rPr>
        <w:t>根据根据案卷研究和现场调研，莆田市住房和城乡建设局按规定内容和规定时间公开预算、决算信息。根据评价标准，预决算信息公开性得2分。</w:t>
      </w:r>
    </w:p>
    <w:p w14:paraId="51770DAC">
      <w:pPr>
        <w:ind w:firstLine="420" w:firstLineChars="200"/>
      </w:pPr>
      <w:r>
        <w:t>（3）资产管理</w:t>
      </w:r>
      <w:r>
        <w:rPr>
          <w:rFonts w:hint="eastAsia"/>
        </w:rPr>
        <w:t>（满分9分，得分9分）</w:t>
      </w:r>
    </w:p>
    <w:p w14:paraId="0F878A0C">
      <w:pPr>
        <w:ind w:firstLine="420" w:firstLineChars="200"/>
      </w:pPr>
      <w:r>
        <w:t>①管理制度健全性</w:t>
      </w:r>
      <w:r>
        <w:rPr>
          <w:rFonts w:hint="eastAsia"/>
        </w:rPr>
        <w:t>（满分3分，得分3分）</w:t>
      </w:r>
    </w:p>
    <w:p w14:paraId="6D148516">
      <w:pPr>
        <w:ind w:firstLine="420" w:firstLineChars="200"/>
      </w:pPr>
      <w:r>
        <w:rPr>
          <w:rFonts w:hint="eastAsia"/>
        </w:rPr>
        <w:t>根据案卷研究和现场调研，莆田市住房和城乡建设局已制定资产管理制度、资金管理制度，并且制度合法、合规、完整，资产管理制度也得到有效执行。根据评价标准，管理制度健全性得3分。</w:t>
      </w:r>
    </w:p>
    <w:p w14:paraId="63CAE65E">
      <w:pPr>
        <w:ind w:firstLine="420" w:firstLineChars="200"/>
      </w:pPr>
      <w:r>
        <w:t>②资产管理安全性</w:t>
      </w:r>
      <w:r>
        <w:rPr>
          <w:rFonts w:hint="eastAsia"/>
        </w:rPr>
        <w:t>（满分3分，得分3分）</w:t>
      </w:r>
    </w:p>
    <w:p w14:paraId="24033D88">
      <w:pPr>
        <w:ind w:firstLine="420" w:firstLineChars="200"/>
      </w:pPr>
      <w:r>
        <w:rPr>
          <w:rFonts w:hint="eastAsia"/>
        </w:rPr>
        <w:t>根据根据案卷研究和现场调研，莆田市住房和城乡建设局资产配置合理、保存完整，帐实相符，处置规范。根据评价标准，资产管理安全性得3分。</w:t>
      </w:r>
    </w:p>
    <w:p w14:paraId="1D19FC21">
      <w:pPr>
        <w:ind w:firstLine="420" w:firstLineChars="200"/>
      </w:pPr>
      <w:r>
        <w:t>③</w:t>
      </w:r>
      <w:r>
        <w:rPr>
          <w:rFonts w:hint="eastAsia"/>
        </w:rPr>
        <w:t>固定资产利用率（满分3分，得分3分）</w:t>
      </w:r>
    </w:p>
    <w:p w14:paraId="1C4E891D">
      <w:pPr>
        <w:ind w:firstLine="420" w:firstLineChars="200"/>
      </w:pPr>
      <w:r>
        <w:rPr>
          <w:rFonts w:hint="eastAsia"/>
        </w:rPr>
        <w:t>根据根据案卷研究和现场调研，莆田市住房和城乡建设局固定资产利用率为100%。根据评价标准，固定资产利用率得3分。</w:t>
      </w:r>
    </w:p>
    <w:p w14:paraId="5A26BBA4">
      <w:pPr>
        <w:ind w:firstLine="420" w:firstLineChars="200"/>
      </w:pPr>
      <w:r>
        <w:rPr>
          <w:rFonts w:hint="eastAsia"/>
        </w:rPr>
        <w:t>3.产出指标分析</w:t>
      </w:r>
      <w:r>
        <w:t>（满分</w:t>
      </w:r>
      <w:r>
        <w:rPr>
          <w:rFonts w:hint="eastAsia"/>
        </w:rPr>
        <w:t>20</w:t>
      </w:r>
      <w:r>
        <w:t>分，得分</w:t>
      </w:r>
      <w:r>
        <w:rPr>
          <w:rFonts w:hint="eastAsia"/>
        </w:rPr>
        <w:t>18.7</w:t>
      </w:r>
      <w:r>
        <w:t>分）</w:t>
      </w:r>
    </w:p>
    <w:p w14:paraId="3634378D">
      <w:pPr>
        <w:ind w:firstLine="420" w:firstLineChars="200"/>
      </w:pPr>
      <w:r>
        <w:rPr>
          <w:rFonts w:hint="eastAsia"/>
        </w:rPr>
        <w:t>职责履行（满分20分，得分18.7分）</w:t>
      </w:r>
    </w:p>
    <w:p w14:paraId="04996977">
      <w:pPr>
        <w:ind w:firstLine="420" w:firstLineChars="200"/>
      </w:pPr>
      <w:r>
        <w:t>①</w:t>
      </w:r>
      <w:r>
        <w:rPr>
          <w:rFonts w:hint="eastAsia"/>
        </w:rPr>
        <w:t>绩效目标完成率（满分5分，得分5分）</w:t>
      </w:r>
    </w:p>
    <w:p w14:paraId="712F03AD">
      <w:pPr>
        <w:ind w:firstLine="420" w:firstLineChars="200"/>
      </w:pPr>
      <w:r>
        <w:rPr>
          <w:rFonts w:hint="eastAsia"/>
        </w:rPr>
        <w:t>根据莆田市住房和城乡建设局《部门整体支出绩效目标申报表》，其中已实现目标数20个，申报目标数20个。绩效目标完成率为100%。根据评价标准，绩效目标完成率得5分。</w:t>
      </w:r>
    </w:p>
    <w:p w14:paraId="5CE850AD">
      <w:pPr>
        <w:ind w:firstLine="420" w:firstLineChars="200"/>
      </w:pPr>
      <w:r>
        <w:t>②质量达标率</w:t>
      </w:r>
      <w:r>
        <w:rPr>
          <w:rFonts w:hint="eastAsia"/>
        </w:rPr>
        <w:t>（满分5分，得分3.7分）</w:t>
      </w:r>
    </w:p>
    <w:p w14:paraId="1132E9AB">
      <w:pPr>
        <w:ind w:firstLine="420" w:firstLineChars="200"/>
      </w:pPr>
      <w:r>
        <w:rPr>
          <w:rFonts w:hint="eastAsia"/>
        </w:rPr>
        <w:t>根据莆田市住房和城乡建设局各项目绩效自评表的评价等级统计，计划项目数27个，自评结果为优良的项目数20个，项目完成质量达标率74%。根据评价标准，项目完成质量达标率得3.7分。</w:t>
      </w:r>
    </w:p>
    <w:p w14:paraId="2E24599F">
      <w:pPr>
        <w:ind w:firstLine="420" w:firstLineChars="200"/>
      </w:pPr>
      <w:r>
        <w:t>③</w:t>
      </w:r>
      <w:r>
        <w:rPr>
          <w:rFonts w:hint="eastAsia"/>
        </w:rPr>
        <w:t>项目完成及时率（满分5分，得分5分）</w:t>
      </w:r>
    </w:p>
    <w:p w14:paraId="5DB4A25F">
      <w:pPr>
        <w:ind w:firstLine="420" w:firstLineChars="200"/>
      </w:pPr>
      <w:r>
        <w:rPr>
          <w:rFonts w:hint="eastAsia"/>
        </w:rPr>
        <w:t>根据根据案卷研究和现场调研，莆田市住房和城乡建设局部门项目完成及时率为100%。根据评价标准，部门重点工作落实情况得5分。</w:t>
      </w:r>
    </w:p>
    <w:p w14:paraId="432A603C">
      <w:pPr>
        <w:ind w:firstLine="420" w:firstLineChars="200"/>
      </w:pPr>
      <w:r>
        <w:t>④</w:t>
      </w:r>
      <w:r>
        <w:rPr>
          <w:rFonts w:hint="eastAsia"/>
        </w:rPr>
        <w:t>部门重点工作落实情况（满分5分，得分5分）</w:t>
      </w:r>
    </w:p>
    <w:p w14:paraId="6F21B190">
      <w:pPr>
        <w:ind w:firstLine="420" w:firstLineChars="200"/>
      </w:pPr>
      <w:r>
        <w:rPr>
          <w:rFonts w:hint="eastAsia"/>
        </w:rPr>
        <w:t>根据根据案卷研究和现场调研，莆田市住房和城乡建设局部门重点工作全部落实且效果良好。根据评价标准，部门重点工作落实情况得5分。</w:t>
      </w:r>
    </w:p>
    <w:p w14:paraId="7A44BE31">
      <w:pPr>
        <w:ind w:firstLine="420" w:firstLineChars="200"/>
      </w:pPr>
      <w:r>
        <w:rPr>
          <w:rFonts w:hint="eastAsia"/>
        </w:rPr>
        <w:t>4.履职效益指标分析（满分35分，得分31分）</w:t>
      </w:r>
    </w:p>
    <w:p w14:paraId="0DB1FD1C">
      <w:pPr>
        <w:ind w:firstLine="420" w:firstLineChars="200"/>
      </w:pPr>
      <w:r>
        <w:rPr>
          <w:rFonts w:hint="eastAsia"/>
        </w:rPr>
        <w:t>履职效益指标分析从经济效益、社会效益、生态效益和公众满意度4个方面进行。</w:t>
      </w:r>
    </w:p>
    <w:p w14:paraId="7208B817">
      <w:pPr>
        <w:ind w:firstLine="420" w:firstLineChars="200"/>
      </w:pPr>
      <w:r>
        <w:t>（</w:t>
      </w:r>
      <w:r>
        <w:rPr>
          <w:rFonts w:hint="eastAsia"/>
        </w:rPr>
        <w:t>1</w:t>
      </w:r>
      <w:r>
        <w:t>）经济效益</w:t>
      </w:r>
      <w:r>
        <w:rPr>
          <w:rFonts w:hint="eastAsia"/>
        </w:rPr>
        <w:t>（满分12分，得分8分）</w:t>
      </w:r>
    </w:p>
    <w:p w14:paraId="69D930FF">
      <w:pPr>
        <w:ind w:firstLine="420" w:firstLineChars="200"/>
      </w:pPr>
      <w:r>
        <w:t>①</w:t>
      </w:r>
      <w:r>
        <w:rPr>
          <w:rFonts w:hint="eastAsia"/>
        </w:rPr>
        <w:t>房地产年度完成投资额（满分4分，得分2分）</w:t>
      </w:r>
    </w:p>
    <w:p w14:paraId="75E4436E">
      <w:pPr>
        <w:ind w:firstLine="420" w:firstLineChars="200"/>
      </w:pPr>
      <w:r>
        <w:rPr>
          <w:rFonts w:hint="eastAsia"/>
        </w:rPr>
        <w:t>房地产年度完成投资额≥440亿元得满分，小于440亿元大于395亿得3分，小于395亿元时不得分。根据《全市住房和城乡建设报告》，2020全年完成房地产投资395.41亿元。根据评价标准，该项指标得2分。</w:t>
      </w:r>
    </w:p>
    <w:p w14:paraId="7DD34371">
      <w:pPr>
        <w:ind w:firstLine="420" w:firstLineChars="200"/>
      </w:pPr>
      <w:r>
        <w:t>②</w:t>
      </w:r>
      <w:r>
        <w:rPr>
          <w:rFonts w:hint="eastAsia"/>
        </w:rPr>
        <w:t>建筑业年度完成总产值（满分4分，得分3分）</w:t>
      </w:r>
    </w:p>
    <w:p w14:paraId="42B6D424">
      <w:pPr>
        <w:ind w:firstLine="420" w:firstLineChars="200"/>
      </w:pPr>
      <w:r>
        <w:rPr>
          <w:rFonts w:hint="eastAsia"/>
        </w:rPr>
        <w:t>建筑业年度完成总产值≥900亿元得满分，小于900亿元大于720亿元得3分，小于720亿元时不得分。根据《全市住房和城乡建设报告》，2020全年建筑业完成总产值780.74亿。根据评价标准，该项指标得3分。</w:t>
      </w:r>
    </w:p>
    <w:p w14:paraId="176A0CB6">
      <w:pPr>
        <w:ind w:firstLine="420" w:firstLineChars="200"/>
      </w:pPr>
      <w:r>
        <w:t>③</w:t>
      </w:r>
      <w:r>
        <w:rPr>
          <w:rFonts w:hint="eastAsia"/>
        </w:rPr>
        <w:t>城建固投年度完成投资额（满分4分，得分4分）</w:t>
      </w:r>
    </w:p>
    <w:p w14:paraId="2E9E40D2">
      <w:pPr>
        <w:ind w:firstLine="420" w:firstLineChars="200"/>
      </w:pPr>
      <w:r>
        <w:rPr>
          <w:rFonts w:hint="eastAsia"/>
        </w:rPr>
        <w:t>城建固投年度完成投资额≥1050亿元得满分，小于1050亿元大于800亿元得3分，小于800亿元时不得分。根据《全市住房和城乡建设报告》，2020全年建筑业完成总产值780.74亿。全年1027个城建项目完成投资1224.6亿元，根据评价标准，该项指标得4分。</w:t>
      </w:r>
    </w:p>
    <w:p w14:paraId="3C1CF5BD">
      <w:pPr>
        <w:ind w:firstLine="420" w:firstLineChars="200"/>
      </w:pPr>
      <w:r>
        <w:rPr>
          <w:rFonts w:hint="eastAsia"/>
        </w:rPr>
        <w:t>（2）社会效益（满分9分，得分9分）</w:t>
      </w:r>
    </w:p>
    <w:p w14:paraId="48248E0F">
      <w:pPr>
        <w:ind w:firstLine="420" w:firstLineChars="200"/>
      </w:pPr>
      <w:r>
        <w:t>①</w:t>
      </w:r>
      <w:r>
        <w:rPr>
          <w:rFonts w:hint="eastAsia"/>
        </w:rPr>
        <w:t>促进新开工棚改套数（满分3分，得分3分）</w:t>
      </w:r>
    </w:p>
    <w:p w14:paraId="7C5E99DD">
      <w:pPr>
        <w:ind w:firstLine="420" w:firstLineChars="200"/>
      </w:pPr>
      <w:r>
        <w:rPr>
          <w:rFonts w:hint="eastAsia"/>
        </w:rPr>
        <w:t>促进新开工棚改套数≥7296套得满分，小于7296套大于5214套得2分，小于5214套时不得分。根据《全市住房和城乡建设报告》，2020全年促进新开工棚改套数≥7296套7869套。根据评价标准，该项指标得3分。</w:t>
      </w:r>
    </w:p>
    <w:p w14:paraId="35D1FFE0">
      <w:pPr>
        <w:ind w:firstLine="420" w:firstLineChars="200"/>
      </w:pPr>
      <w:r>
        <w:t>②</w:t>
      </w:r>
      <w:r>
        <w:rPr>
          <w:rFonts w:hint="eastAsia"/>
        </w:rPr>
        <w:t>促进政府投资公租房分配率（满分3分，得分3分）</w:t>
      </w:r>
    </w:p>
    <w:p w14:paraId="2EF3674C">
      <w:pPr>
        <w:ind w:firstLine="420" w:firstLineChars="200"/>
      </w:pPr>
      <w:r>
        <w:rPr>
          <w:rFonts w:hint="eastAsia"/>
        </w:rPr>
        <w:t>分配率≥92%得满分，小于92%大于90%得2分，小于90%时不得分。注：分配率=已分配（含预分配）套数÷公租房开工套数*100%。根据《全市住房和城乡建设报告》，2020促进政府投资公租房分配率93%。根据评价标准，该项指标得3分。</w:t>
      </w:r>
    </w:p>
    <w:p w14:paraId="4AFD9FCD">
      <w:pPr>
        <w:ind w:firstLine="420" w:firstLineChars="200"/>
      </w:pPr>
      <w:r>
        <w:t>③</w:t>
      </w:r>
      <w:r>
        <w:rPr>
          <w:rFonts w:hint="eastAsia"/>
        </w:rPr>
        <w:t>促进新增基本建成套数（满分3分，得分4分）</w:t>
      </w:r>
    </w:p>
    <w:p w14:paraId="37C762EB">
      <w:pPr>
        <w:ind w:firstLine="420" w:firstLineChars="200"/>
      </w:pPr>
      <w:r>
        <w:rPr>
          <w:rFonts w:hint="eastAsia"/>
        </w:rPr>
        <w:t>促进新增基本建成套数≥8864套得满分，小于8864套大于7000套得2分，小于7000套时不得分。根据《全市住房和城乡建设报告》，2020促进促进新增基本建成套数9304套。根据评价标准，该项指标得3分。</w:t>
      </w:r>
    </w:p>
    <w:p w14:paraId="798A1422">
      <w:pPr>
        <w:ind w:firstLine="420" w:firstLineChars="200"/>
      </w:pPr>
      <w:r>
        <w:rPr>
          <w:rFonts w:hint="eastAsia"/>
        </w:rPr>
        <w:t>（3）生态效益（满分10分，得分10分）</w:t>
      </w:r>
    </w:p>
    <w:p w14:paraId="22C991B4">
      <w:pPr>
        <w:ind w:firstLine="420" w:firstLineChars="200"/>
      </w:pPr>
      <w:r>
        <w:t>①</w:t>
      </w:r>
      <w:r>
        <w:rPr>
          <w:rFonts w:hint="eastAsia"/>
        </w:rPr>
        <w:t>降低尾气污染排放数（满分5分，得分5分）</w:t>
      </w:r>
    </w:p>
    <w:p w14:paraId="66A5AE02">
      <w:pPr>
        <w:ind w:firstLine="420" w:firstLineChars="200"/>
      </w:pPr>
      <w:r>
        <w:rPr>
          <w:rFonts w:hint="eastAsia"/>
        </w:rPr>
        <w:t>降低尾气污染排放≥380万千克得满分，降低尾气污染排放小于380万千克大于200万千克，即得2分；降低尾气污染排放小于200万千克，不得分。注：降低尾气污染排放量=二氧化碳排放量（千克）/18.3。全年累计骑行86347535公里，节省燃油为6970803升，累计减排二氧化碳量15887947千克，约1589万千克。根据评价标准，该项指标得5分。</w:t>
      </w:r>
    </w:p>
    <w:p w14:paraId="127145FA">
      <w:pPr>
        <w:ind w:firstLine="420" w:firstLineChars="200"/>
      </w:pPr>
      <w:r>
        <w:t>②</w:t>
      </w:r>
      <w:r>
        <w:rPr>
          <w:rFonts w:hint="eastAsia"/>
        </w:rPr>
        <w:t>乡镇污水处理设施覆盖率（满分5分，得分5分）</w:t>
      </w:r>
    </w:p>
    <w:p w14:paraId="186B8ABC">
      <w:pPr>
        <w:ind w:firstLine="420" w:firstLineChars="200"/>
      </w:pPr>
      <w:r>
        <w:rPr>
          <w:rFonts w:hint="eastAsia"/>
        </w:rPr>
        <w:t>乡镇污水处理设施覆盖率≥90%得满分，覆盖率小于90%大于70%，即得2分；小于70%，不得分。乡镇污水处理设施覆盖率=已完成乡镇污水处理设施/省下达乡镇生活污水处理设施建设任务*100%。根据莆田市乡镇生活污水处理表，48个镇已全部建成，达到100%。根据评价标准，该项指标得5分。</w:t>
      </w:r>
    </w:p>
    <w:p w14:paraId="758CF940">
      <w:pPr>
        <w:ind w:firstLine="420" w:firstLineChars="200"/>
      </w:pPr>
      <w:r>
        <w:rPr>
          <w:rFonts w:hint="eastAsia"/>
        </w:rPr>
        <w:t>（4）公众</w:t>
      </w:r>
      <w:r>
        <w:t>满意度</w:t>
      </w:r>
      <w:r>
        <w:rPr>
          <w:rFonts w:hint="eastAsia"/>
        </w:rPr>
        <w:t>（满分4分，得分4分）</w:t>
      </w:r>
    </w:p>
    <w:p w14:paraId="4021563B">
      <w:pPr>
        <w:ind w:firstLine="420" w:firstLineChars="200"/>
      </w:pPr>
      <w:r>
        <w:rPr>
          <w:rFonts w:hint="eastAsia"/>
        </w:rPr>
        <w:t>公众对城市建设的满意度（满分4分，得分4分）</w:t>
      </w:r>
    </w:p>
    <w:p w14:paraId="40ACD6CA">
      <w:pPr>
        <w:ind w:firstLine="420" w:firstLineChars="200"/>
      </w:pPr>
      <w:r>
        <w:rPr>
          <w:rFonts w:hint="eastAsia"/>
        </w:rPr>
        <w:t>设计《莆田市城市建设居民满意度调查问卷》，从对我市城市建设10个方面开展问卷调查，向莆田市民随机发放问卷20人次，收回20人次，有效20人次。整体评价=非常满意+比较满意；不满意=不满意+很不满意。以非常满意+比较满意为整体满意度参考依据，总满意度达到90%，按照评分标准，得满分4分。</w:t>
      </w:r>
    </w:p>
    <w:p w14:paraId="51F149C1">
      <w:pPr>
        <w:ind w:firstLine="420" w:firstLineChars="200"/>
      </w:pPr>
      <w:bookmarkStart w:id="572" w:name="_Toc18392"/>
      <w:r>
        <w:rPr>
          <w:rFonts w:hint="eastAsia"/>
        </w:rPr>
        <w:t>（二）绩效评价结论</w:t>
      </w:r>
      <w:bookmarkEnd w:id="572"/>
    </w:p>
    <w:p w14:paraId="542B8167">
      <w:pPr>
        <w:ind w:firstLine="420" w:firstLineChars="200"/>
      </w:pPr>
      <w:r>
        <w:rPr>
          <w:rFonts w:hint="eastAsia"/>
        </w:rPr>
        <w:t>参考《财政部项目支出绩效评价管理办法》（财预[2020]10号），通过审查莆田市住房和城乡建设局的相关资料、实地调研及访谈相关人员等评价程序，认为莆田市住房和城乡建设局2020年度部门整体支出资金在已使用的资金范围内项目效益较好，政策导向正确，资金使用较为规范，绩效评价得分为91.8分，绩效评价等级为“优秀”。</w:t>
      </w:r>
    </w:p>
    <w:p w14:paraId="0975F989">
      <w:pPr>
        <w:ind w:firstLine="420" w:firstLineChars="200"/>
        <w:outlineLvl w:val="0"/>
      </w:pPr>
      <w:bookmarkStart w:id="573" w:name="_Toc11767"/>
      <w:bookmarkStart w:id="574" w:name="_Toc2168"/>
      <w:r>
        <w:rPr>
          <w:rFonts w:hint="eastAsia"/>
        </w:rPr>
        <w:t>五、主要绩效、存在问题和相关建议</w:t>
      </w:r>
      <w:bookmarkEnd w:id="573"/>
      <w:bookmarkEnd w:id="574"/>
    </w:p>
    <w:p w14:paraId="53B127FE">
      <w:pPr>
        <w:ind w:firstLine="420" w:firstLineChars="200"/>
      </w:pPr>
      <w:bookmarkStart w:id="575" w:name="_Toc23168"/>
      <w:r>
        <w:rPr>
          <w:rFonts w:hint="eastAsia"/>
        </w:rPr>
        <w:t>（一）主要</w:t>
      </w:r>
      <w:bookmarkEnd w:id="575"/>
      <w:r>
        <w:rPr>
          <w:rFonts w:hint="eastAsia"/>
        </w:rPr>
        <w:t>绩效</w:t>
      </w:r>
    </w:p>
    <w:p w14:paraId="6B8D3734">
      <w:pPr>
        <w:ind w:firstLine="420" w:firstLineChars="200"/>
      </w:pPr>
      <w:r>
        <w:rPr>
          <w:rFonts w:hint="eastAsia"/>
        </w:rPr>
        <w:t>1.疫情防控和复工复产统筹推进</w:t>
      </w:r>
    </w:p>
    <w:p w14:paraId="67C02C97">
      <w:pPr>
        <w:ind w:firstLine="420" w:firstLineChars="200"/>
      </w:pPr>
      <w:r>
        <w:rPr>
          <w:rFonts w:hint="eastAsia"/>
        </w:rPr>
        <w:t>全力做好疫情期间城市运行保障工作，全过程跟踪服务莆田版“小汤山医院”工程建设，扎实做好供水保障、污水处理和公园绿道管理。扎实做好“六稳”工作，全面落实“六保”任务，提请市政府研究出台《关于有效应对疫情保障房地产市场平稳发展的实施意见》18条，联合市财政局研究出台《关于有效应对疫情有序推进建筑业复工复产的实施意见》12条，从降低预售许可条件、创新项目销售方式、强化资金保障、降低运营成本、简化招投标方式等各方面激励、支持企业有序复工复产。</w:t>
      </w:r>
    </w:p>
    <w:p w14:paraId="31C35F2D">
      <w:pPr>
        <w:ind w:firstLine="420" w:firstLineChars="200"/>
      </w:pPr>
      <w:r>
        <w:rPr>
          <w:rFonts w:hint="eastAsia"/>
        </w:rPr>
        <w:t>2.城市功能短板加快完善</w:t>
      </w:r>
    </w:p>
    <w:p w14:paraId="3F627775">
      <w:pPr>
        <w:ind w:firstLine="420" w:firstLineChars="200"/>
      </w:pPr>
      <w:r>
        <w:rPr>
          <w:rFonts w:hint="eastAsia"/>
        </w:rPr>
        <w:t>全年1027个城建项目完成投资1224.6亿元，比增7.1%。高铁新城启动区首批18个项目顺利开工，仙游滨海新城、涵江滨海新城、北岸妈祖健康城等城市副中心全面铺开，建成区面积增长6.14平方公里。文献路东拓、滨溪北路、木兰大道一期等跨区域连接线顺利竣工通车，西洪路（文体路-南一街）、肖厝路等断头路顺利打通，迎宾大道品质提升工程全面启动，新改扩建市政道路82.5公里。绶溪公园启动区、环玉湖公园顺利开园，新建公园绿地75.15公顷、口袋公园35个、绿道40.3公里。“两地道三天桥”加快推进，荔华东大道万达段人行天桥已完工投用。</w:t>
      </w:r>
    </w:p>
    <w:p w14:paraId="02EBDF06">
      <w:pPr>
        <w:ind w:firstLine="420" w:firstLineChars="200"/>
      </w:pPr>
      <w:r>
        <w:rPr>
          <w:rFonts w:hint="eastAsia"/>
        </w:rPr>
        <w:t>3.城市居住品质不断提升</w:t>
      </w:r>
    </w:p>
    <w:p w14:paraId="53F3E171">
      <w:pPr>
        <w:ind w:firstLine="420" w:firstLineChars="200"/>
      </w:pPr>
      <w:r>
        <w:rPr>
          <w:rFonts w:hint="eastAsia"/>
        </w:rPr>
        <w:t>棚改固化开工15个项目7869套，开工率107.85%、排名全省第一，新增基本建成9304套，基本建成任务完成率127.71%，作为全省为数不多的3个设区市成功入选2019年棚改正向支持激励对象。更新征迁“双百”行动引领城市功能品质依托，完成签约19782户约808.6万平方米、整体签约率85%，拆除658.6万平方米、整体拆除率72%，征迁量为历年之最，4个项目入选全省和谐项目，特别是城厢区沟头、龙德井及绶溪公园片区项目从启动到完成签约均仅耗时1个月时间左右，创造了城市更新的“莆田速度”。在“双百”行动的带动下，全市列入2021年棚改固化清单39个项目25044套，总建筑面积504万平方米，任务套数占比全省总量约36%，排名全省第一。</w:t>
      </w:r>
    </w:p>
    <w:p w14:paraId="7D2666E8">
      <w:pPr>
        <w:ind w:firstLine="420" w:firstLineChars="200"/>
      </w:pPr>
      <w:r>
        <w:rPr>
          <w:rFonts w:hint="eastAsia"/>
        </w:rPr>
        <w:t>4.房地产市场持续平稳健康</w:t>
      </w:r>
    </w:p>
    <w:p w14:paraId="14064641">
      <w:pPr>
        <w:ind w:firstLine="420" w:firstLineChars="200"/>
      </w:pPr>
      <w:r>
        <w:rPr>
          <w:rFonts w:hint="eastAsia"/>
        </w:rPr>
        <w:t>坚持“房住不炒”定位，严格执行片区房价地价“双限”措施，持续实施综合精准调控，全年共设置拟出让地块商品住房(毛坯)最高销售均价31宗，其中19宗维持2019年水平，6宗涨幅不超过5%；全市商品住房销售均价（不含安置型商品房）10286元/㎡，与去年基本持平，总体保持平稳。全年完成房地产投资395.41亿元，比降4.0%；完成销售426.37万㎡，比降3.1%，增幅均排名全省第七。</w:t>
      </w:r>
    </w:p>
    <w:p w14:paraId="0242B91B">
      <w:pPr>
        <w:ind w:firstLine="420" w:firstLineChars="200"/>
      </w:pPr>
      <w:r>
        <w:rPr>
          <w:rFonts w:hint="eastAsia"/>
        </w:rPr>
        <w:t>5.建筑行业加速转型</w:t>
      </w:r>
    </w:p>
    <w:p w14:paraId="1292182D">
      <w:pPr>
        <w:ind w:firstLine="420" w:firstLineChars="200"/>
      </w:pPr>
      <w:r>
        <w:rPr>
          <w:rFonts w:hint="eastAsia"/>
        </w:rPr>
        <w:t>全年建筑业完成总产值780.74亿元，比降2.9%。其中省外产值422.87亿元，比增37.8%。加大政策扶持力度，制定出台市级“百千”增产增效行动和“白名单”制度，目前全市共有省级“百千”增产增效重点企业13家，市级“百千”增产增效重点企业和“白名单”企业各50家；实施促进建筑业发展壮大实施意见，新升级7家企业（其中2家总承包一级企业、5家专业承包企业）。</w:t>
      </w:r>
    </w:p>
    <w:p w14:paraId="25AEF04D">
      <w:pPr>
        <w:ind w:firstLine="420" w:firstLineChars="200"/>
      </w:pPr>
      <w:r>
        <w:rPr>
          <w:rFonts w:hint="eastAsia"/>
        </w:rPr>
        <w:t>6.农村人居环境明显改善</w:t>
      </w:r>
    </w:p>
    <w:p w14:paraId="79A45A6D">
      <w:pPr>
        <w:ind w:firstLine="420" w:firstLineChars="200"/>
      </w:pPr>
      <w:r>
        <w:rPr>
          <w:rFonts w:hint="eastAsia"/>
        </w:rPr>
        <w:t>积极推进福厦铁路沿线站内外及红线内外绿化美化及沿线存量裸房整治、垃圾清理整治提升和黄石镇七境段特色亮点打造，同步开展向莆铁路沿线整治，完成房屋立面整治37439㎡、拆除乱建乱搭48380㎡、完成绿化美化276570㎡、完成垃圾堆放点整治154个、畜禽渔业养殖场治理17个，铁路沿线综合整治全面完成。始终脱贫攻坚作为第一民生工程和头等大事，年内完成120户省级农村贫困户危房改造，提升561户建档立卡贫困户居住质量，全市8877户建档立卡贫困户均已实现住房安全有保障。统筹推进村容村貌整治、既有农房整治工作，累计完成129个村庄村容村貌整治提升、10347户农房整治。</w:t>
      </w:r>
    </w:p>
    <w:p w14:paraId="679C3ECA">
      <w:pPr>
        <w:ind w:firstLine="420" w:firstLineChars="200"/>
      </w:pPr>
      <w:r>
        <w:rPr>
          <w:rFonts w:hint="eastAsia"/>
        </w:rPr>
        <w:t>7.营商环境持续优化</w:t>
      </w:r>
    </w:p>
    <w:p w14:paraId="6D2B2AF6">
      <w:pPr>
        <w:ind w:firstLine="420" w:firstLineChars="200"/>
      </w:pPr>
      <w:r>
        <w:rPr>
          <w:rFonts w:hint="eastAsia"/>
        </w:rPr>
        <w:t>进一步精简优化住建领域行政审批，取消2项审批事项，精简审批环节5个，压缩审批用时20天，减少申请材料17份，3项审批事项调整为内部管理事项。推动行政审批向“轻审批、重监管”转变，在全市率先推出房地产企业开发二级资质和城建档案验收2个事项告知承诺制。深化工程建设项目审批制度改革，大力推行项目审批服务“帮帮团”等利企便民制度，在省内率先调整施工许可证核发为即办件，实现施工许可“即来即办，当日办结”，今年已完成施工并联审批418件、联合图审438件、联合验收50件。大力推行“自己‘批’网上办”审批服务新模式，住建领域47项审批事项全部实现全程网办、累计办件量34000余件，占全市办件量近75%。</w:t>
      </w:r>
    </w:p>
    <w:p w14:paraId="7B15BFC9">
      <w:pPr>
        <w:ind w:firstLine="420" w:firstLineChars="200"/>
      </w:pPr>
      <w:bookmarkStart w:id="576" w:name="_Toc19175"/>
      <w:r>
        <w:rPr>
          <w:rFonts w:hint="eastAsia"/>
        </w:rPr>
        <w:t>（二）存在问题</w:t>
      </w:r>
      <w:bookmarkEnd w:id="576"/>
    </w:p>
    <w:p w14:paraId="0D83F4A9">
      <w:pPr>
        <w:ind w:firstLine="420" w:firstLineChars="200"/>
      </w:pPr>
      <w:bookmarkStart w:id="577" w:name="_Toc8094"/>
      <w:r>
        <w:rPr>
          <w:rFonts w:hint="eastAsia"/>
        </w:rPr>
        <w:t>1.部门预算编制及执行工作有待优化</w:t>
      </w:r>
    </w:p>
    <w:p w14:paraId="31B940C0">
      <w:pPr>
        <w:ind w:firstLine="420" w:firstLineChars="200"/>
      </w:pPr>
      <w:r>
        <w:rPr>
          <w:rFonts w:hint="eastAsia"/>
        </w:rPr>
        <w:t>莆田市住房和城乡建设局2020年全年年收入75843.13万元，全年支出71233.01万元，预算执行率93.92%。</w:t>
      </w:r>
    </w:p>
    <w:p w14:paraId="22014F1C">
      <w:pPr>
        <w:ind w:firstLine="420" w:firstLineChars="200"/>
      </w:pPr>
      <w:r>
        <w:rPr>
          <w:rFonts w:hint="eastAsia"/>
        </w:rPr>
        <w:t>2.结转结余变动率较高</w:t>
      </w:r>
    </w:p>
    <w:p w14:paraId="2D767A31">
      <w:pPr>
        <w:ind w:firstLine="420" w:firstLineChars="200"/>
      </w:pPr>
      <w:r>
        <w:rPr>
          <w:rFonts w:hint="eastAsia"/>
        </w:rPr>
        <w:t>根据莆田市住房和城乡建设局</w:t>
      </w:r>
      <w:r>
        <w:t>决算报表数据</w:t>
      </w:r>
      <w:r>
        <w:rPr>
          <w:rFonts w:hint="eastAsia"/>
        </w:rPr>
        <w:t>，2020年年初结转结余66.9万元，年末结转结余4677.02万元，结转结余控制率68.9%。</w:t>
      </w:r>
    </w:p>
    <w:p w14:paraId="4AD3E270">
      <w:pPr>
        <w:ind w:firstLine="420" w:firstLineChars="200"/>
      </w:pPr>
      <w:r>
        <w:rPr>
          <w:rFonts w:hint="eastAsia"/>
        </w:rPr>
        <w:t>3.政府采购率偏低</w:t>
      </w:r>
    </w:p>
    <w:p w14:paraId="428783C7">
      <w:pPr>
        <w:ind w:firstLine="420" w:firstLineChars="200"/>
      </w:pPr>
      <w:r>
        <w:rPr>
          <w:rFonts w:hint="eastAsia"/>
        </w:rPr>
        <w:t>根据莆田市住房和城乡建设局提供的2020年度决算数据，实际政府采购金额1525.83万元，政府采购预算数1631.31万元，政府采购执行率93.5%。</w:t>
      </w:r>
    </w:p>
    <w:p w14:paraId="270E2736">
      <w:pPr>
        <w:ind w:firstLine="420" w:firstLineChars="200"/>
      </w:pPr>
      <w:r>
        <w:rPr>
          <w:rFonts w:hint="eastAsia"/>
        </w:rPr>
        <w:t>4.项目质量达标率偏低</w:t>
      </w:r>
    </w:p>
    <w:p w14:paraId="0385B867">
      <w:pPr>
        <w:ind w:firstLine="420" w:firstLineChars="200"/>
      </w:pPr>
      <w:r>
        <w:rPr>
          <w:rFonts w:hint="eastAsia"/>
        </w:rPr>
        <w:t>根据莆田市住房和城乡建设局各项目绩效自评表的评价等级统计，计划项目数27个，自评结果为优良的项目数20个，项目完成质量达标率74%。</w:t>
      </w:r>
    </w:p>
    <w:p w14:paraId="38AFDFD2">
      <w:pPr>
        <w:ind w:firstLine="420" w:firstLineChars="200"/>
      </w:pPr>
      <w:r>
        <w:rPr>
          <w:rFonts w:hint="eastAsia"/>
        </w:rPr>
        <w:t>（三）相关建议</w:t>
      </w:r>
      <w:bookmarkEnd w:id="577"/>
    </w:p>
    <w:p w14:paraId="65C7ACC5">
      <w:pPr>
        <w:ind w:firstLine="420" w:firstLineChars="200"/>
      </w:pPr>
      <w:r>
        <w:rPr>
          <w:rFonts w:hint="eastAsia"/>
        </w:rPr>
        <w:t>1.加强领导，进一步规范部门预算编制</w:t>
      </w:r>
    </w:p>
    <w:p w14:paraId="50B0F77F">
      <w:pPr>
        <w:ind w:firstLine="420" w:firstLineChars="200"/>
      </w:pPr>
      <w:r>
        <w:rPr>
          <w:rFonts w:hint="eastAsia"/>
        </w:rPr>
        <w:t>转变思想观念，高度重视并加强部门预算工作的组织领导。坚持用制度来规范预算管理的各个环节，将预算编制工作进一步细化纳入预算管理办法。树立预算编制的全员参与意识，成立部门预算草案编制审核小组，明确职责分工，将项目立项、预算编报及审核责任明确到人。</w:t>
      </w:r>
    </w:p>
    <w:p w14:paraId="69E45DFA">
      <w:pPr>
        <w:ind w:firstLine="420" w:firstLineChars="200"/>
      </w:pPr>
      <w:r>
        <w:rPr>
          <w:rFonts w:hint="eastAsia"/>
        </w:rPr>
        <w:t>2.增强内部控制力度，提升项目管理水平</w:t>
      </w:r>
    </w:p>
    <w:p w14:paraId="05856F42">
      <w:pPr>
        <w:ind w:firstLine="420" w:firstLineChars="200"/>
      </w:pPr>
      <w:r>
        <w:rPr>
          <w:rFonts w:hint="eastAsia"/>
        </w:rPr>
        <w:t>一是要建立健全系统、规范的全过程项目管理制度体系，做到立项公开透明、资金分配规范、使用范围明晰、管理监督严格、职责权能统一，形成“制度管人、管钱、管事”的工作格局。二是要配足配强项目管理专兼职人员，加强对项目管理人员综合素质的培养。三是严格按照内控制度进行管理，严控成本，加强对资金使用的指导和督促，确保资金使用的效益和安全。</w:t>
      </w:r>
    </w:p>
    <w:p w14:paraId="77C7D182">
      <w:pPr>
        <w:ind w:firstLine="420" w:firstLineChars="200"/>
      </w:pPr>
      <w:r>
        <w:rPr>
          <w:rFonts w:hint="eastAsia"/>
        </w:rPr>
        <w:t>3.政府采购率偏低</w:t>
      </w:r>
    </w:p>
    <w:p w14:paraId="429FA1ED">
      <w:pPr>
        <w:ind w:firstLine="420" w:firstLineChars="200"/>
      </w:pPr>
      <w:r>
        <w:rPr>
          <w:rFonts w:hint="eastAsia"/>
        </w:rPr>
        <w:t>严格贯彻落实政府采购相关文件，充分认识政府采购工作的重要性和面临的新形势新要求，牢固树立程序与结果并重的政府采购管理理念，加大政府采购公开力度，更加注重采购活动的规范透明、权责统一和提质增效，切实增强担当意识、责任意识和使命意识，推进政府采购工作全面健康发展。</w:t>
      </w:r>
    </w:p>
    <w:p w14:paraId="22049206">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60ECA4F">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F07DB31">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EB3DCB7">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F8F0FDE">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09A4F1E">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691277F5">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3F9CD6E4">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45EBF296">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70ED2A27">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9FFCAF0">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C36EE24">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09FD676">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7C22D0F4">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3F170174">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731993F4">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0B1D362">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6C057BDC">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97E7FC5">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6EB08A8A">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0CC8A467">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05C359D3">
      <w:pPr>
        <w:pStyle w:val="2"/>
        <w:jc w:val="center"/>
      </w:pPr>
      <w:bookmarkStart w:id="578" w:name="_Toc18119"/>
      <w:r>
        <w:rPr>
          <w:rFonts w:hint="eastAsia"/>
        </w:rPr>
        <w:t>职业教育专项补助资金绩效评价报告</w:t>
      </w:r>
      <w:bookmarkEnd w:id="578"/>
    </w:p>
    <w:p w14:paraId="047FDC22">
      <w:pPr>
        <w:ind w:firstLine="420" w:firstLineChars="200"/>
      </w:pPr>
      <w:r>
        <w:rPr>
          <w:rFonts w:hint="eastAsia"/>
        </w:rPr>
        <w:t>莆田学院财政绩效管理研究中心接受莆田市财政局委托，依据《中华人民共和国预算法》、中共莆田市委、市政府印发的《关于全面实施预算绩效管理的实施意见》（莆委发[2019]2号）和《莆田市市级财政预算绩效评价管理暂行办法》（莆财绩[2019]11号）的要求，对职业教育专项补助资金进行绩效评价。通过实地调研、收集、整理、汇总和分析相关绩效评价资料，对照评价指标和标准进行评价，编写职业教育专项补助资金绩效评价报告。</w:t>
      </w:r>
    </w:p>
    <w:p w14:paraId="1DADEAA6">
      <w:pPr>
        <w:ind w:firstLine="420" w:firstLineChars="200"/>
        <w:outlineLvl w:val="0"/>
      </w:pPr>
      <w:bookmarkStart w:id="579" w:name="_Toc6246"/>
      <w:bookmarkStart w:id="580" w:name="_Toc20346"/>
      <w:r>
        <w:rPr>
          <w:rFonts w:hint="eastAsia"/>
        </w:rPr>
        <w:t>一、</w:t>
      </w:r>
      <w:r>
        <w:t>基本情况</w:t>
      </w:r>
      <w:bookmarkEnd w:id="579"/>
      <w:bookmarkEnd w:id="580"/>
    </w:p>
    <w:p w14:paraId="08964C34">
      <w:pPr>
        <w:ind w:firstLine="420" w:firstLineChars="200"/>
      </w:pPr>
      <w:bookmarkStart w:id="581" w:name="_Toc24497"/>
      <w:r>
        <w:rPr>
          <w:rFonts w:hint="eastAsia"/>
        </w:rPr>
        <w:t>（一）基本情况</w:t>
      </w:r>
      <w:bookmarkEnd w:id="581"/>
    </w:p>
    <w:p w14:paraId="1D3BCBFD">
      <w:pPr>
        <w:ind w:firstLine="420" w:firstLineChars="200"/>
      </w:pPr>
      <w:r>
        <w:rPr>
          <w:rFonts w:hint="eastAsia"/>
        </w:rPr>
        <w:t>为贯彻落实《国务院印发关于加快发展现代职业教育的决定》（国发[2014]19号）和《福建省人民政府关于加快发展现代职业教育的若干意见》（闽政[2015]46号）的要求，莆田市政府于2016年2月制定了《莆田市人民政府关于加快发展现代职业教育的实施意见》（莆政综[2016]15号）文件，主要目标：从2016年起到2020年，紧紧围绕“336”工程和行动计划，加快产业转型升级对人才的需求，形成与莆田市发展格局和水平相适应、产教深度融合、中等职业教育与高等职业教育有机衔接、职业教育与普通教育相互融通，学校、企业、社会多元办学，体现终身教育理念，构建具有莆田特色的现代职业教育体系。</w:t>
      </w:r>
    </w:p>
    <w:p w14:paraId="77D6B81F">
      <w:pPr>
        <w:ind w:firstLine="420" w:firstLineChars="200"/>
      </w:pPr>
      <w:r>
        <w:rPr>
          <w:rFonts w:hint="eastAsia"/>
        </w:rPr>
        <w:t>2020年，莆田市按照城市错位发展、差异化发展的思路，把大力发展职业教育摆在“强产业、兴城市”的大格局中谋划，6月份成立发展职教工作领导小组，由市委、市政府主要领导任组长，市委组织部主要领导任常务副组长，市政府分管领导任副组长，形成了坚强有力的组织领导体系，集中全市力量和资源大力发展职业教育。同时，出台《关于大力发展职业教育培养集聚实用型技术技能人才加快构筑创新创业创造高地的实施意见》（莆委发[2020]5号）、《莆田市人民政府关于鼓励和促进社会多元举办职业教育实现优质发展的通知（试行）》（莆政综[2020]59号）、《莆田市人民政府关于加快职业教育改革发展的若干意见》（莆政综[2020]73号）等文件，列出14个重点任务、56项具体举措，明确系列重点任务清单，架起“1+N”职业教育体系的“四梁八柱”，打通职业教育、就业创业、人才资源等“三大关卡”，破解人口红利、人力资源、人才引进等“三难”问题，提升职业教育的市场适应性、社会吸引力和经济贡献率，争取打造全省一流水平、具有莆田特色的新时代职业教育体系。</w:t>
      </w:r>
    </w:p>
    <w:p w14:paraId="51549FE5">
      <w:pPr>
        <w:ind w:firstLine="420" w:firstLineChars="200"/>
      </w:pPr>
      <w:bookmarkStart w:id="582" w:name="_Toc3994"/>
      <w:r>
        <w:rPr>
          <w:rFonts w:hint="eastAsia"/>
        </w:rPr>
        <w:t>（二）立项依据和主要内容</w:t>
      </w:r>
      <w:bookmarkEnd w:id="582"/>
    </w:p>
    <w:p w14:paraId="675E69A1">
      <w:pPr>
        <w:ind w:firstLine="420" w:firstLineChars="200"/>
      </w:pPr>
      <w:r>
        <w:rPr>
          <w:rFonts w:hint="eastAsia"/>
        </w:rPr>
        <w:t>1.立项依据</w:t>
      </w:r>
    </w:p>
    <w:p w14:paraId="74BD2223">
      <w:pPr>
        <w:ind w:firstLine="420" w:firstLineChars="200"/>
      </w:pPr>
      <w:r>
        <w:rPr>
          <w:rFonts w:hint="eastAsia"/>
        </w:rPr>
        <w:t>为贯彻落实《国务院印发关于加快发展现代职业教育的决定》（国发[2014]19号）和《福建省人民政府关于加快发展现代职业教育的若干意见》（闽政[2015]46号）要求，结合莆田市产业实际和职业教育发展现状，莆田市人民政府印发《莆田市人民政府关于加快发展现代职业教育的实施意见》（莆政综[2016]15号）、《莆田市人民政府办公室关于印发加快发展现代职业教育实施细则的通知》（莆政办[2016]112号）和莆田市人民政府专题会议纪要《关于研究教育工作有关问题的纪要》（[2019]23号和[2019]106号）规定，从2016年起市级财政每年安排500万元职业教育专项经费，用于支持规范化和示范性中等职业学校建设、实训基地建设、专业建设、信息化建设、课程改革、启动学生拔尖人才培养计划等。</w:t>
      </w:r>
    </w:p>
    <w:p w14:paraId="73B23EA3">
      <w:pPr>
        <w:ind w:firstLine="420" w:firstLineChars="200"/>
      </w:pPr>
      <w:r>
        <w:rPr>
          <w:rFonts w:hint="eastAsia"/>
        </w:rPr>
        <w:t>2.主要内容</w:t>
      </w:r>
    </w:p>
    <w:p w14:paraId="37A9BA09">
      <w:pPr>
        <w:ind w:firstLine="420" w:firstLineChars="200"/>
      </w:pPr>
      <w:r>
        <w:rPr>
          <w:rFonts w:hint="eastAsia"/>
        </w:rPr>
        <w:t>2018年，职业教育专项补助资金项目预算共下达520万元。包括：（1）新校区迁建经费400万元：湄洲湾职业技术学院300万元，莆田职业技术学校100万元；（2）湄洲湾职业技术学校中职教师培训经费10万元；（3）2017年技能大赛奖金39.4万元；（4）2018年技能大赛承办单位补助70.60万元。</w:t>
      </w:r>
    </w:p>
    <w:p w14:paraId="10593428">
      <w:pPr>
        <w:ind w:firstLine="420" w:firstLineChars="200"/>
      </w:pPr>
      <w:r>
        <w:rPr>
          <w:rFonts w:hint="eastAsia"/>
        </w:rPr>
        <w:t>2019年，职业教育专项补助资金项目预算共下达530万元。包括：（1）新校区迁建经费400万元：湄洲湾职业技术学院300万元，莆田职业技术学校100万元；（2）湄洲湾职业技术学校中职教师培训经费10万元；（3）2018年技能大赛奖金41.1万元；（4）2019年技能大赛及职教宣传经费78.9万元。</w:t>
      </w:r>
    </w:p>
    <w:p w14:paraId="1E6E6C43">
      <w:pPr>
        <w:ind w:firstLine="420" w:firstLineChars="200"/>
      </w:pPr>
      <w:r>
        <w:rPr>
          <w:rFonts w:hint="eastAsia"/>
        </w:rPr>
        <w:t>2020年，职业教育专项补助资金项目预算共下达540万元。包括：（1）湄洲湾职业技术学校：实训设备及技能大赛经费140万元、中职教师培训经费10万元；（2）莆田职业技术学校：省级示范校建设及PPP项目补助320万元；（3）莆田市职业技术教育中心：2020年技能大赛及职教宣传经费21.80万元；（4）2019年技能大赛奖金48.20万元。</w:t>
      </w:r>
    </w:p>
    <w:p w14:paraId="24CA527D">
      <w:pPr>
        <w:ind w:firstLine="420" w:firstLineChars="200"/>
        <w:outlineLvl w:val="0"/>
      </w:pPr>
      <w:bookmarkStart w:id="583" w:name="_Toc32623"/>
      <w:bookmarkStart w:id="584" w:name="_Toc28526"/>
      <w:r>
        <w:rPr>
          <w:rFonts w:hint="eastAsia"/>
        </w:rPr>
        <w:t>二、</w:t>
      </w:r>
      <w:r>
        <w:t>资金使用情况</w:t>
      </w:r>
      <w:bookmarkEnd w:id="583"/>
      <w:bookmarkEnd w:id="584"/>
    </w:p>
    <w:p w14:paraId="6F7F134B">
      <w:pPr>
        <w:ind w:firstLine="420" w:firstLineChars="200"/>
      </w:pPr>
      <w:bookmarkStart w:id="585" w:name="_Toc15994"/>
      <w:r>
        <w:rPr>
          <w:rFonts w:hint="eastAsia"/>
        </w:rPr>
        <w:t>（一）预算安排情况</w:t>
      </w:r>
      <w:bookmarkEnd w:id="585"/>
    </w:p>
    <w:p w14:paraId="613D39F9">
      <w:pPr>
        <w:ind w:firstLine="420" w:firstLineChars="200"/>
      </w:pPr>
      <w:r>
        <w:rPr>
          <w:rFonts w:hint="eastAsia"/>
        </w:rPr>
        <w:t>2018年，莆田市财政局、教育局印发《关于下达2018年职业教育专项补助经费的通知》（莆财教[2018]94号），莆田市财政局预算安排2018年职业教育专项补助资金520万元，资金实际到位520万元。2019年，莆田市财政局、教育局印发《关于下达2019年职业教育专项补助经费的通知》（莆财教[2019]104号），莆田市财政局预算安排2019年职业教育专项补助资金530万元，资金实际到位530万元。2020年，莆田市财政局、教育局印发《关于下达2020年第一批职业教育专项补助资金的通知》（莆财教[2020]63号）和《关于下达2020年第二批职业教育专项补助资金的通知》（莆财教[2020]90号），莆田市财政局预算安排2020年职业教育专项补助资金540万元，资金实际到位540万元。</w:t>
      </w:r>
    </w:p>
    <w:p w14:paraId="2670C307">
      <w:pPr>
        <w:ind w:firstLine="420" w:firstLineChars="200"/>
      </w:pPr>
      <w:bookmarkStart w:id="586" w:name="_Toc3632"/>
      <w:r>
        <w:rPr>
          <w:rFonts w:hint="eastAsia"/>
        </w:rPr>
        <w:t>（二）实际支出情况</w:t>
      </w:r>
      <w:bookmarkEnd w:id="586"/>
    </w:p>
    <w:p w14:paraId="0AAEA214">
      <w:pPr>
        <w:ind w:firstLine="420" w:firstLineChars="200"/>
      </w:pPr>
      <w:r>
        <w:rPr>
          <w:rFonts w:hint="eastAsia"/>
        </w:rPr>
        <w:t>2018年职业教育专项补助资金520万元，资金实际到位520万元，实际支出金额499.27万元，结余20.73万元，根据莆财教[2019]63号结转职业教育专项补助经费20.73万元，并于2019年全部支付完毕，预算实际执行率为96%。项目期限为2018年1月1日至2018年12月31日。</w:t>
      </w:r>
    </w:p>
    <w:p w14:paraId="3CCB90C6">
      <w:pPr>
        <w:ind w:firstLine="420" w:firstLineChars="200"/>
      </w:pPr>
      <w:r>
        <w:rPr>
          <w:rFonts w:hint="eastAsia"/>
        </w:rPr>
        <w:t xml:space="preserve">表1  2018年职业教育专项补助经费明细表 </w:t>
      </w:r>
    </w:p>
    <w:tbl>
      <w:tblPr>
        <w:tblStyle w:val="17"/>
        <w:tblW w:w="8837" w:type="dxa"/>
        <w:tblInd w:w="91" w:type="dxa"/>
        <w:tblLayout w:type="fixed"/>
        <w:tblCellMar>
          <w:top w:w="0" w:type="dxa"/>
          <w:left w:w="108" w:type="dxa"/>
          <w:bottom w:w="0" w:type="dxa"/>
          <w:right w:w="108" w:type="dxa"/>
        </w:tblCellMar>
      </w:tblPr>
      <w:tblGrid>
        <w:gridCol w:w="2730"/>
        <w:gridCol w:w="945"/>
        <w:gridCol w:w="1132"/>
        <w:gridCol w:w="1268"/>
        <w:gridCol w:w="945"/>
        <w:gridCol w:w="960"/>
        <w:gridCol w:w="857"/>
      </w:tblGrid>
      <w:tr w14:paraId="01EC42DC">
        <w:tblPrEx>
          <w:tblCellMar>
            <w:top w:w="0" w:type="dxa"/>
            <w:left w:w="108" w:type="dxa"/>
            <w:bottom w:w="0" w:type="dxa"/>
            <w:right w:w="108" w:type="dxa"/>
          </w:tblCellMar>
        </w:tblPrEx>
        <w:trPr>
          <w:trHeight w:val="217" w:hRule="atLeast"/>
        </w:trPr>
        <w:tc>
          <w:tcPr>
            <w:tcW w:w="2730" w:type="dxa"/>
            <w:vMerge w:val="restart"/>
            <w:tcBorders>
              <w:top w:val="single" w:color="000000" w:sz="4" w:space="0"/>
              <w:left w:val="single" w:color="000000" w:sz="4" w:space="0"/>
              <w:bottom w:val="single" w:color="000000" w:sz="4" w:space="0"/>
              <w:right w:val="single" w:color="000000" w:sz="4" w:space="0"/>
            </w:tcBorders>
            <w:vAlign w:val="center"/>
          </w:tcPr>
          <w:p w14:paraId="091762D2">
            <w:r>
              <w:rPr>
                <w:rFonts w:hint="eastAsia"/>
              </w:rPr>
              <w:t>学校名称</w:t>
            </w: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25168CB6">
            <w:r>
              <w:rPr>
                <w:rFonts w:hint="eastAsia"/>
              </w:rPr>
              <w:t>预算下达数</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6FAD77BC">
            <w:r>
              <w:rPr>
                <w:rFonts w:hint="eastAsia"/>
              </w:rPr>
              <w:t>资金到位金额</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4B9E321E">
            <w:r>
              <w:rPr>
                <w:rFonts w:hint="eastAsia"/>
              </w:rPr>
              <w:t>实际支出数</w:t>
            </w:r>
          </w:p>
        </w:tc>
        <w:tc>
          <w:tcPr>
            <w:tcW w:w="857" w:type="dxa"/>
            <w:vMerge w:val="restart"/>
            <w:tcBorders>
              <w:top w:val="single" w:color="000000" w:sz="4" w:space="0"/>
              <w:left w:val="single" w:color="000000" w:sz="4" w:space="0"/>
              <w:right w:val="single" w:color="000000" w:sz="4" w:space="0"/>
            </w:tcBorders>
            <w:vAlign w:val="center"/>
          </w:tcPr>
          <w:p w14:paraId="051BE81D">
            <w:r>
              <w:rPr>
                <w:rFonts w:hint="eastAsia"/>
              </w:rPr>
              <w:t>结余</w:t>
            </w:r>
          </w:p>
        </w:tc>
      </w:tr>
      <w:tr w14:paraId="3356D83F">
        <w:tblPrEx>
          <w:tblCellMar>
            <w:top w:w="0" w:type="dxa"/>
            <w:left w:w="108" w:type="dxa"/>
            <w:bottom w:w="0" w:type="dxa"/>
            <w:right w:w="108" w:type="dxa"/>
          </w:tblCellMar>
        </w:tblPrEx>
        <w:trPr>
          <w:trHeight w:val="450"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14:paraId="549AD7C4"/>
        </w:tc>
        <w:tc>
          <w:tcPr>
            <w:tcW w:w="945" w:type="dxa"/>
            <w:tcBorders>
              <w:top w:val="single" w:color="000000" w:sz="4" w:space="0"/>
              <w:left w:val="single" w:color="000000" w:sz="4" w:space="0"/>
              <w:bottom w:val="single" w:color="000000" w:sz="4" w:space="0"/>
              <w:right w:val="single" w:color="000000" w:sz="4" w:space="0"/>
            </w:tcBorders>
            <w:vAlign w:val="center"/>
          </w:tcPr>
          <w:p w14:paraId="77FEC434">
            <w:r>
              <w:rPr>
                <w:rFonts w:hint="eastAsia"/>
              </w:rPr>
              <w:t>小计</w:t>
            </w:r>
          </w:p>
        </w:tc>
        <w:tc>
          <w:tcPr>
            <w:tcW w:w="1132" w:type="dxa"/>
            <w:tcBorders>
              <w:top w:val="single" w:color="000000" w:sz="4" w:space="0"/>
              <w:left w:val="single" w:color="000000" w:sz="4" w:space="0"/>
              <w:bottom w:val="single" w:color="000000" w:sz="4" w:space="0"/>
              <w:right w:val="single" w:color="000000" w:sz="4" w:space="0"/>
            </w:tcBorders>
            <w:vAlign w:val="center"/>
          </w:tcPr>
          <w:p w14:paraId="454F466C">
            <w:r>
              <w:rPr>
                <w:rFonts w:hint="eastAsia"/>
              </w:rPr>
              <w:t>新校区迁建经费</w:t>
            </w:r>
          </w:p>
        </w:tc>
        <w:tc>
          <w:tcPr>
            <w:tcW w:w="1268" w:type="dxa"/>
            <w:tcBorders>
              <w:top w:val="single" w:color="000000" w:sz="4" w:space="0"/>
              <w:left w:val="single" w:color="000000" w:sz="4" w:space="0"/>
              <w:bottom w:val="single" w:color="000000" w:sz="4" w:space="0"/>
              <w:right w:val="single" w:color="000000" w:sz="4" w:space="0"/>
            </w:tcBorders>
            <w:vAlign w:val="center"/>
          </w:tcPr>
          <w:p w14:paraId="0E9C22D1">
            <w:r>
              <w:rPr>
                <w:rFonts w:hint="eastAsia"/>
              </w:rPr>
              <w:t>2017年技能大赛奖金</w:t>
            </w: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28D93B3C"/>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2C92E532"/>
        </w:tc>
        <w:tc>
          <w:tcPr>
            <w:tcW w:w="857" w:type="dxa"/>
            <w:vMerge w:val="continue"/>
            <w:tcBorders>
              <w:left w:val="single" w:color="000000" w:sz="4" w:space="0"/>
              <w:bottom w:val="single" w:color="000000" w:sz="4" w:space="0"/>
              <w:right w:val="single" w:color="000000" w:sz="4" w:space="0"/>
            </w:tcBorders>
            <w:vAlign w:val="center"/>
          </w:tcPr>
          <w:p w14:paraId="1CCE3FD6"/>
        </w:tc>
      </w:tr>
      <w:tr w14:paraId="5F376A15">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vAlign w:val="center"/>
          </w:tcPr>
          <w:p w14:paraId="39AA3449">
            <w:r>
              <w:rPr>
                <w:rFonts w:hint="eastAsia"/>
              </w:rPr>
              <w:t>湄洲湾职业技术学院</w:t>
            </w:r>
          </w:p>
        </w:tc>
        <w:tc>
          <w:tcPr>
            <w:tcW w:w="945" w:type="dxa"/>
            <w:tcBorders>
              <w:top w:val="single" w:color="000000" w:sz="4" w:space="0"/>
              <w:left w:val="single" w:color="000000" w:sz="4" w:space="0"/>
              <w:bottom w:val="single" w:color="000000" w:sz="4" w:space="0"/>
              <w:right w:val="single" w:color="000000" w:sz="4" w:space="0"/>
            </w:tcBorders>
            <w:vAlign w:val="center"/>
          </w:tcPr>
          <w:p w14:paraId="16DF6C35">
            <w:r>
              <w:rPr>
                <w:rFonts w:hint="eastAsia"/>
              </w:rPr>
              <w:t>300</w:t>
            </w:r>
          </w:p>
        </w:tc>
        <w:tc>
          <w:tcPr>
            <w:tcW w:w="1132" w:type="dxa"/>
            <w:tcBorders>
              <w:top w:val="single" w:color="000000" w:sz="4" w:space="0"/>
              <w:left w:val="single" w:color="000000" w:sz="4" w:space="0"/>
              <w:bottom w:val="single" w:color="000000" w:sz="4" w:space="0"/>
              <w:right w:val="single" w:color="000000" w:sz="4" w:space="0"/>
            </w:tcBorders>
            <w:vAlign w:val="center"/>
          </w:tcPr>
          <w:p w14:paraId="389E6B23">
            <w:r>
              <w:rPr>
                <w:rFonts w:hint="eastAsia"/>
              </w:rPr>
              <w:t>300</w:t>
            </w:r>
          </w:p>
        </w:tc>
        <w:tc>
          <w:tcPr>
            <w:tcW w:w="1268" w:type="dxa"/>
            <w:tcBorders>
              <w:top w:val="single" w:color="000000" w:sz="4" w:space="0"/>
              <w:left w:val="single" w:color="000000" w:sz="4" w:space="0"/>
              <w:bottom w:val="single" w:color="000000" w:sz="4" w:space="0"/>
              <w:right w:val="single" w:color="000000" w:sz="4" w:space="0"/>
            </w:tcBorders>
            <w:vAlign w:val="center"/>
          </w:tcPr>
          <w:p w14:paraId="7E7FEBDF"/>
        </w:tc>
        <w:tc>
          <w:tcPr>
            <w:tcW w:w="945" w:type="dxa"/>
            <w:tcBorders>
              <w:top w:val="single" w:color="000000" w:sz="4" w:space="0"/>
              <w:left w:val="single" w:color="000000" w:sz="4" w:space="0"/>
              <w:bottom w:val="single" w:color="000000" w:sz="4" w:space="0"/>
              <w:right w:val="single" w:color="000000" w:sz="4" w:space="0"/>
            </w:tcBorders>
            <w:vAlign w:val="center"/>
          </w:tcPr>
          <w:p w14:paraId="2701530F">
            <w:r>
              <w:rPr>
                <w:rFonts w:hint="eastAsia"/>
              </w:rPr>
              <w:t>300</w:t>
            </w:r>
          </w:p>
        </w:tc>
        <w:tc>
          <w:tcPr>
            <w:tcW w:w="960" w:type="dxa"/>
            <w:tcBorders>
              <w:top w:val="single" w:color="000000" w:sz="4" w:space="0"/>
              <w:left w:val="single" w:color="000000" w:sz="4" w:space="0"/>
              <w:bottom w:val="single" w:color="000000" w:sz="4" w:space="0"/>
              <w:right w:val="single" w:color="000000" w:sz="4" w:space="0"/>
            </w:tcBorders>
            <w:vAlign w:val="center"/>
          </w:tcPr>
          <w:p w14:paraId="5C90611F">
            <w:r>
              <w:rPr>
                <w:rFonts w:hint="eastAsia"/>
              </w:rPr>
              <w:t>300</w:t>
            </w:r>
          </w:p>
        </w:tc>
        <w:tc>
          <w:tcPr>
            <w:tcW w:w="857" w:type="dxa"/>
            <w:tcBorders>
              <w:top w:val="single" w:color="000000" w:sz="4" w:space="0"/>
              <w:left w:val="single" w:color="000000" w:sz="4" w:space="0"/>
              <w:bottom w:val="single" w:color="000000" w:sz="4" w:space="0"/>
              <w:right w:val="single" w:color="000000" w:sz="4" w:space="0"/>
            </w:tcBorders>
            <w:vAlign w:val="center"/>
          </w:tcPr>
          <w:p w14:paraId="6362855E"/>
        </w:tc>
      </w:tr>
      <w:tr w14:paraId="2B0B1BF2">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vAlign w:val="center"/>
          </w:tcPr>
          <w:p w14:paraId="062BD3FB">
            <w:r>
              <w:rPr>
                <w:rFonts w:hint="eastAsia"/>
              </w:rPr>
              <w:t>湄洲湾职业技术学校</w:t>
            </w:r>
          </w:p>
        </w:tc>
        <w:tc>
          <w:tcPr>
            <w:tcW w:w="945" w:type="dxa"/>
            <w:tcBorders>
              <w:top w:val="single" w:color="000000" w:sz="4" w:space="0"/>
              <w:left w:val="single" w:color="000000" w:sz="4" w:space="0"/>
              <w:bottom w:val="single" w:color="000000" w:sz="4" w:space="0"/>
              <w:right w:val="single" w:color="000000" w:sz="4" w:space="0"/>
            </w:tcBorders>
            <w:vAlign w:val="center"/>
          </w:tcPr>
          <w:p w14:paraId="0737F277">
            <w:r>
              <w:rPr>
                <w:rFonts w:hint="eastAsia"/>
              </w:rPr>
              <w:t>88.7</w:t>
            </w:r>
          </w:p>
        </w:tc>
        <w:tc>
          <w:tcPr>
            <w:tcW w:w="1132" w:type="dxa"/>
            <w:tcBorders>
              <w:top w:val="single" w:color="000000" w:sz="4" w:space="0"/>
              <w:left w:val="single" w:color="000000" w:sz="4" w:space="0"/>
              <w:bottom w:val="single" w:color="000000" w:sz="4" w:space="0"/>
              <w:right w:val="single" w:color="000000" w:sz="4" w:space="0"/>
            </w:tcBorders>
            <w:vAlign w:val="center"/>
          </w:tcPr>
          <w:p w14:paraId="1B386025"/>
        </w:tc>
        <w:tc>
          <w:tcPr>
            <w:tcW w:w="1268" w:type="dxa"/>
            <w:tcBorders>
              <w:top w:val="single" w:color="000000" w:sz="4" w:space="0"/>
              <w:left w:val="single" w:color="000000" w:sz="4" w:space="0"/>
              <w:bottom w:val="single" w:color="000000" w:sz="4" w:space="0"/>
              <w:right w:val="single" w:color="000000" w:sz="4" w:space="0"/>
            </w:tcBorders>
            <w:vAlign w:val="center"/>
          </w:tcPr>
          <w:p w14:paraId="259D1EE6">
            <w:r>
              <w:rPr>
                <w:rFonts w:hint="eastAsia"/>
              </w:rPr>
              <w:t>23.7</w:t>
            </w:r>
          </w:p>
        </w:tc>
        <w:tc>
          <w:tcPr>
            <w:tcW w:w="945" w:type="dxa"/>
            <w:tcBorders>
              <w:top w:val="single" w:color="000000" w:sz="4" w:space="0"/>
              <w:left w:val="single" w:color="000000" w:sz="4" w:space="0"/>
              <w:bottom w:val="single" w:color="000000" w:sz="4" w:space="0"/>
              <w:right w:val="single" w:color="000000" w:sz="4" w:space="0"/>
            </w:tcBorders>
            <w:vAlign w:val="center"/>
          </w:tcPr>
          <w:p w14:paraId="7F23E623">
            <w:r>
              <w:rPr>
                <w:rFonts w:hint="eastAsia"/>
              </w:rPr>
              <w:t>88.7</w:t>
            </w:r>
          </w:p>
        </w:tc>
        <w:tc>
          <w:tcPr>
            <w:tcW w:w="960" w:type="dxa"/>
            <w:tcBorders>
              <w:top w:val="single" w:color="000000" w:sz="4" w:space="0"/>
              <w:left w:val="single" w:color="000000" w:sz="4" w:space="0"/>
              <w:bottom w:val="single" w:color="000000" w:sz="4" w:space="0"/>
              <w:right w:val="single" w:color="000000" w:sz="4" w:space="0"/>
            </w:tcBorders>
            <w:vAlign w:val="center"/>
          </w:tcPr>
          <w:p w14:paraId="03ECB8C4">
            <w:r>
              <w:rPr>
                <w:rFonts w:hint="eastAsia"/>
              </w:rPr>
              <w:t>67.97</w:t>
            </w:r>
          </w:p>
        </w:tc>
        <w:tc>
          <w:tcPr>
            <w:tcW w:w="857" w:type="dxa"/>
            <w:tcBorders>
              <w:top w:val="single" w:color="000000" w:sz="4" w:space="0"/>
              <w:left w:val="single" w:color="000000" w:sz="4" w:space="0"/>
              <w:bottom w:val="single" w:color="000000" w:sz="4" w:space="0"/>
              <w:right w:val="single" w:color="000000" w:sz="4" w:space="0"/>
            </w:tcBorders>
            <w:vAlign w:val="center"/>
          </w:tcPr>
          <w:p w14:paraId="077BDB89">
            <w:r>
              <w:rPr>
                <w:rFonts w:hint="eastAsia"/>
              </w:rPr>
              <w:t>20.73</w:t>
            </w:r>
          </w:p>
        </w:tc>
      </w:tr>
      <w:tr w14:paraId="15E0A16D">
        <w:tblPrEx>
          <w:tblCellMar>
            <w:top w:w="0" w:type="dxa"/>
            <w:left w:w="108" w:type="dxa"/>
            <w:bottom w:w="0" w:type="dxa"/>
            <w:right w:w="108" w:type="dxa"/>
          </w:tblCellMar>
        </w:tblPrEx>
        <w:trPr>
          <w:trHeight w:val="398" w:hRule="atLeast"/>
        </w:trPr>
        <w:tc>
          <w:tcPr>
            <w:tcW w:w="2730" w:type="dxa"/>
            <w:tcBorders>
              <w:top w:val="single" w:color="000000" w:sz="4" w:space="0"/>
              <w:left w:val="single" w:color="000000" w:sz="4" w:space="0"/>
              <w:bottom w:val="single" w:color="000000" w:sz="4" w:space="0"/>
              <w:right w:val="single" w:color="000000" w:sz="4" w:space="0"/>
            </w:tcBorders>
            <w:vAlign w:val="center"/>
          </w:tcPr>
          <w:p w14:paraId="3ADE7A70">
            <w:r>
              <w:rPr>
                <w:rFonts w:hint="eastAsia"/>
              </w:rPr>
              <w:t>莆田职业技术学校</w:t>
            </w:r>
          </w:p>
        </w:tc>
        <w:tc>
          <w:tcPr>
            <w:tcW w:w="945" w:type="dxa"/>
            <w:tcBorders>
              <w:top w:val="single" w:color="000000" w:sz="4" w:space="0"/>
              <w:left w:val="single" w:color="000000" w:sz="4" w:space="0"/>
              <w:bottom w:val="single" w:color="000000" w:sz="4" w:space="0"/>
              <w:right w:val="single" w:color="000000" w:sz="4" w:space="0"/>
            </w:tcBorders>
            <w:vAlign w:val="center"/>
          </w:tcPr>
          <w:p w14:paraId="055358AC">
            <w:r>
              <w:rPr>
                <w:rFonts w:hint="eastAsia"/>
              </w:rPr>
              <w:t>101.5</w:t>
            </w:r>
          </w:p>
        </w:tc>
        <w:tc>
          <w:tcPr>
            <w:tcW w:w="1132" w:type="dxa"/>
            <w:tcBorders>
              <w:top w:val="single" w:color="000000" w:sz="4" w:space="0"/>
              <w:left w:val="single" w:color="000000" w:sz="4" w:space="0"/>
              <w:bottom w:val="single" w:color="000000" w:sz="4" w:space="0"/>
              <w:right w:val="single" w:color="000000" w:sz="4" w:space="0"/>
            </w:tcBorders>
            <w:vAlign w:val="center"/>
          </w:tcPr>
          <w:p w14:paraId="30ADA745">
            <w:r>
              <w:rPr>
                <w:rFonts w:hint="eastAsia"/>
              </w:rPr>
              <w:t>100</w:t>
            </w:r>
          </w:p>
        </w:tc>
        <w:tc>
          <w:tcPr>
            <w:tcW w:w="1268" w:type="dxa"/>
            <w:tcBorders>
              <w:top w:val="single" w:color="000000" w:sz="4" w:space="0"/>
              <w:left w:val="single" w:color="000000" w:sz="4" w:space="0"/>
              <w:bottom w:val="single" w:color="000000" w:sz="4" w:space="0"/>
              <w:right w:val="single" w:color="000000" w:sz="4" w:space="0"/>
            </w:tcBorders>
            <w:vAlign w:val="center"/>
          </w:tcPr>
          <w:p w14:paraId="445CA40B">
            <w:r>
              <w:rPr>
                <w:rFonts w:hint="eastAsia"/>
              </w:rPr>
              <w:t>1.5</w:t>
            </w:r>
          </w:p>
        </w:tc>
        <w:tc>
          <w:tcPr>
            <w:tcW w:w="945" w:type="dxa"/>
            <w:tcBorders>
              <w:top w:val="single" w:color="000000" w:sz="4" w:space="0"/>
              <w:left w:val="single" w:color="000000" w:sz="4" w:space="0"/>
              <w:bottom w:val="single" w:color="000000" w:sz="4" w:space="0"/>
              <w:right w:val="single" w:color="000000" w:sz="4" w:space="0"/>
            </w:tcBorders>
            <w:vAlign w:val="center"/>
          </w:tcPr>
          <w:p w14:paraId="2BF92BF6">
            <w:r>
              <w:rPr>
                <w:rFonts w:hint="eastAsia"/>
              </w:rPr>
              <w:t>101.5</w:t>
            </w:r>
          </w:p>
        </w:tc>
        <w:tc>
          <w:tcPr>
            <w:tcW w:w="960" w:type="dxa"/>
            <w:tcBorders>
              <w:top w:val="single" w:color="000000" w:sz="4" w:space="0"/>
              <w:left w:val="single" w:color="000000" w:sz="4" w:space="0"/>
              <w:bottom w:val="single" w:color="000000" w:sz="4" w:space="0"/>
              <w:right w:val="single" w:color="000000" w:sz="4" w:space="0"/>
            </w:tcBorders>
            <w:vAlign w:val="center"/>
          </w:tcPr>
          <w:p w14:paraId="2FFB6B0F">
            <w:r>
              <w:rPr>
                <w:rFonts w:hint="eastAsia"/>
              </w:rPr>
              <w:t>101.5</w:t>
            </w:r>
          </w:p>
        </w:tc>
        <w:tc>
          <w:tcPr>
            <w:tcW w:w="857" w:type="dxa"/>
            <w:tcBorders>
              <w:top w:val="single" w:color="000000" w:sz="4" w:space="0"/>
              <w:left w:val="single" w:color="000000" w:sz="4" w:space="0"/>
              <w:bottom w:val="single" w:color="000000" w:sz="4" w:space="0"/>
              <w:right w:val="single" w:color="000000" w:sz="4" w:space="0"/>
            </w:tcBorders>
            <w:vAlign w:val="center"/>
          </w:tcPr>
          <w:p w14:paraId="6CFE2F82"/>
        </w:tc>
      </w:tr>
      <w:tr w14:paraId="2B2874BD">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vAlign w:val="center"/>
          </w:tcPr>
          <w:p w14:paraId="4F87B92A">
            <w:r>
              <w:rPr>
                <w:rFonts w:hint="eastAsia"/>
              </w:rPr>
              <w:t>莆田市技工学校</w:t>
            </w:r>
          </w:p>
        </w:tc>
        <w:tc>
          <w:tcPr>
            <w:tcW w:w="945" w:type="dxa"/>
            <w:tcBorders>
              <w:top w:val="single" w:color="000000" w:sz="4" w:space="0"/>
              <w:left w:val="single" w:color="000000" w:sz="4" w:space="0"/>
              <w:bottom w:val="single" w:color="000000" w:sz="4" w:space="0"/>
              <w:right w:val="single" w:color="000000" w:sz="4" w:space="0"/>
            </w:tcBorders>
            <w:vAlign w:val="center"/>
          </w:tcPr>
          <w:p w14:paraId="0F89A9FF">
            <w:r>
              <w:rPr>
                <w:rFonts w:hint="eastAsia"/>
              </w:rPr>
              <w:t>1</w:t>
            </w:r>
          </w:p>
        </w:tc>
        <w:tc>
          <w:tcPr>
            <w:tcW w:w="1132" w:type="dxa"/>
            <w:tcBorders>
              <w:top w:val="single" w:color="000000" w:sz="4" w:space="0"/>
              <w:left w:val="single" w:color="000000" w:sz="4" w:space="0"/>
              <w:bottom w:val="single" w:color="000000" w:sz="4" w:space="0"/>
              <w:right w:val="single" w:color="000000" w:sz="4" w:space="0"/>
            </w:tcBorders>
            <w:vAlign w:val="center"/>
          </w:tcPr>
          <w:p w14:paraId="226D44EC"/>
        </w:tc>
        <w:tc>
          <w:tcPr>
            <w:tcW w:w="1268" w:type="dxa"/>
            <w:tcBorders>
              <w:top w:val="single" w:color="000000" w:sz="4" w:space="0"/>
              <w:left w:val="single" w:color="000000" w:sz="4" w:space="0"/>
              <w:bottom w:val="single" w:color="000000" w:sz="4" w:space="0"/>
              <w:right w:val="single" w:color="000000" w:sz="4" w:space="0"/>
            </w:tcBorders>
            <w:vAlign w:val="center"/>
          </w:tcPr>
          <w:p w14:paraId="0219A45C">
            <w:r>
              <w:rPr>
                <w:rFonts w:hint="eastAsia"/>
              </w:rPr>
              <w:t>1</w:t>
            </w:r>
          </w:p>
        </w:tc>
        <w:tc>
          <w:tcPr>
            <w:tcW w:w="945" w:type="dxa"/>
            <w:tcBorders>
              <w:top w:val="single" w:color="000000" w:sz="4" w:space="0"/>
              <w:left w:val="single" w:color="000000" w:sz="4" w:space="0"/>
              <w:bottom w:val="single" w:color="000000" w:sz="4" w:space="0"/>
              <w:right w:val="single" w:color="000000" w:sz="4" w:space="0"/>
            </w:tcBorders>
            <w:vAlign w:val="center"/>
          </w:tcPr>
          <w:p w14:paraId="7689499B">
            <w:r>
              <w:rPr>
                <w:rFonts w:hint="eastAsia"/>
              </w:rPr>
              <w:t>1</w:t>
            </w:r>
          </w:p>
        </w:tc>
        <w:tc>
          <w:tcPr>
            <w:tcW w:w="960" w:type="dxa"/>
            <w:tcBorders>
              <w:top w:val="single" w:color="000000" w:sz="4" w:space="0"/>
              <w:left w:val="single" w:color="000000" w:sz="4" w:space="0"/>
              <w:bottom w:val="single" w:color="000000" w:sz="4" w:space="0"/>
              <w:right w:val="single" w:color="000000" w:sz="4" w:space="0"/>
            </w:tcBorders>
            <w:vAlign w:val="center"/>
          </w:tcPr>
          <w:p w14:paraId="476457A2">
            <w:r>
              <w:rPr>
                <w:rFonts w:hint="eastAsia"/>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4C6929A4"/>
        </w:tc>
      </w:tr>
      <w:tr w14:paraId="08825E57">
        <w:tblPrEx>
          <w:tblCellMar>
            <w:top w:w="0" w:type="dxa"/>
            <w:left w:w="108" w:type="dxa"/>
            <w:bottom w:w="0" w:type="dxa"/>
            <w:right w:w="108" w:type="dxa"/>
          </w:tblCellMar>
        </w:tblPrEx>
        <w:trPr>
          <w:trHeight w:val="293" w:hRule="atLeast"/>
        </w:trPr>
        <w:tc>
          <w:tcPr>
            <w:tcW w:w="2730" w:type="dxa"/>
            <w:tcBorders>
              <w:top w:val="single" w:color="000000" w:sz="4" w:space="0"/>
              <w:left w:val="single" w:color="000000" w:sz="4" w:space="0"/>
              <w:bottom w:val="single" w:color="000000" w:sz="4" w:space="0"/>
              <w:right w:val="single" w:color="000000" w:sz="4" w:space="0"/>
            </w:tcBorders>
            <w:vAlign w:val="center"/>
          </w:tcPr>
          <w:p w14:paraId="483DD5E7">
            <w:r>
              <w:rPr>
                <w:rFonts w:hint="eastAsia"/>
              </w:rPr>
              <w:t>莆田市职业技术教育中心</w:t>
            </w:r>
          </w:p>
        </w:tc>
        <w:tc>
          <w:tcPr>
            <w:tcW w:w="945" w:type="dxa"/>
            <w:tcBorders>
              <w:top w:val="single" w:color="000000" w:sz="4" w:space="0"/>
              <w:left w:val="single" w:color="000000" w:sz="4" w:space="0"/>
              <w:bottom w:val="single" w:color="000000" w:sz="4" w:space="0"/>
              <w:right w:val="single" w:color="000000" w:sz="4" w:space="0"/>
            </w:tcBorders>
            <w:vAlign w:val="center"/>
          </w:tcPr>
          <w:p w14:paraId="060B60AB">
            <w:r>
              <w:rPr>
                <w:rFonts w:hint="eastAsia"/>
              </w:rPr>
              <w:t>15.6</w:t>
            </w:r>
          </w:p>
        </w:tc>
        <w:tc>
          <w:tcPr>
            <w:tcW w:w="1132" w:type="dxa"/>
            <w:tcBorders>
              <w:top w:val="single" w:color="000000" w:sz="4" w:space="0"/>
              <w:left w:val="single" w:color="000000" w:sz="4" w:space="0"/>
              <w:bottom w:val="single" w:color="000000" w:sz="4" w:space="0"/>
              <w:right w:val="single" w:color="000000" w:sz="4" w:space="0"/>
            </w:tcBorders>
            <w:vAlign w:val="center"/>
          </w:tcPr>
          <w:p w14:paraId="25BE6AED"/>
        </w:tc>
        <w:tc>
          <w:tcPr>
            <w:tcW w:w="1268" w:type="dxa"/>
            <w:tcBorders>
              <w:top w:val="single" w:color="000000" w:sz="4" w:space="0"/>
              <w:left w:val="single" w:color="000000" w:sz="4" w:space="0"/>
              <w:bottom w:val="single" w:color="000000" w:sz="4" w:space="0"/>
              <w:right w:val="single" w:color="000000" w:sz="4" w:space="0"/>
            </w:tcBorders>
            <w:vAlign w:val="center"/>
          </w:tcPr>
          <w:p w14:paraId="464166E3"/>
        </w:tc>
        <w:tc>
          <w:tcPr>
            <w:tcW w:w="945" w:type="dxa"/>
            <w:tcBorders>
              <w:top w:val="single" w:color="000000" w:sz="4" w:space="0"/>
              <w:left w:val="single" w:color="000000" w:sz="4" w:space="0"/>
              <w:bottom w:val="single" w:color="000000" w:sz="4" w:space="0"/>
              <w:right w:val="single" w:color="000000" w:sz="4" w:space="0"/>
            </w:tcBorders>
            <w:vAlign w:val="center"/>
          </w:tcPr>
          <w:p w14:paraId="71292ABD">
            <w:r>
              <w:rPr>
                <w:rFonts w:hint="eastAsia"/>
              </w:rPr>
              <w:t>15.6</w:t>
            </w:r>
          </w:p>
        </w:tc>
        <w:tc>
          <w:tcPr>
            <w:tcW w:w="960" w:type="dxa"/>
            <w:tcBorders>
              <w:top w:val="single" w:color="000000" w:sz="4" w:space="0"/>
              <w:left w:val="single" w:color="000000" w:sz="4" w:space="0"/>
              <w:bottom w:val="single" w:color="000000" w:sz="4" w:space="0"/>
              <w:right w:val="single" w:color="000000" w:sz="4" w:space="0"/>
            </w:tcBorders>
            <w:vAlign w:val="center"/>
          </w:tcPr>
          <w:p w14:paraId="7514BEF0">
            <w:r>
              <w:rPr>
                <w:rFonts w:hint="eastAsia"/>
              </w:rPr>
              <w:t>15.6</w:t>
            </w:r>
          </w:p>
        </w:tc>
        <w:tc>
          <w:tcPr>
            <w:tcW w:w="857" w:type="dxa"/>
            <w:tcBorders>
              <w:top w:val="single" w:color="000000" w:sz="4" w:space="0"/>
              <w:left w:val="single" w:color="000000" w:sz="4" w:space="0"/>
              <w:bottom w:val="single" w:color="000000" w:sz="4" w:space="0"/>
              <w:right w:val="single" w:color="000000" w:sz="4" w:space="0"/>
            </w:tcBorders>
            <w:vAlign w:val="center"/>
          </w:tcPr>
          <w:p w14:paraId="76217FE9"/>
        </w:tc>
      </w:tr>
      <w:tr w14:paraId="494D9A2C">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vAlign w:val="center"/>
          </w:tcPr>
          <w:p w14:paraId="0E99D52D">
            <w:r>
              <w:rPr>
                <w:rFonts w:hint="eastAsia"/>
              </w:rPr>
              <w:t>仙游职业中专学校</w:t>
            </w:r>
          </w:p>
        </w:tc>
        <w:tc>
          <w:tcPr>
            <w:tcW w:w="945" w:type="dxa"/>
            <w:tcBorders>
              <w:top w:val="single" w:color="000000" w:sz="4" w:space="0"/>
              <w:left w:val="single" w:color="000000" w:sz="4" w:space="0"/>
              <w:bottom w:val="single" w:color="000000" w:sz="4" w:space="0"/>
              <w:right w:val="single" w:color="000000" w:sz="4" w:space="0"/>
            </w:tcBorders>
            <w:vAlign w:val="center"/>
          </w:tcPr>
          <w:p w14:paraId="63B855D3">
            <w:r>
              <w:rPr>
                <w:rFonts w:hint="eastAsia"/>
              </w:rPr>
              <w:t>2.5</w:t>
            </w:r>
          </w:p>
        </w:tc>
        <w:tc>
          <w:tcPr>
            <w:tcW w:w="1132" w:type="dxa"/>
            <w:tcBorders>
              <w:top w:val="single" w:color="000000" w:sz="4" w:space="0"/>
              <w:left w:val="single" w:color="000000" w:sz="4" w:space="0"/>
              <w:bottom w:val="single" w:color="000000" w:sz="4" w:space="0"/>
              <w:right w:val="single" w:color="000000" w:sz="4" w:space="0"/>
            </w:tcBorders>
            <w:vAlign w:val="center"/>
          </w:tcPr>
          <w:p w14:paraId="22AB1C31"/>
        </w:tc>
        <w:tc>
          <w:tcPr>
            <w:tcW w:w="1268" w:type="dxa"/>
            <w:tcBorders>
              <w:top w:val="single" w:color="000000" w:sz="4" w:space="0"/>
              <w:left w:val="single" w:color="000000" w:sz="4" w:space="0"/>
              <w:bottom w:val="single" w:color="000000" w:sz="4" w:space="0"/>
              <w:right w:val="single" w:color="000000" w:sz="4" w:space="0"/>
            </w:tcBorders>
            <w:vAlign w:val="center"/>
          </w:tcPr>
          <w:p w14:paraId="48816AE3">
            <w:r>
              <w:rPr>
                <w:rFonts w:hint="eastAsia"/>
              </w:rPr>
              <w:t>2.5</w:t>
            </w:r>
          </w:p>
        </w:tc>
        <w:tc>
          <w:tcPr>
            <w:tcW w:w="945" w:type="dxa"/>
            <w:tcBorders>
              <w:top w:val="single" w:color="000000" w:sz="4" w:space="0"/>
              <w:left w:val="single" w:color="000000" w:sz="4" w:space="0"/>
              <w:bottom w:val="single" w:color="000000" w:sz="4" w:space="0"/>
              <w:right w:val="single" w:color="000000" w:sz="4" w:space="0"/>
            </w:tcBorders>
            <w:vAlign w:val="center"/>
          </w:tcPr>
          <w:p w14:paraId="5BC6338C">
            <w:r>
              <w:rPr>
                <w:rFonts w:hint="eastAsia"/>
              </w:rPr>
              <w:t>2.5</w:t>
            </w:r>
          </w:p>
        </w:tc>
        <w:tc>
          <w:tcPr>
            <w:tcW w:w="960" w:type="dxa"/>
            <w:tcBorders>
              <w:top w:val="single" w:color="000000" w:sz="4" w:space="0"/>
              <w:left w:val="single" w:color="000000" w:sz="4" w:space="0"/>
              <w:bottom w:val="single" w:color="000000" w:sz="4" w:space="0"/>
              <w:right w:val="single" w:color="000000" w:sz="4" w:space="0"/>
            </w:tcBorders>
            <w:vAlign w:val="center"/>
          </w:tcPr>
          <w:p w14:paraId="66BE89FF">
            <w:r>
              <w:rPr>
                <w:rFonts w:hint="eastAsia"/>
              </w:rPr>
              <w:t>2.5</w:t>
            </w:r>
          </w:p>
        </w:tc>
        <w:tc>
          <w:tcPr>
            <w:tcW w:w="857" w:type="dxa"/>
            <w:tcBorders>
              <w:top w:val="single" w:color="000000" w:sz="4" w:space="0"/>
              <w:left w:val="single" w:color="000000" w:sz="4" w:space="0"/>
              <w:bottom w:val="single" w:color="000000" w:sz="4" w:space="0"/>
              <w:right w:val="single" w:color="000000" w:sz="4" w:space="0"/>
            </w:tcBorders>
            <w:vAlign w:val="center"/>
          </w:tcPr>
          <w:p w14:paraId="2AAAA5E8"/>
        </w:tc>
      </w:tr>
      <w:tr w14:paraId="464165B0">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vAlign w:val="center"/>
          </w:tcPr>
          <w:p w14:paraId="49E0138F">
            <w:r>
              <w:rPr>
                <w:rFonts w:hint="eastAsia"/>
              </w:rPr>
              <w:t>莆田科技职业技术学校</w:t>
            </w:r>
          </w:p>
        </w:tc>
        <w:tc>
          <w:tcPr>
            <w:tcW w:w="945" w:type="dxa"/>
            <w:tcBorders>
              <w:top w:val="single" w:color="000000" w:sz="4" w:space="0"/>
              <w:left w:val="single" w:color="000000" w:sz="4" w:space="0"/>
              <w:bottom w:val="single" w:color="000000" w:sz="4" w:space="0"/>
              <w:right w:val="single" w:color="000000" w:sz="4" w:space="0"/>
            </w:tcBorders>
            <w:vAlign w:val="center"/>
          </w:tcPr>
          <w:p w14:paraId="60790991">
            <w:r>
              <w:rPr>
                <w:rFonts w:hint="eastAsia"/>
              </w:rPr>
              <w:t>2</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0742774"/>
        </w:tc>
        <w:tc>
          <w:tcPr>
            <w:tcW w:w="1268" w:type="dxa"/>
            <w:tcBorders>
              <w:top w:val="single" w:color="000000" w:sz="4" w:space="0"/>
              <w:left w:val="single" w:color="000000" w:sz="4" w:space="0"/>
              <w:bottom w:val="single" w:color="000000" w:sz="4" w:space="0"/>
              <w:right w:val="single" w:color="000000" w:sz="4" w:space="0"/>
            </w:tcBorders>
            <w:noWrap/>
            <w:vAlign w:val="center"/>
          </w:tcPr>
          <w:p w14:paraId="20896585">
            <w:r>
              <w:rPr>
                <w:rFonts w:hint="eastAsia"/>
              </w:rPr>
              <w:t>2</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642EDE8">
            <w:r>
              <w:rPr>
                <w:rFonts w:hint="eastAsia"/>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98F070E">
            <w:r>
              <w:rPr>
                <w:rFonts w:hint="eastAsia"/>
              </w:rPr>
              <w:t>2</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1D9E06C"/>
        </w:tc>
      </w:tr>
      <w:tr w14:paraId="6C1273E5">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noWrap/>
            <w:vAlign w:val="center"/>
          </w:tcPr>
          <w:p w14:paraId="29BCF977">
            <w:r>
              <w:rPr>
                <w:rFonts w:hint="eastAsia"/>
              </w:rPr>
              <w:t>莆田海峡职业中专学校</w:t>
            </w:r>
          </w:p>
        </w:tc>
        <w:tc>
          <w:tcPr>
            <w:tcW w:w="945" w:type="dxa"/>
            <w:tcBorders>
              <w:top w:val="single" w:color="000000" w:sz="4" w:space="0"/>
              <w:left w:val="single" w:color="000000" w:sz="4" w:space="0"/>
              <w:bottom w:val="single" w:color="000000" w:sz="4" w:space="0"/>
              <w:right w:val="single" w:color="000000" w:sz="4" w:space="0"/>
            </w:tcBorders>
            <w:vAlign w:val="center"/>
          </w:tcPr>
          <w:p w14:paraId="23107166">
            <w:r>
              <w:rPr>
                <w:rFonts w:hint="eastAsia"/>
              </w:rPr>
              <w:t>0.5</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489E64A9"/>
        </w:tc>
        <w:tc>
          <w:tcPr>
            <w:tcW w:w="1268" w:type="dxa"/>
            <w:tcBorders>
              <w:top w:val="single" w:color="000000" w:sz="4" w:space="0"/>
              <w:left w:val="single" w:color="000000" w:sz="4" w:space="0"/>
              <w:bottom w:val="single" w:color="000000" w:sz="4" w:space="0"/>
              <w:right w:val="single" w:color="000000" w:sz="4" w:space="0"/>
            </w:tcBorders>
            <w:noWrap/>
            <w:vAlign w:val="center"/>
          </w:tcPr>
          <w:p w14:paraId="3F2AE0B2">
            <w:r>
              <w:rPr>
                <w:rFonts w:hint="eastAsia"/>
              </w:rPr>
              <w:t>0.5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D452300">
            <w:r>
              <w:rPr>
                <w:rFonts w:hint="eastAsia"/>
              </w:rPr>
              <w:t>0.5</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138CA2A">
            <w:r>
              <w:rPr>
                <w:rFonts w:hint="eastAsia"/>
              </w:rPr>
              <w:t>0.5</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1ACDB19"/>
        </w:tc>
      </w:tr>
      <w:tr w14:paraId="63A8D9A6">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vAlign w:val="center"/>
          </w:tcPr>
          <w:p w14:paraId="35348AFE">
            <w:r>
              <w:rPr>
                <w:rFonts w:hint="eastAsia"/>
              </w:rPr>
              <w:t>莆田华侨职业中专学校</w:t>
            </w:r>
          </w:p>
        </w:tc>
        <w:tc>
          <w:tcPr>
            <w:tcW w:w="945" w:type="dxa"/>
            <w:tcBorders>
              <w:top w:val="single" w:color="000000" w:sz="4" w:space="0"/>
              <w:left w:val="single" w:color="000000" w:sz="4" w:space="0"/>
              <w:bottom w:val="single" w:color="000000" w:sz="4" w:space="0"/>
              <w:right w:val="single" w:color="000000" w:sz="4" w:space="0"/>
            </w:tcBorders>
            <w:vAlign w:val="center"/>
          </w:tcPr>
          <w:p w14:paraId="09ABC096">
            <w:r>
              <w:rPr>
                <w:rFonts w:hint="eastAsia"/>
              </w:rPr>
              <w:t>8.2</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BA03606"/>
        </w:tc>
        <w:tc>
          <w:tcPr>
            <w:tcW w:w="1268" w:type="dxa"/>
            <w:tcBorders>
              <w:top w:val="single" w:color="000000" w:sz="4" w:space="0"/>
              <w:left w:val="single" w:color="000000" w:sz="4" w:space="0"/>
              <w:bottom w:val="single" w:color="000000" w:sz="4" w:space="0"/>
              <w:right w:val="single" w:color="000000" w:sz="4" w:space="0"/>
            </w:tcBorders>
            <w:noWrap/>
            <w:vAlign w:val="center"/>
          </w:tcPr>
          <w:p w14:paraId="3B4AA682">
            <w:r>
              <w:rPr>
                <w:rFonts w:hint="eastAsia"/>
              </w:rPr>
              <w:t>8.2</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10B0C25">
            <w:r>
              <w:rPr>
                <w:rFonts w:hint="eastAsia"/>
              </w:rPr>
              <w:t>8.2</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1EEECB5">
            <w:r>
              <w:rPr>
                <w:rFonts w:hint="eastAsia"/>
              </w:rPr>
              <w:t>8.2</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8054713"/>
        </w:tc>
      </w:tr>
      <w:tr w14:paraId="38AFDC0A">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noWrap/>
            <w:vAlign w:val="center"/>
          </w:tcPr>
          <w:p w14:paraId="1E39589E">
            <w:r>
              <w:rPr>
                <w:rFonts w:hint="eastAsia"/>
              </w:rPr>
              <w:t>合计</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2BC6B45">
            <w:r>
              <w:rPr>
                <w:rFonts w:hint="eastAsia"/>
              </w:rPr>
              <w:t>520</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61CB37B">
            <w:r>
              <w:rPr>
                <w:rFonts w:hint="eastAsia"/>
              </w:rPr>
              <w:t>400</w:t>
            </w:r>
          </w:p>
        </w:tc>
        <w:tc>
          <w:tcPr>
            <w:tcW w:w="1268" w:type="dxa"/>
            <w:tcBorders>
              <w:top w:val="single" w:color="000000" w:sz="4" w:space="0"/>
              <w:left w:val="single" w:color="000000" w:sz="4" w:space="0"/>
              <w:bottom w:val="single" w:color="000000" w:sz="4" w:space="0"/>
              <w:right w:val="single" w:color="000000" w:sz="4" w:space="0"/>
            </w:tcBorders>
            <w:noWrap/>
            <w:vAlign w:val="center"/>
          </w:tcPr>
          <w:p w14:paraId="449FE4B0">
            <w:r>
              <w:rPr>
                <w:rFonts w:hint="eastAsia"/>
              </w:rPr>
              <w:t>39.4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D82B441">
            <w:r>
              <w:rPr>
                <w:rFonts w:hint="eastAsia"/>
              </w:rPr>
              <w:t>520</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DC9BE36">
            <w:r>
              <w:rPr>
                <w:rFonts w:hint="eastAsia"/>
              </w:rPr>
              <w:t>499.27</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6E3D086">
            <w:r>
              <w:rPr>
                <w:rFonts w:hint="eastAsia"/>
              </w:rPr>
              <w:t>20.73</w:t>
            </w:r>
          </w:p>
        </w:tc>
      </w:tr>
    </w:tbl>
    <w:p w14:paraId="1396063A">
      <w:pPr>
        <w:ind w:firstLine="420" w:firstLineChars="200"/>
      </w:pPr>
      <w:r>
        <w:rPr>
          <w:rFonts w:hint="eastAsia"/>
        </w:rPr>
        <w:t>2019年职业教育专项补助资金530万元，资金实际到位530万元，实际支出金额476.57万元，结余53.43万元，财政已收回结余资金，预算实际执行率为90%。项目期限为2019年1月1日至2019年12月31日。</w:t>
      </w:r>
    </w:p>
    <w:p w14:paraId="1723AD97">
      <w:pPr>
        <w:ind w:firstLine="420" w:firstLineChars="200"/>
      </w:pPr>
      <w:r>
        <w:rPr>
          <w:rFonts w:hint="eastAsia"/>
        </w:rPr>
        <w:t>表2  2019年职业教育专项补助经费明细表</w:t>
      </w:r>
    </w:p>
    <w:tbl>
      <w:tblPr>
        <w:tblStyle w:val="17"/>
        <w:tblW w:w="8818" w:type="dxa"/>
        <w:tblInd w:w="91" w:type="dxa"/>
        <w:tblLayout w:type="fixed"/>
        <w:tblCellMar>
          <w:top w:w="0" w:type="dxa"/>
          <w:left w:w="108" w:type="dxa"/>
          <w:bottom w:w="0" w:type="dxa"/>
          <w:right w:w="108" w:type="dxa"/>
        </w:tblCellMar>
      </w:tblPr>
      <w:tblGrid>
        <w:gridCol w:w="2550"/>
        <w:gridCol w:w="855"/>
        <w:gridCol w:w="1125"/>
        <w:gridCol w:w="1365"/>
        <w:gridCol w:w="1080"/>
        <w:gridCol w:w="975"/>
        <w:gridCol w:w="868"/>
      </w:tblGrid>
      <w:tr w14:paraId="69B2CAAD">
        <w:tblPrEx>
          <w:tblCellMar>
            <w:top w:w="0" w:type="dxa"/>
            <w:left w:w="108" w:type="dxa"/>
            <w:bottom w:w="0" w:type="dxa"/>
            <w:right w:w="108" w:type="dxa"/>
          </w:tblCellMar>
        </w:tblPrEx>
        <w:trPr>
          <w:trHeight w:val="340" w:hRule="atLeast"/>
        </w:trPr>
        <w:tc>
          <w:tcPr>
            <w:tcW w:w="2550" w:type="dxa"/>
            <w:vMerge w:val="restart"/>
            <w:tcBorders>
              <w:top w:val="single" w:color="000000" w:sz="4" w:space="0"/>
              <w:left w:val="single" w:color="000000" w:sz="4" w:space="0"/>
              <w:bottom w:val="single" w:color="000000" w:sz="4" w:space="0"/>
              <w:right w:val="single" w:color="000000" w:sz="4" w:space="0"/>
            </w:tcBorders>
            <w:vAlign w:val="center"/>
          </w:tcPr>
          <w:p w14:paraId="427D7120">
            <w:r>
              <w:rPr>
                <w:rFonts w:hint="eastAsia"/>
              </w:rPr>
              <w:t>学校名称</w:t>
            </w: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347F9533">
            <w:r>
              <w:rPr>
                <w:rFonts w:hint="eastAsia"/>
              </w:rPr>
              <w:t>预算下达数</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6F14C8BD">
            <w:r>
              <w:rPr>
                <w:rFonts w:hint="eastAsia"/>
              </w:rPr>
              <w:t>资金到位金额</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14:paraId="0887390D">
            <w:pPr>
              <w:ind w:firstLine="420" w:firstLineChars="200"/>
            </w:pPr>
            <w:r>
              <w:rPr>
                <w:rFonts w:hint="eastAsia"/>
              </w:rPr>
              <w:t>实际</w:t>
            </w:r>
          </w:p>
          <w:p w14:paraId="56B94FB9">
            <w:pPr>
              <w:ind w:firstLine="420" w:firstLineChars="200"/>
            </w:pPr>
            <w:r>
              <w:rPr>
                <w:rFonts w:hint="eastAsia"/>
              </w:rPr>
              <w:t>支出数</w:t>
            </w:r>
          </w:p>
        </w:tc>
        <w:tc>
          <w:tcPr>
            <w:tcW w:w="868" w:type="dxa"/>
            <w:vMerge w:val="restart"/>
            <w:tcBorders>
              <w:top w:val="single" w:color="000000" w:sz="4" w:space="0"/>
              <w:left w:val="single" w:color="000000" w:sz="4" w:space="0"/>
              <w:right w:val="single" w:color="000000" w:sz="4" w:space="0"/>
            </w:tcBorders>
            <w:vAlign w:val="center"/>
          </w:tcPr>
          <w:p w14:paraId="332B2B7F">
            <w:r>
              <w:rPr>
                <w:rFonts w:hint="eastAsia"/>
              </w:rPr>
              <w:t>结余</w:t>
            </w:r>
          </w:p>
        </w:tc>
      </w:tr>
      <w:tr w14:paraId="1857A747">
        <w:tblPrEx>
          <w:tblCellMar>
            <w:top w:w="0" w:type="dxa"/>
            <w:left w:w="108" w:type="dxa"/>
            <w:bottom w:w="0" w:type="dxa"/>
            <w:right w:w="108" w:type="dxa"/>
          </w:tblCellMar>
        </w:tblPrEx>
        <w:trPr>
          <w:trHeight w:val="340" w:hRule="atLeast"/>
        </w:trPr>
        <w:tc>
          <w:tcPr>
            <w:tcW w:w="2550" w:type="dxa"/>
            <w:vMerge w:val="continue"/>
            <w:tcBorders>
              <w:top w:val="single" w:color="000000" w:sz="4" w:space="0"/>
              <w:left w:val="single" w:color="000000" w:sz="4" w:space="0"/>
              <w:bottom w:val="single" w:color="000000" w:sz="4" w:space="0"/>
              <w:right w:val="single" w:color="000000" w:sz="4" w:space="0"/>
            </w:tcBorders>
            <w:vAlign w:val="center"/>
          </w:tcPr>
          <w:p w14:paraId="4DE025A6"/>
        </w:tc>
        <w:tc>
          <w:tcPr>
            <w:tcW w:w="855" w:type="dxa"/>
            <w:tcBorders>
              <w:top w:val="single" w:color="000000" w:sz="4" w:space="0"/>
              <w:left w:val="single" w:color="000000" w:sz="4" w:space="0"/>
              <w:bottom w:val="single" w:color="000000" w:sz="4" w:space="0"/>
              <w:right w:val="single" w:color="000000" w:sz="4" w:space="0"/>
            </w:tcBorders>
            <w:vAlign w:val="center"/>
          </w:tcPr>
          <w:p w14:paraId="143D104A">
            <w:r>
              <w:rPr>
                <w:rFonts w:hint="eastAsia"/>
              </w:rPr>
              <w:t>小计</w:t>
            </w:r>
          </w:p>
        </w:tc>
        <w:tc>
          <w:tcPr>
            <w:tcW w:w="1125" w:type="dxa"/>
            <w:tcBorders>
              <w:top w:val="single" w:color="000000" w:sz="4" w:space="0"/>
              <w:left w:val="single" w:color="000000" w:sz="4" w:space="0"/>
              <w:bottom w:val="single" w:color="000000" w:sz="4" w:space="0"/>
              <w:right w:val="single" w:color="000000" w:sz="4" w:space="0"/>
            </w:tcBorders>
            <w:vAlign w:val="center"/>
          </w:tcPr>
          <w:p w14:paraId="0373731F">
            <w:pPr>
              <w:ind w:firstLine="420" w:firstLineChars="200"/>
            </w:pPr>
            <w:r>
              <w:rPr>
                <w:rFonts w:hint="eastAsia"/>
              </w:rPr>
              <w:t>新校区</w:t>
            </w:r>
          </w:p>
          <w:p w14:paraId="0C8BDF82">
            <w:pPr>
              <w:ind w:firstLine="420" w:firstLineChars="200"/>
            </w:pPr>
            <w:r>
              <w:rPr>
                <w:rFonts w:hint="eastAsia"/>
              </w:rPr>
              <w:t>迁建经费</w:t>
            </w:r>
          </w:p>
        </w:tc>
        <w:tc>
          <w:tcPr>
            <w:tcW w:w="1365" w:type="dxa"/>
            <w:tcBorders>
              <w:top w:val="single" w:color="000000" w:sz="4" w:space="0"/>
              <w:left w:val="single" w:color="000000" w:sz="4" w:space="0"/>
              <w:bottom w:val="single" w:color="000000" w:sz="4" w:space="0"/>
              <w:right w:val="single" w:color="000000" w:sz="4" w:space="0"/>
            </w:tcBorders>
            <w:vAlign w:val="center"/>
          </w:tcPr>
          <w:p w14:paraId="5D98FE12">
            <w:r>
              <w:rPr>
                <w:rFonts w:hint="eastAsia"/>
              </w:rPr>
              <w:t>2018年技能大赛奖金</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996F8B0"/>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14:paraId="19D670B4"/>
        </w:tc>
        <w:tc>
          <w:tcPr>
            <w:tcW w:w="868" w:type="dxa"/>
            <w:vMerge w:val="continue"/>
            <w:tcBorders>
              <w:left w:val="single" w:color="000000" w:sz="4" w:space="0"/>
              <w:bottom w:val="single" w:color="000000" w:sz="4" w:space="0"/>
              <w:right w:val="single" w:color="000000" w:sz="4" w:space="0"/>
            </w:tcBorders>
            <w:vAlign w:val="center"/>
          </w:tcPr>
          <w:p w14:paraId="0A52F1FB"/>
        </w:tc>
      </w:tr>
      <w:tr w14:paraId="1C3B9790">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14:paraId="439A4794">
            <w:r>
              <w:rPr>
                <w:rFonts w:hint="eastAsia"/>
              </w:rPr>
              <w:t>湄洲湾职业技术学院</w:t>
            </w:r>
          </w:p>
        </w:tc>
        <w:tc>
          <w:tcPr>
            <w:tcW w:w="855" w:type="dxa"/>
            <w:tcBorders>
              <w:top w:val="single" w:color="000000" w:sz="4" w:space="0"/>
              <w:left w:val="single" w:color="000000" w:sz="4" w:space="0"/>
              <w:bottom w:val="single" w:color="000000" w:sz="4" w:space="0"/>
              <w:right w:val="single" w:color="000000" w:sz="4" w:space="0"/>
            </w:tcBorders>
            <w:vAlign w:val="center"/>
          </w:tcPr>
          <w:p w14:paraId="02E249B4">
            <w:r>
              <w:rPr>
                <w:rFonts w:hint="eastAsia"/>
              </w:rPr>
              <w:t>300</w:t>
            </w:r>
          </w:p>
        </w:tc>
        <w:tc>
          <w:tcPr>
            <w:tcW w:w="1125" w:type="dxa"/>
            <w:tcBorders>
              <w:top w:val="single" w:color="000000" w:sz="4" w:space="0"/>
              <w:left w:val="single" w:color="000000" w:sz="4" w:space="0"/>
              <w:bottom w:val="single" w:color="000000" w:sz="4" w:space="0"/>
              <w:right w:val="single" w:color="000000" w:sz="4" w:space="0"/>
            </w:tcBorders>
            <w:vAlign w:val="center"/>
          </w:tcPr>
          <w:p w14:paraId="6FE715A3">
            <w:r>
              <w:rPr>
                <w:rFonts w:hint="eastAsia"/>
              </w:rPr>
              <w:t>300</w:t>
            </w:r>
          </w:p>
        </w:tc>
        <w:tc>
          <w:tcPr>
            <w:tcW w:w="1365" w:type="dxa"/>
            <w:tcBorders>
              <w:top w:val="single" w:color="000000" w:sz="4" w:space="0"/>
              <w:left w:val="single" w:color="000000" w:sz="4" w:space="0"/>
              <w:bottom w:val="single" w:color="000000" w:sz="4" w:space="0"/>
              <w:right w:val="single" w:color="000000" w:sz="4" w:space="0"/>
            </w:tcBorders>
            <w:vAlign w:val="center"/>
          </w:tcPr>
          <w:p w14:paraId="7597FB69"/>
        </w:tc>
        <w:tc>
          <w:tcPr>
            <w:tcW w:w="1080" w:type="dxa"/>
            <w:tcBorders>
              <w:top w:val="single" w:color="000000" w:sz="4" w:space="0"/>
              <w:left w:val="single" w:color="000000" w:sz="4" w:space="0"/>
              <w:bottom w:val="single" w:color="000000" w:sz="4" w:space="0"/>
              <w:right w:val="single" w:color="000000" w:sz="4" w:space="0"/>
            </w:tcBorders>
            <w:vAlign w:val="center"/>
          </w:tcPr>
          <w:p w14:paraId="7F88C2A1">
            <w:r>
              <w:rPr>
                <w:rFonts w:hint="eastAsia"/>
              </w:rPr>
              <w:t>300</w:t>
            </w:r>
          </w:p>
        </w:tc>
        <w:tc>
          <w:tcPr>
            <w:tcW w:w="975" w:type="dxa"/>
            <w:tcBorders>
              <w:top w:val="single" w:color="000000" w:sz="4" w:space="0"/>
              <w:left w:val="single" w:color="000000" w:sz="4" w:space="0"/>
              <w:bottom w:val="single" w:color="000000" w:sz="4" w:space="0"/>
              <w:right w:val="single" w:color="000000" w:sz="4" w:space="0"/>
            </w:tcBorders>
            <w:vAlign w:val="center"/>
          </w:tcPr>
          <w:p w14:paraId="51DD1CCC">
            <w:r>
              <w:rPr>
                <w:rFonts w:hint="eastAsia"/>
              </w:rPr>
              <w:t>300</w:t>
            </w:r>
          </w:p>
        </w:tc>
        <w:tc>
          <w:tcPr>
            <w:tcW w:w="868" w:type="dxa"/>
            <w:tcBorders>
              <w:top w:val="single" w:color="000000" w:sz="4" w:space="0"/>
              <w:left w:val="single" w:color="000000" w:sz="4" w:space="0"/>
              <w:bottom w:val="single" w:color="000000" w:sz="4" w:space="0"/>
              <w:right w:val="single" w:color="000000" w:sz="4" w:space="0"/>
            </w:tcBorders>
            <w:vAlign w:val="center"/>
          </w:tcPr>
          <w:p w14:paraId="22FE8139"/>
        </w:tc>
      </w:tr>
      <w:tr w14:paraId="74866C35">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14:paraId="6E112BBB">
            <w:r>
              <w:rPr>
                <w:rFonts w:hint="eastAsia"/>
              </w:rPr>
              <w:t>湄洲湾职业技术学校</w:t>
            </w:r>
          </w:p>
        </w:tc>
        <w:tc>
          <w:tcPr>
            <w:tcW w:w="855" w:type="dxa"/>
            <w:tcBorders>
              <w:top w:val="single" w:color="000000" w:sz="4" w:space="0"/>
              <w:left w:val="single" w:color="000000" w:sz="4" w:space="0"/>
              <w:bottom w:val="single" w:color="000000" w:sz="4" w:space="0"/>
              <w:right w:val="single" w:color="000000" w:sz="4" w:space="0"/>
            </w:tcBorders>
            <w:vAlign w:val="center"/>
          </w:tcPr>
          <w:p w14:paraId="076D5DFF">
            <w:r>
              <w:rPr>
                <w:rFonts w:hint="eastAsia"/>
              </w:rPr>
              <w:t>99.8</w:t>
            </w:r>
          </w:p>
        </w:tc>
        <w:tc>
          <w:tcPr>
            <w:tcW w:w="1125" w:type="dxa"/>
            <w:tcBorders>
              <w:top w:val="single" w:color="000000" w:sz="4" w:space="0"/>
              <w:left w:val="single" w:color="000000" w:sz="4" w:space="0"/>
              <w:bottom w:val="single" w:color="000000" w:sz="4" w:space="0"/>
              <w:right w:val="single" w:color="000000" w:sz="4" w:space="0"/>
            </w:tcBorders>
            <w:vAlign w:val="center"/>
          </w:tcPr>
          <w:p w14:paraId="5669FC8C"/>
        </w:tc>
        <w:tc>
          <w:tcPr>
            <w:tcW w:w="1365" w:type="dxa"/>
            <w:tcBorders>
              <w:top w:val="single" w:color="000000" w:sz="4" w:space="0"/>
              <w:left w:val="single" w:color="000000" w:sz="4" w:space="0"/>
              <w:bottom w:val="single" w:color="000000" w:sz="4" w:space="0"/>
              <w:right w:val="single" w:color="000000" w:sz="4" w:space="0"/>
            </w:tcBorders>
            <w:vAlign w:val="center"/>
          </w:tcPr>
          <w:p w14:paraId="66F7831B">
            <w:r>
              <w:rPr>
                <w:rFonts w:hint="eastAsia"/>
              </w:rPr>
              <w:t>25.9</w:t>
            </w:r>
          </w:p>
        </w:tc>
        <w:tc>
          <w:tcPr>
            <w:tcW w:w="1080" w:type="dxa"/>
            <w:tcBorders>
              <w:top w:val="single" w:color="000000" w:sz="4" w:space="0"/>
              <w:left w:val="single" w:color="000000" w:sz="4" w:space="0"/>
              <w:bottom w:val="single" w:color="000000" w:sz="4" w:space="0"/>
              <w:right w:val="single" w:color="000000" w:sz="4" w:space="0"/>
            </w:tcBorders>
            <w:vAlign w:val="center"/>
          </w:tcPr>
          <w:p w14:paraId="5969B8C6">
            <w:r>
              <w:rPr>
                <w:rFonts w:hint="eastAsia"/>
              </w:rPr>
              <w:t>99.8</w:t>
            </w:r>
          </w:p>
        </w:tc>
        <w:tc>
          <w:tcPr>
            <w:tcW w:w="975" w:type="dxa"/>
            <w:tcBorders>
              <w:top w:val="single" w:color="000000" w:sz="4" w:space="0"/>
              <w:left w:val="single" w:color="000000" w:sz="4" w:space="0"/>
              <w:bottom w:val="single" w:color="000000" w:sz="4" w:space="0"/>
              <w:right w:val="single" w:color="000000" w:sz="4" w:space="0"/>
            </w:tcBorders>
            <w:vAlign w:val="center"/>
          </w:tcPr>
          <w:p w14:paraId="4DEABEA2">
            <w:r>
              <w:rPr>
                <w:rFonts w:hint="eastAsia"/>
              </w:rPr>
              <w:t>46.37</w:t>
            </w:r>
          </w:p>
        </w:tc>
        <w:tc>
          <w:tcPr>
            <w:tcW w:w="868" w:type="dxa"/>
            <w:tcBorders>
              <w:top w:val="single" w:color="000000" w:sz="4" w:space="0"/>
              <w:left w:val="single" w:color="000000" w:sz="4" w:space="0"/>
              <w:bottom w:val="single" w:color="000000" w:sz="4" w:space="0"/>
              <w:right w:val="single" w:color="000000" w:sz="4" w:space="0"/>
            </w:tcBorders>
            <w:vAlign w:val="center"/>
          </w:tcPr>
          <w:p w14:paraId="496026E6">
            <w:r>
              <w:rPr>
                <w:rFonts w:hint="eastAsia"/>
              </w:rPr>
              <w:t>53.43</w:t>
            </w:r>
          </w:p>
        </w:tc>
      </w:tr>
      <w:tr w14:paraId="62B52D99">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14:paraId="64B9C793">
            <w:r>
              <w:rPr>
                <w:rFonts w:hint="eastAsia"/>
              </w:rPr>
              <w:t>莆田职业技术学校</w:t>
            </w:r>
          </w:p>
        </w:tc>
        <w:tc>
          <w:tcPr>
            <w:tcW w:w="855" w:type="dxa"/>
            <w:tcBorders>
              <w:top w:val="single" w:color="000000" w:sz="4" w:space="0"/>
              <w:left w:val="single" w:color="000000" w:sz="4" w:space="0"/>
              <w:bottom w:val="single" w:color="000000" w:sz="4" w:space="0"/>
              <w:right w:val="single" w:color="000000" w:sz="4" w:space="0"/>
            </w:tcBorders>
            <w:vAlign w:val="center"/>
          </w:tcPr>
          <w:p w14:paraId="7C5A0625">
            <w:r>
              <w:rPr>
                <w:rFonts w:hint="eastAsia"/>
              </w:rPr>
              <w:t>103.7</w:t>
            </w:r>
          </w:p>
        </w:tc>
        <w:tc>
          <w:tcPr>
            <w:tcW w:w="1125" w:type="dxa"/>
            <w:tcBorders>
              <w:top w:val="single" w:color="000000" w:sz="4" w:space="0"/>
              <w:left w:val="single" w:color="000000" w:sz="4" w:space="0"/>
              <w:bottom w:val="single" w:color="000000" w:sz="4" w:space="0"/>
              <w:right w:val="single" w:color="000000" w:sz="4" w:space="0"/>
            </w:tcBorders>
            <w:vAlign w:val="center"/>
          </w:tcPr>
          <w:p w14:paraId="7E5EB112">
            <w:r>
              <w:rPr>
                <w:rFonts w:hint="eastAsia"/>
              </w:rPr>
              <w:t>100</w:t>
            </w:r>
          </w:p>
        </w:tc>
        <w:tc>
          <w:tcPr>
            <w:tcW w:w="1365" w:type="dxa"/>
            <w:tcBorders>
              <w:top w:val="single" w:color="000000" w:sz="4" w:space="0"/>
              <w:left w:val="single" w:color="000000" w:sz="4" w:space="0"/>
              <w:bottom w:val="single" w:color="000000" w:sz="4" w:space="0"/>
              <w:right w:val="single" w:color="000000" w:sz="4" w:space="0"/>
            </w:tcBorders>
            <w:vAlign w:val="center"/>
          </w:tcPr>
          <w:p w14:paraId="46AAEE95">
            <w:r>
              <w:rPr>
                <w:rFonts w:hint="eastAsia"/>
              </w:rPr>
              <w:t>3.7</w:t>
            </w:r>
          </w:p>
        </w:tc>
        <w:tc>
          <w:tcPr>
            <w:tcW w:w="1080" w:type="dxa"/>
            <w:tcBorders>
              <w:top w:val="single" w:color="000000" w:sz="4" w:space="0"/>
              <w:left w:val="single" w:color="000000" w:sz="4" w:space="0"/>
              <w:bottom w:val="single" w:color="000000" w:sz="4" w:space="0"/>
              <w:right w:val="single" w:color="000000" w:sz="4" w:space="0"/>
            </w:tcBorders>
            <w:vAlign w:val="center"/>
          </w:tcPr>
          <w:p w14:paraId="7488F8DE">
            <w:r>
              <w:rPr>
                <w:rFonts w:hint="eastAsia"/>
              </w:rPr>
              <w:t>103.7</w:t>
            </w:r>
          </w:p>
        </w:tc>
        <w:tc>
          <w:tcPr>
            <w:tcW w:w="975" w:type="dxa"/>
            <w:tcBorders>
              <w:top w:val="single" w:color="000000" w:sz="4" w:space="0"/>
              <w:left w:val="single" w:color="000000" w:sz="4" w:space="0"/>
              <w:bottom w:val="single" w:color="000000" w:sz="4" w:space="0"/>
              <w:right w:val="single" w:color="000000" w:sz="4" w:space="0"/>
            </w:tcBorders>
            <w:vAlign w:val="center"/>
          </w:tcPr>
          <w:p w14:paraId="399AC520">
            <w:r>
              <w:rPr>
                <w:rFonts w:hint="eastAsia"/>
              </w:rPr>
              <w:t>103.7</w:t>
            </w:r>
          </w:p>
        </w:tc>
        <w:tc>
          <w:tcPr>
            <w:tcW w:w="868" w:type="dxa"/>
            <w:tcBorders>
              <w:top w:val="single" w:color="000000" w:sz="4" w:space="0"/>
              <w:left w:val="single" w:color="000000" w:sz="4" w:space="0"/>
              <w:bottom w:val="single" w:color="000000" w:sz="4" w:space="0"/>
              <w:right w:val="single" w:color="000000" w:sz="4" w:space="0"/>
            </w:tcBorders>
            <w:vAlign w:val="center"/>
          </w:tcPr>
          <w:p w14:paraId="5B26D289"/>
        </w:tc>
      </w:tr>
      <w:tr w14:paraId="5E735D40">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14:paraId="2E2DD268">
            <w:r>
              <w:rPr>
                <w:rFonts w:hint="eastAsia"/>
              </w:rPr>
              <w:t>莆田市技工学校</w:t>
            </w:r>
          </w:p>
        </w:tc>
        <w:tc>
          <w:tcPr>
            <w:tcW w:w="855" w:type="dxa"/>
            <w:tcBorders>
              <w:top w:val="single" w:color="000000" w:sz="4" w:space="0"/>
              <w:left w:val="single" w:color="000000" w:sz="4" w:space="0"/>
              <w:bottom w:val="single" w:color="000000" w:sz="4" w:space="0"/>
              <w:right w:val="single" w:color="000000" w:sz="4" w:space="0"/>
            </w:tcBorders>
            <w:vAlign w:val="center"/>
          </w:tcPr>
          <w:p w14:paraId="17298CDD">
            <w:r>
              <w:rPr>
                <w:rFonts w:hint="eastAsia"/>
              </w:rPr>
              <w:t>1.5</w:t>
            </w:r>
          </w:p>
        </w:tc>
        <w:tc>
          <w:tcPr>
            <w:tcW w:w="1125" w:type="dxa"/>
            <w:tcBorders>
              <w:top w:val="single" w:color="000000" w:sz="4" w:space="0"/>
              <w:left w:val="single" w:color="000000" w:sz="4" w:space="0"/>
              <w:bottom w:val="single" w:color="000000" w:sz="4" w:space="0"/>
              <w:right w:val="single" w:color="000000" w:sz="4" w:space="0"/>
            </w:tcBorders>
            <w:vAlign w:val="center"/>
          </w:tcPr>
          <w:p w14:paraId="66B37EAA"/>
        </w:tc>
        <w:tc>
          <w:tcPr>
            <w:tcW w:w="1365" w:type="dxa"/>
            <w:tcBorders>
              <w:top w:val="single" w:color="000000" w:sz="4" w:space="0"/>
              <w:left w:val="single" w:color="000000" w:sz="4" w:space="0"/>
              <w:bottom w:val="single" w:color="000000" w:sz="4" w:space="0"/>
              <w:right w:val="single" w:color="000000" w:sz="4" w:space="0"/>
            </w:tcBorders>
            <w:vAlign w:val="center"/>
          </w:tcPr>
          <w:p w14:paraId="1A45608C">
            <w:r>
              <w:rPr>
                <w:rFonts w:hint="eastAsia"/>
              </w:rPr>
              <w:t>1.5</w:t>
            </w:r>
          </w:p>
        </w:tc>
        <w:tc>
          <w:tcPr>
            <w:tcW w:w="1080" w:type="dxa"/>
            <w:tcBorders>
              <w:top w:val="single" w:color="000000" w:sz="4" w:space="0"/>
              <w:left w:val="single" w:color="000000" w:sz="4" w:space="0"/>
              <w:bottom w:val="single" w:color="000000" w:sz="4" w:space="0"/>
              <w:right w:val="single" w:color="000000" w:sz="4" w:space="0"/>
            </w:tcBorders>
            <w:vAlign w:val="center"/>
          </w:tcPr>
          <w:p w14:paraId="7FF0A1FD">
            <w:r>
              <w:rPr>
                <w:rFonts w:hint="eastAsia"/>
              </w:rPr>
              <w:t>1.5</w:t>
            </w:r>
          </w:p>
        </w:tc>
        <w:tc>
          <w:tcPr>
            <w:tcW w:w="975" w:type="dxa"/>
            <w:tcBorders>
              <w:top w:val="single" w:color="000000" w:sz="4" w:space="0"/>
              <w:left w:val="single" w:color="000000" w:sz="4" w:space="0"/>
              <w:bottom w:val="single" w:color="000000" w:sz="4" w:space="0"/>
              <w:right w:val="single" w:color="000000" w:sz="4" w:space="0"/>
            </w:tcBorders>
            <w:vAlign w:val="center"/>
          </w:tcPr>
          <w:p w14:paraId="637C66C6">
            <w:r>
              <w:rPr>
                <w:rFonts w:hint="eastAsia"/>
              </w:rPr>
              <w:t>1.5</w:t>
            </w:r>
          </w:p>
        </w:tc>
        <w:tc>
          <w:tcPr>
            <w:tcW w:w="868" w:type="dxa"/>
            <w:tcBorders>
              <w:top w:val="single" w:color="000000" w:sz="4" w:space="0"/>
              <w:left w:val="single" w:color="000000" w:sz="4" w:space="0"/>
              <w:bottom w:val="single" w:color="000000" w:sz="4" w:space="0"/>
              <w:right w:val="single" w:color="000000" w:sz="4" w:space="0"/>
            </w:tcBorders>
            <w:vAlign w:val="center"/>
          </w:tcPr>
          <w:p w14:paraId="1F23DCBC"/>
        </w:tc>
      </w:tr>
      <w:tr w14:paraId="0AEA351C">
        <w:tblPrEx>
          <w:tblCellMar>
            <w:top w:w="0" w:type="dxa"/>
            <w:left w:w="108" w:type="dxa"/>
            <w:bottom w:w="0" w:type="dxa"/>
            <w:right w:w="108" w:type="dxa"/>
          </w:tblCellMar>
        </w:tblPrEx>
        <w:trPr>
          <w:trHeight w:val="340" w:hRule="atLeast"/>
        </w:trPr>
        <w:tc>
          <w:tcPr>
            <w:tcW w:w="2550" w:type="dxa"/>
            <w:tcBorders>
              <w:top w:val="nil"/>
              <w:left w:val="nil"/>
              <w:bottom w:val="nil"/>
              <w:right w:val="nil"/>
            </w:tcBorders>
            <w:noWrap/>
            <w:vAlign w:val="center"/>
          </w:tcPr>
          <w:p w14:paraId="3E84B383">
            <w:r>
              <w:rPr>
                <w:rFonts w:hint="eastAsia"/>
              </w:rPr>
              <w:t>莆田市卫生学校</w:t>
            </w:r>
          </w:p>
        </w:tc>
        <w:tc>
          <w:tcPr>
            <w:tcW w:w="855" w:type="dxa"/>
            <w:tcBorders>
              <w:top w:val="single" w:color="000000" w:sz="4" w:space="0"/>
              <w:left w:val="single" w:color="000000" w:sz="4" w:space="0"/>
              <w:bottom w:val="single" w:color="000000" w:sz="4" w:space="0"/>
              <w:right w:val="single" w:color="000000" w:sz="4" w:space="0"/>
            </w:tcBorders>
            <w:vAlign w:val="center"/>
          </w:tcPr>
          <w:p w14:paraId="1C637A5F">
            <w:r>
              <w:rPr>
                <w:rFonts w:hint="eastAsia"/>
              </w:rPr>
              <w:t>1</w:t>
            </w:r>
          </w:p>
        </w:tc>
        <w:tc>
          <w:tcPr>
            <w:tcW w:w="1125" w:type="dxa"/>
            <w:tcBorders>
              <w:top w:val="single" w:color="000000" w:sz="4" w:space="0"/>
              <w:left w:val="single" w:color="000000" w:sz="4" w:space="0"/>
              <w:bottom w:val="single" w:color="000000" w:sz="4" w:space="0"/>
              <w:right w:val="single" w:color="000000" w:sz="4" w:space="0"/>
            </w:tcBorders>
            <w:vAlign w:val="center"/>
          </w:tcPr>
          <w:p w14:paraId="3E96EAF2"/>
        </w:tc>
        <w:tc>
          <w:tcPr>
            <w:tcW w:w="1365" w:type="dxa"/>
            <w:tcBorders>
              <w:top w:val="single" w:color="000000" w:sz="4" w:space="0"/>
              <w:left w:val="single" w:color="000000" w:sz="4" w:space="0"/>
              <w:bottom w:val="single" w:color="000000" w:sz="4" w:space="0"/>
              <w:right w:val="single" w:color="000000" w:sz="4" w:space="0"/>
            </w:tcBorders>
            <w:vAlign w:val="center"/>
          </w:tcPr>
          <w:p w14:paraId="6A73BA1F">
            <w:r>
              <w:rPr>
                <w:rFonts w:hint="eastAsia"/>
              </w:rPr>
              <w:t>1</w:t>
            </w:r>
          </w:p>
        </w:tc>
        <w:tc>
          <w:tcPr>
            <w:tcW w:w="1080" w:type="dxa"/>
            <w:tcBorders>
              <w:top w:val="single" w:color="000000" w:sz="4" w:space="0"/>
              <w:left w:val="single" w:color="000000" w:sz="4" w:space="0"/>
              <w:bottom w:val="single" w:color="000000" w:sz="4" w:space="0"/>
              <w:right w:val="single" w:color="000000" w:sz="4" w:space="0"/>
            </w:tcBorders>
            <w:vAlign w:val="center"/>
          </w:tcPr>
          <w:p w14:paraId="5BCA5063">
            <w:r>
              <w:rPr>
                <w:rFonts w:hint="eastAsia"/>
              </w:rPr>
              <w:t>1</w:t>
            </w:r>
          </w:p>
        </w:tc>
        <w:tc>
          <w:tcPr>
            <w:tcW w:w="975" w:type="dxa"/>
            <w:tcBorders>
              <w:top w:val="single" w:color="000000" w:sz="4" w:space="0"/>
              <w:left w:val="single" w:color="000000" w:sz="4" w:space="0"/>
              <w:bottom w:val="single" w:color="000000" w:sz="4" w:space="0"/>
              <w:right w:val="single" w:color="000000" w:sz="4" w:space="0"/>
            </w:tcBorders>
            <w:vAlign w:val="center"/>
          </w:tcPr>
          <w:p w14:paraId="734E5623">
            <w:r>
              <w:rPr>
                <w:rFonts w:hint="eastAsia"/>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5DDDD263"/>
        </w:tc>
      </w:tr>
      <w:tr w14:paraId="05CC17D6">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14:paraId="6244D1FC">
            <w:r>
              <w:rPr>
                <w:rFonts w:hint="eastAsia"/>
              </w:rPr>
              <w:t>莆田市职业技术教育中心</w:t>
            </w:r>
          </w:p>
        </w:tc>
        <w:tc>
          <w:tcPr>
            <w:tcW w:w="855" w:type="dxa"/>
            <w:tcBorders>
              <w:top w:val="single" w:color="000000" w:sz="4" w:space="0"/>
              <w:left w:val="single" w:color="000000" w:sz="4" w:space="0"/>
              <w:bottom w:val="single" w:color="000000" w:sz="4" w:space="0"/>
              <w:right w:val="single" w:color="000000" w:sz="4" w:space="0"/>
            </w:tcBorders>
            <w:vAlign w:val="center"/>
          </w:tcPr>
          <w:p w14:paraId="546A98BF">
            <w:r>
              <w:rPr>
                <w:rFonts w:hint="eastAsia"/>
              </w:rPr>
              <w:t>15</w:t>
            </w:r>
          </w:p>
        </w:tc>
        <w:tc>
          <w:tcPr>
            <w:tcW w:w="1125" w:type="dxa"/>
            <w:tcBorders>
              <w:top w:val="single" w:color="000000" w:sz="4" w:space="0"/>
              <w:left w:val="single" w:color="000000" w:sz="4" w:space="0"/>
              <w:bottom w:val="single" w:color="000000" w:sz="4" w:space="0"/>
              <w:right w:val="single" w:color="000000" w:sz="4" w:space="0"/>
            </w:tcBorders>
            <w:vAlign w:val="center"/>
          </w:tcPr>
          <w:p w14:paraId="3630A37A"/>
        </w:tc>
        <w:tc>
          <w:tcPr>
            <w:tcW w:w="1365" w:type="dxa"/>
            <w:tcBorders>
              <w:top w:val="single" w:color="000000" w:sz="4" w:space="0"/>
              <w:left w:val="single" w:color="000000" w:sz="4" w:space="0"/>
              <w:bottom w:val="single" w:color="000000" w:sz="4" w:space="0"/>
              <w:right w:val="single" w:color="000000" w:sz="4" w:space="0"/>
            </w:tcBorders>
            <w:vAlign w:val="center"/>
          </w:tcPr>
          <w:p w14:paraId="02E760EF"/>
        </w:tc>
        <w:tc>
          <w:tcPr>
            <w:tcW w:w="1080" w:type="dxa"/>
            <w:tcBorders>
              <w:top w:val="single" w:color="000000" w:sz="4" w:space="0"/>
              <w:left w:val="single" w:color="000000" w:sz="4" w:space="0"/>
              <w:bottom w:val="single" w:color="000000" w:sz="4" w:space="0"/>
              <w:right w:val="single" w:color="000000" w:sz="4" w:space="0"/>
            </w:tcBorders>
            <w:vAlign w:val="center"/>
          </w:tcPr>
          <w:p w14:paraId="6F1CC1BA">
            <w:r>
              <w:rPr>
                <w:rFonts w:hint="eastAsia"/>
              </w:rPr>
              <w:t>15</w:t>
            </w:r>
          </w:p>
        </w:tc>
        <w:tc>
          <w:tcPr>
            <w:tcW w:w="975" w:type="dxa"/>
            <w:tcBorders>
              <w:top w:val="single" w:color="000000" w:sz="4" w:space="0"/>
              <w:left w:val="single" w:color="000000" w:sz="4" w:space="0"/>
              <w:bottom w:val="single" w:color="000000" w:sz="4" w:space="0"/>
              <w:right w:val="single" w:color="000000" w:sz="4" w:space="0"/>
            </w:tcBorders>
            <w:vAlign w:val="center"/>
          </w:tcPr>
          <w:p w14:paraId="1B95076B">
            <w:r>
              <w:rPr>
                <w:rFonts w:hint="eastAsia"/>
              </w:rPr>
              <w:t>15</w:t>
            </w:r>
          </w:p>
        </w:tc>
        <w:tc>
          <w:tcPr>
            <w:tcW w:w="868" w:type="dxa"/>
            <w:tcBorders>
              <w:top w:val="single" w:color="000000" w:sz="4" w:space="0"/>
              <w:left w:val="single" w:color="000000" w:sz="4" w:space="0"/>
              <w:bottom w:val="single" w:color="000000" w:sz="4" w:space="0"/>
              <w:right w:val="single" w:color="000000" w:sz="4" w:space="0"/>
            </w:tcBorders>
            <w:vAlign w:val="center"/>
          </w:tcPr>
          <w:p w14:paraId="47874D22"/>
        </w:tc>
      </w:tr>
      <w:tr w14:paraId="51B66950">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14:paraId="02E33817">
            <w:r>
              <w:rPr>
                <w:rFonts w:hint="eastAsia"/>
              </w:rPr>
              <w:t>仙游职业中专学校</w:t>
            </w:r>
          </w:p>
        </w:tc>
        <w:tc>
          <w:tcPr>
            <w:tcW w:w="855" w:type="dxa"/>
            <w:tcBorders>
              <w:top w:val="single" w:color="000000" w:sz="4" w:space="0"/>
              <w:left w:val="single" w:color="000000" w:sz="4" w:space="0"/>
              <w:bottom w:val="single" w:color="000000" w:sz="4" w:space="0"/>
              <w:right w:val="single" w:color="000000" w:sz="4" w:space="0"/>
            </w:tcBorders>
            <w:vAlign w:val="center"/>
          </w:tcPr>
          <w:p w14:paraId="1F6F56CB">
            <w:r>
              <w:rPr>
                <w:rFonts w:hint="eastAsia"/>
              </w:rPr>
              <w:t>1</w:t>
            </w:r>
          </w:p>
        </w:tc>
        <w:tc>
          <w:tcPr>
            <w:tcW w:w="1125" w:type="dxa"/>
            <w:tcBorders>
              <w:top w:val="single" w:color="000000" w:sz="4" w:space="0"/>
              <w:left w:val="single" w:color="000000" w:sz="4" w:space="0"/>
              <w:bottom w:val="single" w:color="000000" w:sz="4" w:space="0"/>
              <w:right w:val="single" w:color="000000" w:sz="4" w:space="0"/>
            </w:tcBorders>
            <w:vAlign w:val="center"/>
          </w:tcPr>
          <w:p w14:paraId="03BF74C9"/>
        </w:tc>
        <w:tc>
          <w:tcPr>
            <w:tcW w:w="1365" w:type="dxa"/>
            <w:tcBorders>
              <w:top w:val="single" w:color="000000" w:sz="4" w:space="0"/>
              <w:left w:val="single" w:color="000000" w:sz="4" w:space="0"/>
              <w:bottom w:val="single" w:color="000000" w:sz="4" w:space="0"/>
              <w:right w:val="single" w:color="000000" w:sz="4" w:space="0"/>
            </w:tcBorders>
            <w:vAlign w:val="center"/>
          </w:tcPr>
          <w:p w14:paraId="16AD803C">
            <w:r>
              <w:rPr>
                <w:rFonts w:hint="eastAsia"/>
              </w:rPr>
              <w:t>1</w:t>
            </w:r>
          </w:p>
        </w:tc>
        <w:tc>
          <w:tcPr>
            <w:tcW w:w="1080" w:type="dxa"/>
            <w:tcBorders>
              <w:top w:val="single" w:color="000000" w:sz="4" w:space="0"/>
              <w:left w:val="single" w:color="000000" w:sz="4" w:space="0"/>
              <w:bottom w:val="single" w:color="000000" w:sz="4" w:space="0"/>
              <w:right w:val="single" w:color="000000" w:sz="4" w:space="0"/>
            </w:tcBorders>
            <w:vAlign w:val="center"/>
          </w:tcPr>
          <w:p w14:paraId="440F4191">
            <w:r>
              <w:rPr>
                <w:rFonts w:hint="eastAsia"/>
              </w:rPr>
              <w:t>1</w:t>
            </w:r>
          </w:p>
        </w:tc>
        <w:tc>
          <w:tcPr>
            <w:tcW w:w="975" w:type="dxa"/>
            <w:tcBorders>
              <w:top w:val="single" w:color="000000" w:sz="4" w:space="0"/>
              <w:left w:val="single" w:color="000000" w:sz="4" w:space="0"/>
              <w:bottom w:val="single" w:color="000000" w:sz="4" w:space="0"/>
              <w:right w:val="single" w:color="000000" w:sz="4" w:space="0"/>
            </w:tcBorders>
            <w:vAlign w:val="center"/>
          </w:tcPr>
          <w:p w14:paraId="2A174419">
            <w:r>
              <w:rPr>
                <w:rFonts w:hint="eastAsia"/>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748F8279"/>
        </w:tc>
      </w:tr>
      <w:tr w14:paraId="4A6FECD0">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14:paraId="5873C04F">
            <w:r>
              <w:rPr>
                <w:rFonts w:hint="eastAsia"/>
              </w:rPr>
              <w:t>仙游华侨职业中专学校</w:t>
            </w:r>
          </w:p>
        </w:tc>
        <w:tc>
          <w:tcPr>
            <w:tcW w:w="855" w:type="dxa"/>
            <w:tcBorders>
              <w:top w:val="single" w:color="000000" w:sz="4" w:space="0"/>
              <w:left w:val="single" w:color="000000" w:sz="4" w:space="0"/>
              <w:bottom w:val="single" w:color="000000" w:sz="4" w:space="0"/>
              <w:right w:val="single" w:color="000000" w:sz="4" w:space="0"/>
            </w:tcBorders>
            <w:vAlign w:val="center"/>
          </w:tcPr>
          <w:p w14:paraId="28CF4CA2">
            <w:r>
              <w:rPr>
                <w:rFonts w:hint="eastAsia"/>
              </w:rPr>
              <w:t>0.5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AB7BC6E"/>
        </w:tc>
        <w:tc>
          <w:tcPr>
            <w:tcW w:w="1365" w:type="dxa"/>
            <w:tcBorders>
              <w:top w:val="single" w:color="000000" w:sz="4" w:space="0"/>
              <w:left w:val="single" w:color="000000" w:sz="4" w:space="0"/>
              <w:bottom w:val="single" w:color="000000" w:sz="4" w:space="0"/>
              <w:right w:val="single" w:color="000000" w:sz="4" w:space="0"/>
            </w:tcBorders>
            <w:noWrap/>
            <w:vAlign w:val="center"/>
          </w:tcPr>
          <w:p w14:paraId="6174640B">
            <w:r>
              <w:rPr>
                <w:rFonts w:hint="eastAsia"/>
              </w:rPr>
              <w:t>0.5</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FBB8C4D">
            <w:r>
              <w:rPr>
                <w:rFonts w:hint="eastAsia"/>
              </w:rPr>
              <w:t>0.5</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6DA3447">
            <w:r>
              <w:rPr>
                <w:rFonts w:hint="eastAsia"/>
              </w:rPr>
              <w:t>0.5</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50120F24"/>
        </w:tc>
      </w:tr>
      <w:tr w14:paraId="41141ECF">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14:paraId="690E4D8F">
            <w:r>
              <w:rPr>
                <w:rFonts w:hint="eastAsia"/>
              </w:rPr>
              <w:t>莆田科技职业技术学校</w:t>
            </w:r>
          </w:p>
        </w:tc>
        <w:tc>
          <w:tcPr>
            <w:tcW w:w="855" w:type="dxa"/>
            <w:tcBorders>
              <w:top w:val="single" w:color="000000" w:sz="4" w:space="0"/>
              <w:left w:val="single" w:color="000000" w:sz="4" w:space="0"/>
              <w:bottom w:val="single" w:color="000000" w:sz="4" w:space="0"/>
              <w:right w:val="single" w:color="000000" w:sz="4" w:space="0"/>
            </w:tcBorders>
            <w:vAlign w:val="center"/>
          </w:tcPr>
          <w:p w14:paraId="3F985AD7">
            <w:r>
              <w:rPr>
                <w:rFonts w:hint="eastAsia"/>
              </w:rPr>
              <w:t>1.5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53A94E3"/>
        </w:tc>
        <w:tc>
          <w:tcPr>
            <w:tcW w:w="1365" w:type="dxa"/>
            <w:tcBorders>
              <w:top w:val="single" w:color="000000" w:sz="4" w:space="0"/>
              <w:left w:val="single" w:color="000000" w:sz="4" w:space="0"/>
              <w:bottom w:val="single" w:color="000000" w:sz="4" w:space="0"/>
              <w:right w:val="single" w:color="000000" w:sz="4" w:space="0"/>
            </w:tcBorders>
            <w:noWrap/>
            <w:vAlign w:val="center"/>
          </w:tcPr>
          <w:p w14:paraId="29CC16F4">
            <w:r>
              <w:rPr>
                <w:rFonts w:hint="eastAsia"/>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7AEBB38">
            <w:r>
              <w:rPr>
                <w:rFonts w:hint="eastAsia"/>
              </w:rPr>
              <w:t>1.5</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E04B2AA">
            <w:r>
              <w:rPr>
                <w:rFonts w:hint="eastAsia"/>
              </w:rPr>
              <w:t>1.5</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271AD49B"/>
        </w:tc>
      </w:tr>
      <w:tr w14:paraId="4628CC5D">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noWrap/>
            <w:vAlign w:val="center"/>
          </w:tcPr>
          <w:p w14:paraId="561ABEE9">
            <w:r>
              <w:rPr>
                <w:rFonts w:hint="eastAsia"/>
              </w:rPr>
              <w:t>莆田海峡职业中专学校</w:t>
            </w:r>
          </w:p>
        </w:tc>
        <w:tc>
          <w:tcPr>
            <w:tcW w:w="855" w:type="dxa"/>
            <w:tcBorders>
              <w:top w:val="single" w:color="000000" w:sz="4" w:space="0"/>
              <w:left w:val="single" w:color="000000" w:sz="4" w:space="0"/>
              <w:bottom w:val="single" w:color="000000" w:sz="4" w:space="0"/>
              <w:right w:val="single" w:color="000000" w:sz="4" w:space="0"/>
            </w:tcBorders>
            <w:vAlign w:val="center"/>
          </w:tcPr>
          <w:p w14:paraId="066C0971">
            <w:r>
              <w:rPr>
                <w:rFonts w:hint="eastAsia"/>
              </w:rPr>
              <w:t>0.5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5457FBA"/>
        </w:tc>
        <w:tc>
          <w:tcPr>
            <w:tcW w:w="1365" w:type="dxa"/>
            <w:tcBorders>
              <w:top w:val="single" w:color="000000" w:sz="4" w:space="0"/>
              <w:left w:val="single" w:color="000000" w:sz="4" w:space="0"/>
              <w:bottom w:val="single" w:color="000000" w:sz="4" w:space="0"/>
              <w:right w:val="single" w:color="000000" w:sz="4" w:space="0"/>
            </w:tcBorders>
            <w:noWrap/>
            <w:vAlign w:val="center"/>
          </w:tcPr>
          <w:p w14:paraId="6E6AA507">
            <w:r>
              <w:rPr>
                <w:rFonts w:hint="eastAsia"/>
              </w:rPr>
              <w:t>0.5</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F8F0A4C">
            <w:r>
              <w:rPr>
                <w:rFonts w:hint="eastAsia"/>
              </w:rPr>
              <w:t>0.5</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5C899AF">
            <w:r>
              <w:rPr>
                <w:rFonts w:hint="eastAsia"/>
              </w:rPr>
              <w:t>0.5</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427B36AB"/>
        </w:tc>
      </w:tr>
      <w:tr w14:paraId="6B18829B">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14:paraId="2D347FA3">
            <w:r>
              <w:rPr>
                <w:rFonts w:hint="eastAsia"/>
              </w:rPr>
              <w:t>莆田华侨职业中专学校</w:t>
            </w:r>
          </w:p>
        </w:tc>
        <w:tc>
          <w:tcPr>
            <w:tcW w:w="855" w:type="dxa"/>
            <w:tcBorders>
              <w:top w:val="single" w:color="000000" w:sz="4" w:space="0"/>
              <w:left w:val="single" w:color="000000" w:sz="4" w:space="0"/>
              <w:bottom w:val="single" w:color="000000" w:sz="4" w:space="0"/>
              <w:right w:val="single" w:color="000000" w:sz="4" w:space="0"/>
            </w:tcBorders>
            <w:vAlign w:val="center"/>
          </w:tcPr>
          <w:p w14:paraId="0DB6E543">
            <w:r>
              <w:rPr>
                <w:rFonts w:hint="eastAsia"/>
              </w:rPr>
              <w:t>5.5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AC01527"/>
        </w:tc>
        <w:tc>
          <w:tcPr>
            <w:tcW w:w="1365" w:type="dxa"/>
            <w:tcBorders>
              <w:top w:val="single" w:color="000000" w:sz="4" w:space="0"/>
              <w:left w:val="single" w:color="000000" w:sz="4" w:space="0"/>
              <w:bottom w:val="single" w:color="000000" w:sz="4" w:space="0"/>
              <w:right w:val="single" w:color="000000" w:sz="4" w:space="0"/>
            </w:tcBorders>
            <w:noWrap/>
            <w:vAlign w:val="center"/>
          </w:tcPr>
          <w:p w14:paraId="0498FED1">
            <w:r>
              <w:rPr>
                <w:rFonts w:hint="eastAsia"/>
              </w:rPr>
              <w:t>5.5</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DDCAB28">
            <w:r>
              <w:rPr>
                <w:rFonts w:hint="eastAsia"/>
              </w:rPr>
              <w:t>5.5</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54F194A">
            <w:r>
              <w:rPr>
                <w:rFonts w:hint="eastAsia"/>
              </w:rPr>
              <w:t>5.5</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7E1A9874"/>
        </w:tc>
      </w:tr>
      <w:tr w14:paraId="5788A2BC">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noWrap/>
            <w:vAlign w:val="center"/>
          </w:tcPr>
          <w:p w14:paraId="1C50C7EB">
            <w:r>
              <w:rPr>
                <w:rFonts w:hint="eastAsia"/>
              </w:rPr>
              <w:t>合计</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D32F1C5">
            <w:r>
              <w:rPr>
                <w:rFonts w:hint="eastAsia"/>
              </w:rPr>
              <w:t>530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B53E68E">
            <w:r>
              <w:rPr>
                <w:rFonts w:hint="eastAsia"/>
              </w:rPr>
              <w:t>400</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52CF547C">
            <w:r>
              <w:rPr>
                <w:rFonts w:hint="eastAsia"/>
              </w:rPr>
              <w:t>41.1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A22BF8B">
            <w:r>
              <w:rPr>
                <w:rFonts w:hint="eastAsia"/>
              </w:rPr>
              <w:t>530</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D651208">
            <w:r>
              <w:rPr>
                <w:rFonts w:hint="eastAsia"/>
              </w:rPr>
              <w:t>476.57</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0E45CF51"/>
        </w:tc>
      </w:tr>
    </w:tbl>
    <w:p w14:paraId="0C128D08">
      <w:pPr>
        <w:ind w:firstLine="420" w:firstLineChars="200"/>
      </w:pPr>
      <w:r>
        <w:rPr>
          <w:rFonts w:hint="eastAsia"/>
        </w:rPr>
        <w:t>2020年职业教育专项补助资金540万元，资金实际到位540万元，实际支出金额535.2万元，结余4.8万元，财政已收回，预算实际执行率为97%。项目期限为2020年1月1日至2020年12月31日。</w:t>
      </w:r>
    </w:p>
    <w:p w14:paraId="3D0EA81E">
      <w:pPr>
        <w:ind w:firstLine="420" w:firstLineChars="200"/>
      </w:pPr>
      <w:r>
        <w:rPr>
          <w:rFonts w:hint="eastAsia"/>
        </w:rPr>
        <w:t>表3  2020年第一批职业教育专项补助经费明细表        单位：万元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1200"/>
        <w:gridCol w:w="1097"/>
        <w:gridCol w:w="914"/>
        <w:gridCol w:w="1139"/>
        <w:gridCol w:w="782"/>
        <w:gridCol w:w="945"/>
        <w:gridCol w:w="741"/>
      </w:tblGrid>
      <w:tr w14:paraId="7E83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vMerge w:val="restart"/>
            <w:vAlign w:val="center"/>
          </w:tcPr>
          <w:p w14:paraId="303FB459">
            <w:r>
              <w:rPr>
                <w:rFonts w:hint="eastAsia"/>
              </w:rPr>
              <w:t>学校名称</w:t>
            </w:r>
          </w:p>
        </w:tc>
        <w:tc>
          <w:tcPr>
            <w:tcW w:w="5132" w:type="dxa"/>
            <w:gridSpan w:val="5"/>
            <w:vAlign w:val="center"/>
          </w:tcPr>
          <w:p w14:paraId="09444796">
            <w:r>
              <w:rPr>
                <w:rFonts w:hint="eastAsia"/>
              </w:rPr>
              <w:t>预算下达数</w:t>
            </w:r>
          </w:p>
        </w:tc>
        <w:tc>
          <w:tcPr>
            <w:tcW w:w="945" w:type="dxa"/>
            <w:vMerge w:val="restart"/>
            <w:vAlign w:val="center"/>
          </w:tcPr>
          <w:p w14:paraId="7CCDC2B8">
            <w:r>
              <w:rPr>
                <w:rFonts w:hint="eastAsia"/>
              </w:rPr>
              <w:t>实际支出数</w:t>
            </w:r>
          </w:p>
        </w:tc>
        <w:tc>
          <w:tcPr>
            <w:tcW w:w="741" w:type="dxa"/>
            <w:vMerge w:val="restart"/>
            <w:vAlign w:val="center"/>
          </w:tcPr>
          <w:p w14:paraId="3C7F018B">
            <w:r>
              <w:rPr>
                <w:rFonts w:hint="eastAsia"/>
              </w:rPr>
              <w:t>结余</w:t>
            </w:r>
          </w:p>
        </w:tc>
      </w:tr>
      <w:tr w14:paraId="6817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vMerge w:val="continue"/>
            <w:vAlign w:val="center"/>
          </w:tcPr>
          <w:p w14:paraId="2F485764"/>
        </w:tc>
        <w:tc>
          <w:tcPr>
            <w:tcW w:w="1200" w:type="dxa"/>
            <w:vAlign w:val="center"/>
          </w:tcPr>
          <w:p w14:paraId="2209C2E5">
            <w:r>
              <w:rPr>
                <w:rFonts w:hint="eastAsia"/>
              </w:rPr>
              <w:t>省级示范校建设及PPP项目补助</w:t>
            </w:r>
          </w:p>
        </w:tc>
        <w:tc>
          <w:tcPr>
            <w:tcW w:w="1097" w:type="dxa"/>
            <w:vAlign w:val="center"/>
          </w:tcPr>
          <w:p w14:paraId="0A4AA7B0">
            <w:r>
              <w:rPr>
                <w:rFonts w:hint="eastAsia"/>
              </w:rPr>
              <w:t>实训设备及技能大赛经费</w:t>
            </w:r>
          </w:p>
        </w:tc>
        <w:tc>
          <w:tcPr>
            <w:tcW w:w="914" w:type="dxa"/>
            <w:vAlign w:val="center"/>
          </w:tcPr>
          <w:p w14:paraId="5D209768">
            <w:r>
              <w:rPr>
                <w:rFonts w:hint="eastAsia"/>
              </w:rPr>
              <w:t>中职教师培训经费</w:t>
            </w:r>
          </w:p>
        </w:tc>
        <w:tc>
          <w:tcPr>
            <w:tcW w:w="1139" w:type="dxa"/>
            <w:vAlign w:val="center"/>
          </w:tcPr>
          <w:p w14:paraId="347B0DBA">
            <w:r>
              <w:rPr>
                <w:rFonts w:hint="eastAsia"/>
              </w:rPr>
              <w:t>2020年技能大赛及职教宣传经费</w:t>
            </w:r>
          </w:p>
        </w:tc>
        <w:tc>
          <w:tcPr>
            <w:tcW w:w="782" w:type="dxa"/>
            <w:vAlign w:val="center"/>
          </w:tcPr>
          <w:p w14:paraId="226ED750">
            <w:r>
              <w:rPr>
                <w:rFonts w:hint="eastAsia"/>
              </w:rPr>
              <w:t>合计数</w:t>
            </w:r>
          </w:p>
        </w:tc>
        <w:tc>
          <w:tcPr>
            <w:tcW w:w="945" w:type="dxa"/>
            <w:vMerge w:val="continue"/>
            <w:vAlign w:val="center"/>
          </w:tcPr>
          <w:p w14:paraId="0F764BEC"/>
        </w:tc>
        <w:tc>
          <w:tcPr>
            <w:tcW w:w="741" w:type="dxa"/>
            <w:vMerge w:val="continue"/>
            <w:vAlign w:val="center"/>
          </w:tcPr>
          <w:p w14:paraId="6BF1AFC8"/>
        </w:tc>
      </w:tr>
      <w:tr w14:paraId="5190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326" w:type="dxa"/>
            <w:vAlign w:val="center"/>
          </w:tcPr>
          <w:p w14:paraId="366BBA89">
            <w:r>
              <w:rPr>
                <w:rFonts w:hint="eastAsia"/>
              </w:rPr>
              <w:t>湄洲湾职业技术学校</w:t>
            </w:r>
          </w:p>
        </w:tc>
        <w:tc>
          <w:tcPr>
            <w:tcW w:w="1200" w:type="dxa"/>
            <w:vAlign w:val="center"/>
          </w:tcPr>
          <w:p w14:paraId="6C451D9C"/>
        </w:tc>
        <w:tc>
          <w:tcPr>
            <w:tcW w:w="1097" w:type="dxa"/>
            <w:vAlign w:val="center"/>
          </w:tcPr>
          <w:p w14:paraId="29C38622">
            <w:r>
              <w:rPr>
                <w:rFonts w:hint="eastAsia"/>
              </w:rPr>
              <w:t>140.00</w:t>
            </w:r>
          </w:p>
        </w:tc>
        <w:tc>
          <w:tcPr>
            <w:tcW w:w="914" w:type="dxa"/>
            <w:vAlign w:val="center"/>
          </w:tcPr>
          <w:p w14:paraId="53217C5B">
            <w:r>
              <w:rPr>
                <w:rFonts w:hint="eastAsia"/>
              </w:rPr>
              <w:t>10.00</w:t>
            </w:r>
          </w:p>
        </w:tc>
        <w:tc>
          <w:tcPr>
            <w:tcW w:w="1139" w:type="dxa"/>
            <w:vAlign w:val="center"/>
          </w:tcPr>
          <w:p w14:paraId="0003CD57"/>
        </w:tc>
        <w:tc>
          <w:tcPr>
            <w:tcW w:w="782" w:type="dxa"/>
            <w:vAlign w:val="center"/>
          </w:tcPr>
          <w:p w14:paraId="2BCA864C">
            <w:r>
              <w:rPr>
                <w:rFonts w:hint="eastAsia"/>
              </w:rPr>
              <w:t>150.00</w:t>
            </w:r>
          </w:p>
        </w:tc>
        <w:tc>
          <w:tcPr>
            <w:tcW w:w="945" w:type="dxa"/>
            <w:vAlign w:val="center"/>
          </w:tcPr>
          <w:p w14:paraId="593BD75A">
            <w:r>
              <w:rPr>
                <w:rFonts w:hint="eastAsia"/>
              </w:rPr>
              <w:t>150.00</w:t>
            </w:r>
          </w:p>
        </w:tc>
        <w:tc>
          <w:tcPr>
            <w:tcW w:w="741" w:type="dxa"/>
            <w:vAlign w:val="center"/>
          </w:tcPr>
          <w:p w14:paraId="77FDC9DB">
            <w:r>
              <w:rPr>
                <w:rFonts w:hint="eastAsia"/>
              </w:rPr>
              <w:t>0</w:t>
            </w:r>
          </w:p>
        </w:tc>
      </w:tr>
      <w:tr w14:paraId="391F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326" w:type="dxa"/>
            <w:vAlign w:val="center"/>
          </w:tcPr>
          <w:p w14:paraId="51E1DE39">
            <w:r>
              <w:rPr>
                <w:rFonts w:hint="eastAsia"/>
              </w:rPr>
              <w:t>莆田职业技术学校</w:t>
            </w:r>
          </w:p>
        </w:tc>
        <w:tc>
          <w:tcPr>
            <w:tcW w:w="1200" w:type="dxa"/>
            <w:vAlign w:val="center"/>
          </w:tcPr>
          <w:p w14:paraId="61B0C91E">
            <w:r>
              <w:rPr>
                <w:rFonts w:hint="eastAsia"/>
              </w:rPr>
              <w:t>320.00</w:t>
            </w:r>
          </w:p>
        </w:tc>
        <w:tc>
          <w:tcPr>
            <w:tcW w:w="1097" w:type="dxa"/>
            <w:vAlign w:val="center"/>
          </w:tcPr>
          <w:p w14:paraId="40BEA66B"/>
        </w:tc>
        <w:tc>
          <w:tcPr>
            <w:tcW w:w="914" w:type="dxa"/>
            <w:vAlign w:val="center"/>
          </w:tcPr>
          <w:p w14:paraId="303BE43D"/>
        </w:tc>
        <w:tc>
          <w:tcPr>
            <w:tcW w:w="1139" w:type="dxa"/>
            <w:vAlign w:val="center"/>
          </w:tcPr>
          <w:p w14:paraId="12792959"/>
        </w:tc>
        <w:tc>
          <w:tcPr>
            <w:tcW w:w="782" w:type="dxa"/>
            <w:vAlign w:val="center"/>
          </w:tcPr>
          <w:p w14:paraId="6D547A2E">
            <w:r>
              <w:rPr>
                <w:rFonts w:hint="eastAsia"/>
              </w:rPr>
              <w:t>320.00</w:t>
            </w:r>
          </w:p>
        </w:tc>
        <w:tc>
          <w:tcPr>
            <w:tcW w:w="945" w:type="dxa"/>
            <w:vAlign w:val="center"/>
          </w:tcPr>
          <w:p w14:paraId="147694B3">
            <w:r>
              <w:rPr>
                <w:rFonts w:hint="eastAsia"/>
              </w:rPr>
              <w:t>315.2</w:t>
            </w:r>
          </w:p>
        </w:tc>
        <w:tc>
          <w:tcPr>
            <w:tcW w:w="741" w:type="dxa"/>
            <w:vAlign w:val="center"/>
          </w:tcPr>
          <w:p w14:paraId="505791A8">
            <w:r>
              <w:rPr>
                <w:rFonts w:hint="eastAsia"/>
              </w:rPr>
              <w:t>4.80</w:t>
            </w:r>
          </w:p>
        </w:tc>
      </w:tr>
      <w:tr w14:paraId="67B4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326" w:type="dxa"/>
            <w:vAlign w:val="center"/>
          </w:tcPr>
          <w:p w14:paraId="23B7E17B">
            <w:r>
              <w:rPr>
                <w:rFonts w:hint="eastAsia"/>
              </w:rPr>
              <w:t>莆田市职业技术教育中心</w:t>
            </w:r>
          </w:p>
        </w:tc>
        <w:tc>
          <w:tcPr>
            <w:tcW w:w="1200" w:type="dxa"/>
            <w:vAlign w:val="center"/>
          </w:tcPr>
          <w:p w14:paraId="67530B20"/>
        </w:tc>
        <w:tc>
          <w:tcPr>
            <w:tcW w:w="1097" w:type="dxa"/>
            <w:vAlign w:val="center"/>
          </w:tcPr>
          <w:p w14:paraId="5A564415"/>
        </w:tc>
        <w:tc>
          <w:tcPr>
            <w:tcW w:w="914" w:type="dxa"/>
            <w:vAlign w:val="center"/>
          </w:tcPr>
          <w:p w14:paraId="5BC55E39"/>
        </w:tc>
        <w:tc>
          <w:tcPr>
            <w:tcW w:w="1139" w:type="dxa"/>
            <w:vAlign w:val="center"/>
          </w:tcPr>
          <w:p w14:paraId="17186DD7">
            <w:r>
              <w:rPr>
                <w:rFonts w:hint="eastAsia"/>
              </w:rPr>
              <w:t>21.80</w:t>
            </w:r>
          </w:p>
        </w:tc>
        <w:tc>
          <w:tcPr>
            <w:tcW w:w="782" w:type="dxa"/>
            <w:vAlign w:val="center"/>
          </w:tcPr>
          <w:p w14:paraId="3628A264">
            <w:r>
              <w:rPr>
                <w:rFonts w:hint="eastAsia"/>
              </w:rPr>
              <w:t>21.80</w:t>
            </w:r>
          </w:p>
        </w:tc>
        <w:tc>
          <w:tcPr>
            <w:tcW w:w="945" w:type="dxa"/>
            <w:vAlign w:val="center"/>
          </w:tcPr>
          <w:p w14:paraId="318C8275">
            <w:r>
              <w:rPr>
                <w:rFonts w:hint="eastAsia"/>
              </w:rPr>
              <w:t>21.80</w:t>
            </w:r>
          </w:p>
        </w:tc>
        <w:tc>
          <w:tcPr>
            <w:tcW w:w="741" w:type="dxa"/>
            <w:vAlign w:val="center"/>
          </w:tcPr>
          <w:p w14:paraId="7C37414B">
            <w:r>
              <w:rPr>
                <w:rFonts w:hint="eastAsia"/>
              </w:rPr>
              <w:t>0</w:t>
            </w:r>
          </w:p>
        </w:tc>
      </w:tr>
      <w:tr w14:paraId="7C38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326" w:type="dxa"/>
            <w:vAlign w:val="center"/>
          </w:tcPr>
          <w:p w14:paraId="39D0E155">
            <w:r>
              <w:rPr>
                <w:rFonts w:hint="eastAsia"/>
              </w:rPr>
              <w:t>合计</w:t>
            </w:r>
          </w:p>
        </w:tc>
        <w:tc>
          <w:tcPr>
            <w:tcW w:w="1200" w:type="dxa"/>
            <w:vAlign w:val="center"/>
          </w:tcPr>
          <w:p w14:paraId="393A7540">
            <w:r>
              <w:rPr>
                <w:rFonts w:hint="eastAsia"/>
              </w:rPr>
              <w:t>320.00</w:t>
            </w:r>
          </w:p>
        </w:tc>
        <w:tc>
          <w:tcPr>
            <w:tcW w:w="1097" w:type="dxa"/>
            <w:vAlign w:val="center"/>
          </w:tcPr>
          <w:p w14:paraId="78E23234">
            <w:r>
              <w:rPr>
                <w:rFonts w:hint="eastAsia"/>
              </w:rPr>
              <w:t>140.00</w:t>
            </w:r>
          </w:p>
        </w:tc>
        <w:tc>
          <w:tcPr>
            <w:tcW w:w="914" w:type="dxa"/>
            <w:vAlign w:val="center"/>
          </w:tcPr>
          <w:p w14:paraId="3516843B">
            <w:r>
              <w:rPr>
                <w:rFonts w:hint="eastAsia"/>
              </w:rPr>
              <w:t>10.00</w:t>
            </w:r>
          </w:p>
        </w:tc>
        <w:tc>
          <w:tcPr>
            <w:tcW w:w="1139" w:type="dxa"/>
            <w:vAlign w:val="center"/>
          </w:tcPr>
          <w:p w14:paraId="566A5F84">
            <w:r>
              <w:rPr>
                <w:rFonts w:hint="eastAsia"/>
              </w:rPr>
              <w:t>21.80</w:t>
            </w:r>
          </w:p>
        </w:tc>
        <w:tc>
          <w:tcPr>
            <w:tcW w:w="782" w:type="dxa"/>
            <w:vAlign w:val="center"/>
          </w:tcPr>
          <w:p w14:paraId="0DC4F039">
            <w:r>
              <w:rPr>
                <w:rFonts w:hint="eastAsia"/>
              </w:rPr>
              <w:t>491.80</w:t>
            </w:r>
          </w:p>
        </w:tc>
        <w:tc>
          <w:tcPr>
            <w:tcW w:w="945" w:type="dxa"/>
            <w:vAlign w:val="center"/>
          </w:tcPr>
          <w:p w14:paraId="77D0E84F">
            <w:r>
              <w:rPr>
                <w:rFonts w:hint="eastAsia"/>
              </w:rPr>
              <w:t>487.00</w:t>
            </w:r>
          </w:p>
        </w:tc>
        <w:tc>
          <w:tcPr>
            <w:tcW w:w="741" w:type="dxa"/>
            <w:vAlign w:val="center"/>
          </w:tcPr>
          <w:p w14:paraId="02059937">
            <w:r>
              <w:rPr>
                <w:rFonts w:hint="eastAsia"/>
              </w:rPr>
              <w:t>4.80</w:t>
            </w:r>
          </w:p>
        </w:tc>
      </w:tr>
    </w:tbl>
    <w:p w14:paraId="275F2E6F">
      <w:pPr>
        <w:ind w:firstLine="420" w:firstLineChars="200"/>
      </w:pPr>
      <w:r>
        <w:rPr>
          <w:rFonts w:hint="eastAsia"/>
        </w:rPr>
        <w:t>表4  2020年第二批职业教育专项补助经费明细表      单位：万元</w:t>
      </w:r>
    </w:p>
    <w:tbl>
      <w:tblPr>
        <w:tblStyle w:val="18"/>
        <w:tblpPr w:leftFromText="180" w:rightFromText="180" w:vertAnchor="text" w:horzAnchor="page" w:tblpX="1455" w:tblpY="5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1"/>
        <w:gridCol w:w="3006"/>
        <w:gridCol w:w="3059"/>
      </w:tblGrid>
      <w:tr w14:paraId="484C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91" w:type="dxa"/>
            <w:vAlign w:val="center"/>
          </w:tcPr>
          <w:p w14:paraId="4C5CFE43">
            <w:r>
              <w:rPr>
                <w:rFonts w:hint="eastAsia"/>
              </w:rPr>
              <w:t>学校名称</w:t>
            </w:r>
          </w:p>
        </w:tc>
        <w:tc>
          <w:tcPr>
            <w:tcW w:w="3006" w:type="dxa"/>
          </w:tcPr>
          <w:p w14:paraId="1B54A412">
            <w:pPr>
              <w:ind w:firstLine="420" w:firstLineChars="200"/>
            </w:pPr>
            <w:r>
              <w:rPr>
                <w:rFonts w:hint="eastAsia"/>
              </w:rPr>
              <w:t>2019年技能大赛奖金</w:t>
            </w:r>
          </w:p>
          <w:p w14:paraId="7D841788">
            <w:pPr>
              <w:ind w:firstLine="420" w:firstLineChars="200"/>
            </w:pPr>
            <w:r>
              <w:rPr>
                <w:rFonts w:hint="eastAsia"/>
              </w:rPr>
              <w:t>（预算下达数）</w:t>
            </w:r>
          </w:p>
        </w:tc>
        <w:tc>
          <w:tcPr>
            <w:tcW w:w="3059" w:type="dxa"/>
          </w:tcPr>
          <w:p w14:paraId="1D7A38E6">
            <w:pPr>
              <w:ind w:firstLine="420" w:firstLineChars="200"/>
            </w:pPr>
            <w:r>
              <w:rPr>
                <w:rFonts w:hint="eastAsia"/>
              </w:rPr>
              <w:t>2019年技能大赛奖金</w:t>
            </w:r>
          </w:p>
          <w:p w14:paraId="2B74C931">
            <w:pPr>
              <w:ind w:firstLine="420" w:firstLineChars="200"/>
            </w:pPr>
            <w:r>
              <w:rPr>
                <w:rFonts w:hint="eastAsia"/>
              </w:rPr>
              <w:t>（实际支出数）</w:t>
            </w:r>
          </w:p>
        </w:tc>
      </w:tr>
      <w:tr w14:paraId="3D29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14:paraId="4691D633">
            <w:r>
              <w:rPr>
                <w:rFonts w:hint="eastAsia"/>
              </w:rPr>
              <w:t>湄洲湾职业技术学校</w:t>
            </w:r>
          </w:p>
        </w:tc>
        <w:tc>
          <w:tcPr>
            <w:tcW w:w="3006" w:type="dxa"/>
            <w:vAlign w:val="center"/>
          </w:tcPr>
          <w:p w14:paraId="0359A264">
            <w:r>
              <w:rPr>
                <w:rFonts w:hint="eastAsia"/>
              </w:rPr>
              <w:t>29.9</w:t>
            </w:r>
          </w:p>
        </w:tc>
        <w:tc>
          <w:tcPr>
            <w:tcW w:w="3059" w:type="dxa"/>
            <w:vAlign w:val="center"/>
          </w:tcPr>
          <w:p w14:paraId="4607C725">
            <w:r>
              <w:rPr>
                <w:rFonts w:hint="eastAsia"/>
              </w:rPr>
              <w:t>29.9</w:t>
            </w:r>
          </w:p>
        </w:tc>
      </w:tr>
      <w:tr w14:paraId="114F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14:paraId="36B9FDE0">
            <w:r>
              <w:rPr>
                <w:rFonts w:hint="eastAsia"/>
              </w:rPr>
              <w:t>莆田市职业技术学校</w:t>
            </w:r>
          </w:p>
        </w:tc>
        <w:tc>
          <w:tcPr>
            <w:tcW w:w="3006" w:type="dxa"/>
            <w:vAlign w:val="center"/>
          </w:tcPr>
          <w:p w14:paraId="61620D05">
            <w:r>
              <w:rPr>
                <w:rFonts w:hint="eastAsia"/>
              </w:rPr>
              <w:t>5.90</w:t>
            </w:r>
          </w:p>
        </w:tc>
        <w:tc>
          <w:tcPr>
            <w:tcW w:w="3059" w:type="dxa"/>
            <w:vAlign w:val="center"/>
          </w:tcPr>
          <w:p w14:paraId="56F0A5E3">
            <w:r>
              <w:rPr>
                <w:rFonts w:hint="eastAsia"/>
              </w:rPr>
              <w:t>5.90</w:t>
            </w:r>
          </w:p>
        </w:tc>
      </w:tr>
      <w:tr w14:paraId="5C0D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14:paraId="74312848">
            <w:r>
              <w:rPr>
                <w:rFonts w:hint="eastAsia"/>
              </w:rPr>
              <w:t>莆田市技工学校</w:t>
            </w:r>
          </w:p>
        </w:tc>
        <w:tc>
          <w:tcPr>
            <w:tcW w:w="3006" w:type="dxa"/>
            <w:vAlign w:val="center"/>
          </w:tcPr>
          <w:p w14:paraId="0FAD8248">
            <w:r>
              <w:rPr>
                <w:rFonts w:hint="eastAsia"/>
              </w:rPr>
              <w:t>0.50</w:t>
            </w:r>
          </w:p>
        </w:tc>
        <w:tc>
          <w:tcPr>
            <w:tcW w:w="3059" w:type="dxa"/>
            <w:vAlign w:val="center"/>
          </w:tcPr>
          <w:p w14:paraId="42CB910F">
            <w:r>
              <w:rPr>
                <w:rFonts w:hint="eastAsia"/>
              </w:rPr>
              <w:t>0.50</w:t>
            </w:r>
          </w:p>
        </w:tc>
      </w:tr>
      <w:tr w14:paraId="0DC1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14:paraId="21758421">
            <w:r>
              <w:rPr>
                <w:rFonts w:hint="eastAsia"/>
              </w:rPr>
              <w:t>仙游职业中专学校</w:t>
            </w:r>
          </w:p>
        </w:tc>
        <w:tc>
          <w:tcPr>
            <w:tcW w:w="3006" w:type="dxa"/>
            <w:vAlign w:val="center"/>
          </w:tcPr>
          <w:p w14:paraId="539E0ECE">
            <w:r>
              <w:rPr>
                <w:rFonts w:hint="eastAsia"/>
              </w:rPr>
              <w:t>0.50</w:t>
            </w:r>
          </w:p>
        </w:tc>
        <w:tc>
          <w:tcPr>
            <w:tcW w:w="3059" w:type="dxa"/>
            <w:vAlign w:val="center"/>
          </w:tcPr>
          <w:p w14:paraId="2A3FDDE3">
            <w:r>
              <w:rPr>
                <w:rFonts w:hint="eastAsia"/>
              </w:rPr>
              <w:t>0.50</w:t>
            </w:r>
          </w:p>
        </w:tc>
      </w:tr>
      <w:tr w14:paraId="1FEB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14:paraId="387F8792">
            <w:r>
              <w:rPr>
                <w:rFonts w:hint="eastAsia"/>
              </w:rPr>
              <w:t>仙游华侨职业中专学校</w:t>
            </w:r>
          </w:p>
        </w:tc>
        <w:tc>
          <w:tcPr>
            <w:tcW w:w="3006" w:type="dxa"/>
            <w:vAlign w:val="center"/>
          </w:tcPr>
          <w:p w14:paraId="5A926F3C">
            <w:r>
              <w:rPr>
                <w:rFonts w:hint="eastAsia"/>
              </w:rPr>
              <w:t>2.00</w:t>
            </w:r>
          </w:p>
        </w:tc>
        <w:tc>
          <w:tcPr>
            <w:tcW w:w="3059" w:type="dxa"/>
            <w:vAlign w:val="center"/>
          </w:tcPr>
          <w:p w14:paraId="749698D9">
            <w:r>
              <w:rPr>
                <w:rFonts w:hint="eastAsia"/>
              </w:rPr>
              <w:t>2.00</w:t>
            </w:r>
          </w:p>
        </w:tc>
      </w:tr>
      <w:tr w14:paraId="542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14:paraId="2E5CAF98">
            <w:r>
              <w:rPr>
                <w:rFonts w:hint="eastAsia"/>
              </w:rPr>
              <w:t>莆田科技职业技术学校</w:t>
            </w:r>
          </w:p>
        </w:tc>
        <w:tc>
          <w:tcPr>
            <w:tcW w:w="3006" w:type="dxa"/>
            <w:vAlign w:val="center"/>
          </w:tcPr>
          <w:p w14:paraId="53636201">
            <w:r>
              <w:rPr>
                <w:rFonts w:hint="eastAsia"/>
              </w:rPr>
              <w:t>0.50</w:t>
            </w:r>
          </w:p>
        </w:tc>
        <w:tc>
          <w:tcPr>
            <w:tcW w:w="3059" w:type="dxa"/>
            <w:vAlign w:val="center"/>
          </w:tcPr>
          <w:p w14:paraId="78CCDBB9">
            <w:r>
              <w:rPr>
                <w:rFonts w:hint="eastAsia"/>
              </w:rPr>
              <w:t>0.50</w:t>
            </w:r>
          </w:p>
        </w:tc>
      </w:tr>
      <w:tr w14:paraId="2461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14:paraId="6174C942">
            <w:r>
              <w:rPr>
                <w:rFonts w:hint="eastAsia"/>
              </w:rPr>
              <w:t>莆田华侨职业中专学校</w:t>
            </w:r>
          </w:p>
        </w:tc>
        <w:tc>
          <w:tcPr>
            <w:tcW w:w="3006" w:type="dxa"/>
            <w:vAlign w:val="center"/>
          </w:tcPr>
          <w:p w14:paraId="39BC4A48">
            <w:r>
              <w:rPr>
                <w:rFonts w:hint="eastAsia"/>
              </w:rPr>
              <w:t>8.90</w:t>
            </w:r>
          </w:p>
        </w:tc>
        <w:tc>
          <w:tcPr>
            <w:tcW w:w="3059" w:type="dxa"/>
            <w:vAlign w:val="center"/>
          </w:tcPr>
          <w:p w14:paraId="6CDC00FA">
            <w:r>
              <w:rPr>
                <w:rFonts w:hint="eastAsia"/>
              </w:rPr>
              <w:t>8.90</w:t>
            </w:r>
          </w:p>
        </w:tc>
      </w:tr>
      <w:tr w14:paraId="350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14:paraId="4DE57A4C">
            <w:r>
              <w:rPr>
                <w:rFonts w:hint="eastAsia"/>
              </w:rPr>
              <w:t>合计数</w:t>
            </w:r>
          </w:p>
        </w:tc>
        <w:tc>
          <w:tcPr>
            <w:tcW w:w="3006" w:type="dxa"/>
            <w:vAlign w:val="center"/>
          </w:tcPr>
          <w:p w14:paraId="3D16EDE5">
            <w:r>
              <w:rPr>
                <w:rFonts w:hint="eastAsia"/>
              </w:rPr>
              <w:t>48.2</w:t>
            </w:r>
          </w:p>
        </w:tc>
        <w:tc>
          <w:tcPr>
            <w:tcW w:w="3059" w:type="dxa"/>
            <w:vAlign w:val="center"/>
          </w:tcPr>
          <w:p w14:paraId="094DF5AD">
            <w:r>
              <w:rPr>
                <w:rFonts w:hint="eastAsia"/>
              </w:rPr>
              <w:t>48.2</w:t>
            </w:r>
          </w:p>
        </w:tc>
      </w:tr>
    </w:tbl>
    <w:p w14:paraId="22BB6BA5">
      <w:pPr>
        <w:ind w:firstLine="420" w:firstLineChars="200"/>
      </w:pPr>
      <w:bookmarkStart w:id="587" w:name="_Toc3886"/>
      <w:r>
        <w:rPr>
          <w:rFonts w:hint="eastAsia"/>
        </w:rPr>
        <w:t>（三）项目管理情况</w:t>
      </w:r>
      <w:bookmarkEnd w:id="587"/>
    </w:p>
    <w:p w14:paraId="68F7A1B5">
      <w:pPr>
        <w:ind w:firstLine="420" w:firstLineChars="200"/>
      </w:pPr>
      <w:r>
        <w:rPr>
          <w:rFonts w:hint="eastAsia"/>
        </w:rPr>
        <w:t>本项目由莆田市教育局牵头实施，按照莆田市教育局印发的《莆田市教育局财务管理制度》、莆田市财政局和教育局印发的《莆田市职业教育发展专项资金管理办法》文件中内部控制、财务管理制度等有关规定，进一步规范项目资金的使用。依照专项资金管理办法，明确补助范围，在申报、审核、执行、监督和评价等各环节做到职责分明、责任清晰，按照职业教育专项工作实际情况拨付补助，保证项目的可行性、真实性和可操作性。</w:t>
      </w:r>
    </w:p>
    <w:p w14:paraId="7F712A8B">
      <w:pPr>
        <w:ind w:firstLine="420" w:firstLineChars="200"/>
      </w:pPr>
      <w:bookmarkStart w:id="588" w:name="_Toc1982"/>
      <w:r>
        <w:t>（四）项目绩效目标</w:t>
      </w:r>
      <w:bookmarkEnd w:id="588"/>
    </w:p>
    <w:p w14:paraId="7E462B56">
      <w:pPr>
        <w:ind w:firstLine="420" w:firstLineChars="200"/>
      </w:pPr>
      <w:r>
        <w:rPr>
          <w:rFonts w:hint="eastAsia"/>
        </w:rPr>
        <w:t>职业教育专项经费，用于支持规范化和示范性中等职业学校建设、实训基地建设、专业建设、信息化建设等。完善职校校区建设，加大职业教育宣传力度，深化职业教育改革，创新职业教育模式，提升职业院校人才培养质量。将学生培养、师资培训、技能鉴定融为一体，全面提升中职教育吸引力。</w:t>
      </w:r>
    </w:p>
    <w:p w14:paraId="2535552A">
      <w:pPr>
        <w:ind w:firstLine="420" w:firstLineChars="200"/>
        <w:outlineLvl w:val="0"/>
      </w:pPr>
      <w:bookmarkStart w:id="589" w:name="_Toc1955"/>
      <w:bookmarkStart w:id="590" w:name="_Toc4757"/>
      <w:r>
        <w:rPr>
          <w:rFonts w:hint="eastAsia"/>
        </w:rPr>
        <w:t>三、绩效评价工作情况</w:t>
      </w:r>
      <w:bookmarkEnd w:id="589"/>
      <w:bookmarkEnd w:id="590"/>
    </w:p>
    <w:p w14:paraId="6BC934CD">
      <w:pPr>
        <w:ind w:firstLine="420" w:firstLineChars="200"/>
      </w:pPr>
      <w:bookmarkStart w:id="591" w:name="_Toc30376"/>
      <w:r>
        <w:t>（一）绩效评价目的</w:t>
      </w:r>
      <w:bookmarkEnd w:id="591"/>
    </w:p>
    <w:p w14:paraId="159DE64E">
      <w:pPr>
        <w:ind w:firstLine="420" w:firstLineChars="200"/>
      </w:pPr>
      <w:r>
        <w:rPr>
          <w:rFonts w:hint="eastAsia"/>
        </w:rPr>
        <w:t>根据财政支出项目设定的预期目标，选择合适的评价指标和标准，运用科学的评价方法，对资金使用全过程及其支出的产出效益和满意度等进行客观公正的综合评价，以衡量财政资金的使用绩效，分析检验支出项目是否达到预期目标。通过对职业教育专项补助资金绩效实施评价，分析存在的问题及原因，有针对性地提出有效措施进一步改进和加强财政资金管理，不断提升财政资金科学化、精细化管理水平，提高单位行政效能，提升财政资金使用效益。</w:t>
      </w:r>
    </w:p>
    <w:p w14:paraId="5AAB42E9">
      <w:pPr>
        <w:ind w:firstLine="420" w:firstLineChars="200"/>
      </w:pPr>
      <w:bookmarkStart w:id="592" w:name="_Toc6958"/>
      <w:r>
        <w:t>（二）绩效评价对象</w:t>
      </w:r>
      <w:bookmarkEnd w:id="592"/>
    </w:p>
    <w:p w14:paraId="05539890">
      <w:pPr>
        <w:ind w:firstLine="420" w:firstLineChars="200"/>
      </w:pPr>
      <w:r>
        <w:t>本绩效评价对象为</w:t>
      </w:r>
      <w:r>
        <w:rPr>
          <w:rFonts w:hint="eastAsia"/>
        </w:rPr>
        <w:t>职业教育专项补助资金。</w:t>
      </w:r>
    </w:p>
    <w:p w14:paraId="0F125497">
      <w:pPr>
        <w:ind w:firstLine="420" w:firstLineChars="200"/>
      </w:pPr>
      <w:bookmarkStart w:id="593" w:name="_Toc24525"/>
      <w:r>
        <w:rPr>
          <w:rFonts w:hint="eastAsia"/>
        </w:rPr>
        <w:t>（三）评价依据</w:t>
      </w:r>
      <w:bookmarkEnd w:id="593"/>
    </w:p>
    <w:p w14:paraId="3CF7A299">
      <w:pPr>
        <w:ind w:firstLine="420" w:firstLineChars="200"/>
      </w:pPr>
      <w:r>
        <w:rPr>
          <w:rFonts w:hint="eastAsia"/>
        </w:rPr>
        <w:t>（1）《中华人民共和国预算法》</w:t>
      </w:r>
    </w:p>
    <w:p w14:paraId="0C347C80">
      <w:pPr>
        <w:ind w:firstLine="420" w:firstLineChars="200"/>
      </w:pPr>
      <w:r>
        <w:rPr>
          <w:rFonts w:hint="eastAsia"/>
        </w:rPr>
        <w:t>（2）《项目支出绩效评价管理办法》（财预[2020]10号）</w:t>
      </w:r>
    </w:p>
    <w:p w14:paraId="506EB320">
      <w:pPr>
        <w:ind w:firstLine="420" w:firstLineChars="200"/>
      </w:pPr>
      <w:r>
        <w:rPr>
          <w:rFonts w:hint="eastAsia"/>
        </w:rPr>
        <w:t>（3）《福建省财政厅关于印发财政支出绩效评价管理办法》（闽财绩[2015]4号）</w:t>
      </w:r>
    </w:p>
    <w:p w14:paraId="59F693D4">
      <w:pPr>
        <w:ind w:firstLine="420" w:firstLineChars="200"/>
      </w:pPr>
      <w:r>
        <w:rPr>
          <w:rFonts w:hint="eastAsia"/>
        </w:rPr>
        <w:t>（4）《福建省财政厅关于加强和改进绩效管理有关工作的通知》（闽财绩[2017]4号）</w:t>
      </w:r>
    </w:p>
    <w:p w14:paraId="2BD26C59">
      <w:pPr>
        <w:ind w:firstLine="420" w:firstLineChars="200"/>
      </w:pPr>
      <w:r>
        <w:rPr>
          <w:rFonts w:hint="eastAsia"/>
        </w:rPr>
        <w:t>（5）《关于财政资金绩效管理覆盖率考核事项的通知》（闽财绩[2018]1号）</w:t>
      </w:r>
    </w:p>
    <w:p w14:paraId="104E2AE0">
      <w:pPr>
        <w:ind w:firstLine="420" w:firstLineChars="200"/>
      </w:pPr>
      <w:r>
        <w:rPr>
          <w:rFonts w:hint="eastAsia"/>
        </w:rPr>
        <w:t>（6）《莆田市市级财政预算绩效目标管理暂行办法》(莆财绩[2019]8号)</w:t>
      </w:r>
    </w:p>
    <w:p w14:paraId="56D4B910">
      <w:pPr>
        <w:ind w:firstLine="420" w:firstLineChars="200"/>
      </w:pPr>
      <w:r>
        <w:rPr>
          <w:rFonts w:hint="eastAsia"/>
        </w:rPr>
        <w:t>（7）《福建省财政支出绩效评价管理办法》（闽财绩[2015]4号）</w:t>
      </w:r>
    </w:p>
    <w:p w14:paraId="60792B88">
      <w:pPr>
        <w:ind w:firstLine="420" w:firstLineChars="200"/>
      </w:pPr>
      <w:r>
        <w:rPr>
          <w:rFonts w:hint="eastAsia"/>
        </w:rPr>
        <w:t>（8）《福建省预算绩效目标管理暂行办法》（闽财绩[2014]2号）</w:t>
      </w:r>
    </w:p>
    <w:p w14:paraId="4AFBA6D5">
      <w:pPr>
        <w:ind w:firstLine="420" w:firstLineChars="200"/>
      </w:pPr>
      <w:bookmarkStart w:id="594" w:name="_Toc9868"/>
      <w:r>
        <w:rPr>
          <w:rFonts w:hint="eastAsia"/>
        </w:rPr>
        <w:t>（四）绩效评价原则、评价方法、评价流程和</w:t>
      </w:r>
      <w:r>
        <w:t>数据收集方法</w:t>
      </w:r>
      <w:bookmarkEnd w:id="594"/>
    </w:p>
    <w:p w14:paraId="744959EE">
      <w:pPr>
        <w:ind w:firstLine="420" w:firstLineChars="200"/>
      </w:pPr>
      <w:r>
        <w:rPr>
          <w:rFonts w:hint="eastAsia"/>
        </w:rPr>
        <w:t>1.绩效评价原则</w:t>
      </w:r>
    </w:p>
    <w:p w14:paraId="1305822E">
      <w:pPr>
        <w:ind w:firstLine="420" w:firstLineChars="200"/>
      </w:pPr>
      <w:r>
        <w:rPr>
          <w:rFonts w:hint="eastAsia"/>
        </w:rPr>
        <w:t>（1）相关性原则。应当与绩效目标有直接的联系，能够恰当反映目标的实现程度。</w:t>
      </w:r>
    </w:p>
    <w:p w14:paraId="36592992">
      <w:pPr>
        <w:ind w:firstLine="420" w:firstLineChars="200"/>
      </w:pPr>
      <w:r>
        <w:rPr>
          <w:rFonts w:hint="eastAsia"/>
        </w:rPr>
        <w:t>（2）重要性原则。应当优先使用最具代表性、最能反映评价要求的核心指标。</w:t>
      </w:r>
    </w:p>
    <w:p w14:paraId="546AE59D">
      <w:pPr>
        <w:ind w:firstLine="420" w:firstLineChars="200"/>
      </w:pPr>
      <w:r>
        <w:rPr>
          <w:rFonts w:hint="eastAsia"/>
        </w:rPr>
        <w:t>（3）可比性原则。对同类评价对象要设定共性的绩效评价指标，以便于评价结果可以相互比较。</w:t>
      </w:r>
    </w:p>
    <w:p w14:paraId="7360AF75">
      <w:pPr>
        <w:ind w:firstLine="420" w:firstLineChars="200"/>
      </w:pPr>
      <w:r>
        <w:rPr>
          <w:rFonts w:hint="eastAsia"/>
        </w:rPr>
        <w:t>（4）系统性原则。应当将定量指标与定性指标相结合，系统反映财政支出所产生的社会效益、经济效益、环境效益和可持续影响等。</w:t>
      </w:r>
    </w:p>
    <w:p w14:paraId="304C41FE">
      <w:pPr>
        <w:ind w:firstLine="420" w:firstLineChars="200"/>
      </w:pPr>
      <w:r>
        <w:rPr>
          <w:rFonts w:hint="eastAsia"/>
        </w:rPr>
        <w:t>（5）经济性原则。应当通俗易懂、简便易行,数据的获得应当考虑现实条件和可操作性，符合成本效益原则。</w:t>
      </w:r>
    </w:p>
    <w:p w14:paraId="3EC8E346">
      <w:pPr>
        <w:ind w:firstLine="420" w:firstLineChars="200"/>
      </w:pPr>
      <w:r>
        <w:rPr>
          <w:rFonts w:hint="eastAsia"/>
        </w:rPr>
        <w:t>2.评价方法</w:t>
      </w:r>
    </w:p>
    <w:p w14:paraId="6D21B559">
      <w:pPr>
        <w:ind w:firstLine="420" w:firstLineChars="200"/>
      </w:pPr>
      <w:r>
        <w:rPr>
          <w:rFonts w:hint="eastAsia"/>
        </w:rPr>
        <w:t>根据财政部《项目支出绩效评价管理办法》(财预[2020]第10号)规定的绩效评价方法，职业教育专项补助资金绩效评价主要采用比较法、公众评判法和目标评价法。</w:t>
      </w:r>
    </w:p>
    <w:p w14:paraId="3D382C06">
      <w:pPr>
        <w:ind w:firstLine="420" w:firstLineChars="200"/>
      </w:pPr>
      <w:r>
        <w:rPr>
          <w:rFonts w:hint="eastAsia"/>
        </w:rPr>
        <w:t>（1）比较法</w:t>
      </w:r>
    </w:p>
    <w:p w14:paraId="11C5140F">
      <w:pPr>
        <w:ind w:firstLine="420" w:firstLineChars="200"/>
      </w:pPr>
      <w:r>
        <w:rPr>
          <w:rFonts w:hint="eastAsia"/>
        </w:rPr>
        <w:t>指通过实际支出、实施效果等与绩效目标、历史情况等的比较，综合分析绩效目标实现程度。2018-2020年职业教育专项补助资金绩效评价将以资金拨付用途要求为标准，将项目执行单位实际产出数量、产出质量与绩效目标相比较，综合分析绩效目标实现程度。</w:t>
      </w:r>
    </w:p>
    <w:p w14:paraId="08A30AD2">
      <w:pPr>
        <w:ind w:firstLine="420" w:firstLineChars="200"/>
      </w:pPr>
      <w:r>
        <w:rPr>
          <w:rFonts w:hint="eastAsia"/>
        </w:rPr>
        <w:t>（2）公众评判法</w:t>
      </w:r>
    </w:p>
    <w:p w14:paraId="11F5A66E">
      <w:pPr>
        <w:ind w:firstLine="420" w:firstLineChars="200"/>
      </w:pPr>
      <w:r>
        <w:rPr>
          <w:rFonts w:hint="eastAsia"/>
        </w:rPr>
        <w:t>指通过专家评估、公众问卷及抽样调查等对财政资金效果进行评判，评价绩效目标实现程度。学生满意度即通过问卷调查方式获取相关数据资料。通过问卷回答情况，了解学生的真实感受，从而对该专项资金支出的社会效益和满意度进行评判。</w:t>
      </w:r>
    </w:p>
    <w:p w14:paraId="22F8CF9A">
      <w:pPr>
        <w:ind w:firstLine="420" w:firstLineChars="200"/>
      </w:pPr>
      <w:r>
        <w:rPr>
          <w:rFonts w:hint="eastAsia"/>
        </w:rPr>
        <w:t>（3）现场评价法</w:t>
      </w:r>
    </w:p>
    <w:p w14:paraId="06F84385">
      <w:pPr>
        <w:ind w:firstLine="420" w:firstLineChars="200"/>
      </w:pPr>
      <w:r>
        <w:rPr>
          <w:rFonts w:hint="eastAsia"/>
        </w:rPr>
        <w:t>现场评价工作组与项目实施的相关单位，包括自评单位、项目实施单位等进行深入沟通交流，实事求是核查其财务情况、项目管理情况和绩效表现等相关资料，对项目进行核实。</w:t>
      </w:r>
    </w:p>
    <w:p w14:paraId="45A55FC9">
      <w:pPr>
        <w:ind w:firstLine="420" w:firstLineChars="200"/>
      </w:pPr>
      <w:r>
        <w:rPr>
          <w:rFonts w:hint="eastAsia"/>
        </w:rPr>
        <w:t>3.评价流程</w:t>
      </w:r>
    </w:p>
    <w:p w14:paraId="4A8DADC9">
      <w:pPr>
        <w:ind w:firstLine="420" w:firstLineChars="200"/>
      </w:pPr>
      <w:r>
        <w:rPr>
          <w:rFonts w:hint="eastAsia"/>
        </w:rPr>
        <w:t>评价流程分前期准备、书面评审、现场评价、综合分析、提交报告五个阶段实施，具体安排如下：</w:t>
      </w:r>
    </w:p>
    <w:p w14:paraId="48527016">
      <w:pPr>
        <w:ind w:firstLine="420" w:firstLineChars="200"/>
      </w:pPr>
      <w:r>
        <w:rPr>
          <w:rFonts w:hint="eastAsia"/>
        </w:rPr>
        <w:t>（1）前期准备</w:t>
      </w:r>
    </w:p>
    <w:p w14:paraId="09C2E4FC">
      <w:pPr>
        <w:ind w:firstLine="420" w:firstLineChars="200"/>
      </w:pPr>
      <w:r>
        <w:rPr>
          <w:rFonts w:hint="eastAsia"/>
        </w:rPr>
        <w:t>一是单位对接。莆田学院财政绩效管理研究中心在莆田市财政局安排下，与被评价单位对接，了解项目资金、绩效情况。二是资料收集。收集与本次评价相关的资料，包括项目绩效自评，及相关佐证资料。</w:t>
      </w:r>
    </w:p>
    <w:p w14:paraId="4C15E68F">
      <w:pPr>
        <w:ind w:firstLine="420" w:firstLineChars="200"/>
      </w:pPr>
      <w:r>
        <w:rPr>
          <w:rFonts w:hint="eastAsia"/>
        </w:rPr>
        <w:t>（2）书面评审</w:t>
      </w:r>
    </w:p>
    <w:p w14:paraId="45C4362B">
      <w:pPr>
        <w:ind w:firstLine="420" w:firstLineChars="200"/>
      </w:pPr>
      <w:r>
        <w:rPr>
          <w:rFonts w:hint="eastAsia"/>
        </w:rPr>
        <w:t>资料收集齐全后，莆田学院财政绩效管理研究中心对材料进行梳理和审核，并形成书面审核意见。目的在于审查被评价单位报送资料的完整性、规范性和内容的真实性，重点考察项目支出的绩效。</w:t>
      </w:r>
    </w:p>
    <w:p w14:paraId="6D67176F">
      <w:pPr>
        <w:ind w:firstLine="420" w:firstLineChars="200"/>
      </w:pPr>
      <w:r>
        <w:rPr>
          <w:rFonts w:hint="eastAsia"/>
        </w:rPr>
        <w:t>（3）现场评价</w:t>
      </w:r>
    </w:p>
    <w:p w14:paraId="3E604C19">
      <w:pPr>
        <w:ind w:firstLine="420" w:firstLineChars="200"/>
      </w:pPr>
      <w:r>
        <w:rPr>
          <w:rFonts w:hint="eastAsia"/>
        </w:rPr>
        <w:t>评价小组到被评价单位开展现场评价，了解项目支出情况，并查阅与资金申请、支出、工作开展等有关的资料。</w:t>
      </w:r>
    </w:p>
    <w:p w14:paraId="552E68DB">
      <w:pPr>
        <w:ind w:firstLine="420" w:firstLineChars="200"/>
      </w:pPr>
      <w:r>
        <w:rPr>
          <w:rFonts w:hint="eastAsia"/>
        </w:rPr>
        <w:t>（4）综合分析</w:t>
      </w:r>
    </w:p>
    <w:p w14:paraId="2809F9E5">
      <w:pPr>
        <w:ind w:firstLine="420" w:firstLineChars="200"/>
      </w:pPr>
      <w:r>
        <w:rPr>
          <w:rFonts w:hint="eastAsia"/>
        </w:rPr>
        <w:t>评价小组对采集的基础数据资料进行整理汇总，结合现场核查情况，对项目绩效进行全面分析，形成初步评价意见。</w:t>
      </w:r>
    </w:p>
    <w:p w14:paraId="0FA8F0E1">
      <w:pPr>
        <w:ind w:firstLine="420" w:firstLineChars="200"/>
      </w:pPr>
      <w:r>
        <w:rPr>
          <w:rFonts w:hint="eastAsia"/>
        </w:rPr>
        <w:t>（5）提交报告</w:t>
      </w:r>
    </w:p>
    <w:p w14:paraId="4EEC3D0C">
      <w:pPr>
        <w:ind w:firstLine="420" w:firstLineChars="200"/>
      </w:pPr>
      <w:r>
        <w:t>①</w:t>
      </w:r>
      <w:r>
        <w:rPr>
          <w:rFonts w:hint="eastAsia"/>
        </w:rPr>
        <w:t>编写报告初稿</w:t>
      </w:r>
    </w:p>
    <w:p w14:paraId="7610BF86">
      <w:pPr>
        <w:ind w:firstLine="420" w:firstLineChars="200"/>
      </w:pPr>
      <w:r>
        <w:rPr>
          <w:rFonts w:hint="eastAsia"/>
        </w:rPr>
        <w:t>根据综合评价结果，编写《绩效评价报告》，报告撰写的内容包括项目基本情况、资金使用情况、过程管理情况、绩效实施效果、存在问题和具体改进措施及建议等。</w:t>
      </w:r>
    </w:p>
    <w:p w14:paraId="7D19A819">
      <w:pPr>
        <w:ind w:firstLine="420" w:firstLineChars="200"/>
      </w:pPr>
      <w:r>
        <w:t>②</w:t>
      </w:r>
      <w:r>
        <w:rPr>
          <w:rFonts w:hint="eastAsia"/>
        </w:rPr>
        <w:t>提交正式报告</w:t>
      </w:r>
    </w:p>
    <w:p w14:paraId="055D6364">
      <w:pPr>
        <w:ind w:firstLine="420" w:firstLineChars="200"/>
      </w:pPr>
      <w:r>
        <w:rPr>
          <w:rFonts w:hint="eastAsia"/>
        </w:rPr>
        <w:t>根据莆田市财政局和被评价单位的反馈意见，莆田学院财政绩效管理研究中心研究、修订并提交正式报告。</w:t>
      </w:r>
    </w:p>
    <w:p w14:paraId="6454B31C">
      <w:pPr>
        <w:ind w:firstLine="420" w:firstLineChars="200"/>
      </w:pPr>
      <w:r>
        <w:rPr>
          <w:rFonts w:hint="eastAsia"/>
        </w:rPr>
        <w:t>4.</w:t>
      </w:r>
      <w:r>
        <w:t>数据收集方法</w:t>
      </w:r>
    </w:p>
    <w:p w14:paraId="6644D836">
      <w:pPr>
        <w:ind w:firstLine="420" w:firstLineChars="200"/>
      </w:pPr>
      <w:r>
        <w:rPr>
          <w:rFonts w:hint="eastAsia"/>
        </w:rPr>
        <w:t>（1）案卷研究法</w:t>
      </w:r>
    </w:p>
    <w:p w14:paraId="379CC432">
      <w:pPr>
        <w:ind w:firstLine="420" w:firstLineChars="200"/>
      </w:pPr>
      <w:r>
        <w:rPr>
          <w:rFonts w:hint="eastAsia"/>
        </w:rPr>
        <w:t>从现有的项目文件、国家和地方的发展政策和战略规划、各种相关的研究和咨询报告等文档资料中寻找数据，并对同一绩效评价指标在不同文件中的数据进行对比核实，最后确定选择使用的数据。</w:t>
      </w:r>
    </w:p>
    <w:p w14:paraId="237DFEFE">
      <w:pPr>
        <w:ind w:firstLine="420" w:firstLineChars="200"/>
      </w:pPr>
      <w:r>
        <w:rPr>
          <w:rFonts w:hint="eastAsia"/>
        </w:rPr>
        <w:t>（2）资料收集与数据填报</w:t>
      </w:r>
    </w:p>
    <w:p w14:paraId="36714665">
      <w:pPr>
        <w:ind w:firstLine="420" w:firstLineChars="200"/>
      </w:pPr>
      <w:r>
        <w:rPr>
          <w:rFonts w:hint="eastAsia"/>
        </w:rPr>
        <w:t>根据评价对象的具体情况向预算部门和资金使用单位收集2018--2020年职业教育专项补助资金相关资料，并以该专项补助资金到期年（2020年）的实施情况为主进行收集和评价。</w:t>
      </w:r>
    </w:p>
    <w:p w14:paraId="70E0C744">
      <w:pPr>
        <w:ind w:firstLine="420" w:firstLineChars="200"/>
      </w:pPr>
      <w:r>
        <w:rPr>
          <w:rFonts w:hint="eastAsia"/>
        </w:rPr>
        <w:t>（3）实地调研</w:t>
      </w:r>
    </w:p>
    <w:p w14:paraId="2AC86ACE">
      <w:pPr>
        <w:ind w:firstLine="420" w:firstLineChars="200"/>
      </w:pPr>
      <w:r>
        <w:rPr>
          <w:rFonts w:hint="eastAsia"/>
        </w:rPr>
        <w:t>首先从项目利益相关方中确定访谈对象，包括项目的管理人员、实施人员、项目受益者及参与项目立项、决策、实施、管理的行业专家，根据调查的内容范围和主要问题，设计访谈提纲并开展访谈；其次通过现场询问、核对、勘查、检查等方法进行调查，获取绩效评价业务需要的基础资料，调研结束后将调研记录进行整理与分析并形成调研记录。</w:t>
      </w:r>
    </w:p>
    <w:p w14:paraId="498CA10D">
      <w:pPr>
        <w:ind w:firstLine="420" w:firstLineChars="200"/>
        <w:outlineLvl w:val="0"/>
      </w:pPr>
      <w:bookmarkStart w:id="595" w:name="_Toc21225"/>
      <w:bookmarkStart w:id="596" w:name="_Toc11398"/>
      <w:r>
        <w:rPr>
          <w:rFonts w:hint="eastAsia"/>
        </w:rPr>
        <w:t>四</w:t>
      </w:r>
      <w:r>
        <w:t>、绩效评价指标体系设计</w:t>
      </w:r>
      <w:bookmarkEnd w:id="595"/>
      <w:bookmarkEnd w:id="596"/>
    </w:p>
    <w:p w14:paraId="1247802A">
      <w:pPr>
        <w:ind w:firstLine="420" w:firstLineChars="200"/>
      </w:pPr>
      <w:bookmarkStart w:id="597" w:name="_Toc20660"/>
      <w:r>
        <w:t>（一）评价指标设计依据</w:t>
      </w:r>
      <w:bookmarkEnd w:id="597"/>
    </w:p>
    <w:p w14:paraId="3A782760">
      <w:pPr>
        <w:ind w:firstLine="420" w:firstLineChars="200"/>
      </w:pPr>
      <w:r>
        <w:rPr>
          <w:rFonts w:hint="eastAsia"/>
        </w:rPr>
        <w:t>该项目绩效评价指标是在参考财政部印发的《预算绩效评价共性指标体系》（财预[2013]53号）、《项目支出绩效评价管理办法》（财预[2020]10号）和中国资产评估协会印发的《财政支出（项目支出）绩效评价操作指引（试行）》（中评协[2014]70号）等文件的基础上，结合项目特点进行指标和分值设定。绩效评价指标体系设定遵循相关性、重要性、可比性、系统性和经济性原则，评价小组根据绩效评价对象和内容优先使用最具代表性、最能反映评价要求的核心指标，确保绩效评价指标体系设定与绩效目标有直接的联系，能够综合反映项目所产生的社会效益、经济效益和可持续影响，且保证获得数据的现实条件和可操作性。</w:t>
      </w:r>
    </w:p>
    <w:p w14:paraId="404C334E">
      <w:pPr>
        <w:ind w:firstLine="420" w:firstLineChars="200"/>
      </w:pPr>
      <w:bookmarkStart w:id="598" w:name="_Toc152"/>
      <w:r>
        <w:t>（二）绩效评价指标与评价标准</w:t>
      </w:r>
      <w:bookmarkEnd w:id="598"/>
    </w:p>
    <w:p w14:paraId="6205CB72">
      <w:pPr>
        <w:ind w:firstLine="420" w:firstLineChars="200"/>
      </w:pPr>
      <w:r>
        <w:rPr>
          <w:rFonts w:hint="eastAsia"/>
        </w:rPr>
        <w:t>该专项补助资金实施期限为2018-2020年，本报告结合2018-2020年实施情况进行分析，并以到期年（2020年）的实施完成情况为重点进行评价。绩效评价指标体系包括3个一级指标，即项目决策、项目管理和项目绩效，总分值为100分。其中项目决策设立项合理性1个二级指标，并细分为4个三级指标，分值为16分；项目管理包括投入管理、财务管理和项目实施3个二级指标，并细分为6个三级指标，分值为19分；项目绩效包括产出时效、产出数量、产出质量、产出效益、可持续影响指标和服务对象满意度6个二级指标，并细分为17个三级指标，分值为65分。绩效评估组对三级指标进行解释，说明指标设置的目的和评价的内容，同时规定明确、可量化的评分方法。</w:t>
      </w:r>
    </w:p>
    <w:p w14:paraId="0FF62A25">
      <w:pPr>
        <w:ind w:firstLine="420" w:firstLineChars="200"/>
      </w:pPr>
      <w:r>
        <w:rPr>
          <w:rFonts w:hint="eastAsia"/>
        </w:rPr>
        <w:t>具体的绩效评价指标体系如附件1所示。</w:t>
      </w:r>
    </w:p>
    <w:p w14:paraId="33A7579D">
      <w:pPr>
        <w:ind w:firstLine="420" w:firstLineChars="200"/>
        <w:outlineLvl w:val="0"/>
      </w:pPr>
      <w:bookmarkStart w:id="599" w:name="_Toc8015"/>
      <w:bookmarkStart w:id="600" w:name="_Toc28473"/>
      <w:r>
        <w:rPr>
          <w:rFonts w:hint="eastAsia"/>
        </w:rPr>
        <w:t>五</w:t>
      </w:r>
      <w:r>
        <w:t>、绩效分析及绩效评价结论</w:t>
      </w:r>
      <w:bookmarkEnd w:id="599"/>
      <w:bookmarkEnd w:id="600"/>
    </w:p>
    <w:p w14:paraId="78CBC3F6">
      <w:pPr>
        <w:ind w:firstLine="420" w:firstLineChars="200"/>
      </w:pPr>
      <w:bookmarkStart w:id="601" w:name="_Toc31093"/>
      <w:r>
        <w:t>（一）绩效分析</w:t>
      </w:r>
      <w:bookmarkEnd w:id="601"/>
    </w:p>
    <w:p w14:paraId="70CCC305">
      <w:pPr>
        <w:ind w:firstLine="420" w:firstLineChars="200"/>
      </w:pPr>
      <w:r>
        <w:rPr>
          <w:rFonts w:hint="eastAsia"/>
        </w:rPr>
        <w:t>绩效</w:t>
      </w:r>
      <w:r>
        <w:t>评价组</w:t>
      </w:r>
      <w:r>
        <w:rPr>
          <w:rFonts w:hint="eastAsia"/>
        </w:rPr>
        <w:t>秉承</w:t>
      </w:r>
      <w:r>
        <w:t>客观、公正、准确的原则对</w:t>
      </w:r>
      <w:r>
        <w:rPr>
          <w:rFonts w:hint="eastAsia"/>
        </w:rPr>
        <w:t>被</w:t>
      </w:r>
      <w:r>
        <w:t>评价项目进行绩效分析和综合评分，针对评价</w:t>
      </w:r>
      <w:r>
        <w:rPr>
          <w:rFonts w:hint="eastAsia"/>
        </w:rPr>
        <w:t>中</w:t>
      </w:r>
      <w:r>
        <w:t>发现的问题提出意见</w:t>
      </w:r>
      <w:r>
        <w:rPr>
          <w:rFonts w:hint="eastAsia"/>
        </w:rPr>
        <w:t>和</w:t>
      </w:r>
      <w:r>
        <w:t>建议，</w:t>
      </w:r>
      <w:r>
        <w:rPr>
          <w:rFonts w:hint="eastAsia"/>
        </w:rPr>
        <w:t>最终</w:t>
      </w:r>
      <w:r>
        <w:t>形成绩效评价结果。</w:t>
      </w:r>
    </w:p>
    <w:p w14:paraId="5325B614">
      <w:pPr>
        <w:ind w:firstLine="420" w:firstLineChars="200"/>
      </w:pPr>
      <w:r>
        <w:t>1</w:t>
      </w:r>
      <w:r>
        <w:rPr>
          <w:rFonts w:hint="eastAsia"/>
        </w:rPr>
        <w:t>.</w:t>
      </w:r>
      <w:r>
        <w:t>项目决策（满分1</w:t>
      </w:r>
      <w:r>
        <w:rPr>
          <w:rFonts w:hint="eastAsia"/>
        </w:rPr>
        <w:t>6</w:t>
      </w:r>
      <w:r>
        <w:t>分，得分</w:t>
      </w:r>
      <w:r>
        <w:rPr>
          <w:rFonts w:hint="eastAsia"/>
        </w:rPr>
        <w:t>13</w:t>
      </w:r>
      <w:r>
        <w:t>分）</w:t>
      </w:r>
    </w:p>
    <w:p w14:paraId="415D679B">
      <w:pPr>
        <w:ind w:firstLine="420" w:firstLineChars="200"/>
      </w:pPr>
      <w:r>
        <w:rPr>
          <w:rFonts w:hint="eastAsia"/>
        </w:rPr>
        <w:t>（1）立项合理性</w:t>
      </w:r>
      <w:r>
        <w:t>（满分1</w:t>
      </w:r>
      <w:r>
        <w:rPr>
          <w:rFonts w:hint="eastAsia"/>
        </w:rPr>
        <w:t>6</w:t>
      </w:r>
      <w:r>
        <w:t>分，得分</w:t>
      </w:r>
      <w:r>
        <w:rPr>
          <w:rFonts w:hint="eastAsia"/>
        </w:rPr>
        <w:t>13</w:t>
      </w:r>
      <w:r>
        <w:t>分）</w:t>
      </w:r>
    </w:p>
    <w:p w14:paraId="384156A2">
      <w:pPr>
        <w:ind w:firstLine="420" w:firstLineChars="200"/>
      </w:pPr>
      <w:r>
        <w:t>①</w:t>
      </w:r>
      <w:r>
        <w:rPr>
          <w:rFonts w:hint="eastAsia"/>
        </w:rPr>
        <w:t>立项依据充分性（满分4分，得分4分）</w:t>
      </w:r>
    </w:p>
    <w:p w14:paraId="363CE097">
      <w:pPr>
        <w:ind w:firstLine="420" w:firstLineChars="200"/>
      </w:pPr>
      <w:r>
        <w:rPr>
          <w:rFonts w:hint="eastAsia"/>
        </w:rPr>
        <w:t>本项目根据《莆田市人民政府办公室关于印发莆田市“十三五”教育发展专项规划的通知》（莆政办[2016]125号）、《关于印发&lt;中共莆田市委教育工委莆田市教育局2020年工作要点&gt;的通知》（莆委教[2020]20号）、《莆田市人民政府关于加快职业教育改革发展的若干意见》（莆政综[2020]73号）等文件立项。项目立项符合法律法规、相关政策、发展规划以及部门职责，无重复现象。根据评分标准，立项依据充分性得4分。</w:t>
      </w:r>
    </w:p>
    <w:p w14:paraId="61652611">
      <w:pPr>
        <w:ind w:firstLine="420" w:firstLineChars="200"/>
      </w:pPr>
      <w:r>
        <w:t>②项目立项的规范性</w:t>
      </w:r>
      <w:r>
        <w:rPr>
          <w:rFonts w:hint="eastAsia"/>
        </w:rPr>
        <w:t>（满分3分，得分2分）</w:t>
      </w:r>
    </w:p>
    <w:p w14:paraId="2525CDEF">
      <w:pPr>
        <w:ind w:firstLine="420" w:firstLineChars="200"/>
      </w:pPr>
      <w:r>
        <w:rPr>
          <w:rFonts w:hint="eastAsia"/>
        </w:rPr>
        <w:t>根据《莆田市人民政府关于加快发展现代职业教育的实施意见》（莆政综[2016]15号）和《莆田市人民政府办公室关于印发加快现代职业教育发展实施细则的通知》（莆政办[2016]112号）文件，以及《关于研究教育工作有关问题的纪要》（莆田市人民政府办公室[2019]23号）和《关于研究教育工作有关问题的纪要》（莆田市人民政府办公室[2019]106号）等文件，本项目立项符合法律程序，经过集体决策，但该项目未上报事前评估报告。根据评分标准，项目立项规范性扣1分，得2分。</w:t>
      </w:r>
    </w:p>
    <w:p w14:paraId="599E5D85">
      <w:pPr>
        <w:ind w:firstLine="420" w:firstLineChars="200"/>
      </w:pPr>
      <w:r>
        <w:t>③</w:t>
      </w:r>
      <w:r>
        <w:rPr>
          <w:rFonts w:hint="eastAsia"/>
        </w:rPr>
        <w:t>绩效目标的合理性（满分5分，得分4分）</w:t>
      </w:r>
    </w:p>
    <w:p w14:paraId="748E1E48">
      <w:pPr>
        <w:ind w:firstLine="420" w:firstLineChars="200"/>
      </w:pPr>
      <w:r>
        <w:rPr>
          <w:rFonts w:hint="eastAsia"/>
        </w:rPr>
        <w:t>根据莆田市教育局提供的资料及绩效评价组的资料审查，本项目符合国民经济发展规划，属于莆田市教育局职责范围之内，项目资金绩效目标表的评价标准大部分设置合理，但产出数量指标中有2个指标的自评完成情况比第三季度监控表的完成情况低，存在不符合逻辑的情况。具体是：（1）莆田职校新校区建设面积第三季度已完成14424.96平方米，自评报告中仅完成13000平方米；（2）培训教师人数第三季度已完成235人，自评报告中仅完成180人。另外，绩效目标表中的教师培训覆盖率评分标准的公式设置不合理。根据评分标准，绩效目标的合理性应扣1分，得4分。</w:t>
      </w:r>
    </w:p>
    <w:p w14:paraId="76B5179F">
      <w:pPr>
        <w:ind w:firstLine="420" w:firstLineChars="200"/>
      </w:pPr>
      <w:r>
        <w:t>④绩效指标的明确性</w:t>
      </w:r>
      <w:r>
        <w:rPr>
          <w:rFonts w:hint="eastAsia"/>
        </w:rPr>
        <w:t>（满分4分，得分3分）</w:t>
      </w:r>
    </w:p>
    <w:p w14:paraId="410AB92B">
      <w:pPr>
        <w:ind w:firstLine="420" w:firstLineChars="200"/>
      </w:pPr>
      <w:r>
        <w:rPr>
          <w:rFonts w:hint="eastAsia"/>
        </w:rPr>
        <w:t>根据莆田市教育局提供的材料，《专项资金绩效目标表》将绩效目标细化为可衡量的指标值，与投资额相匹配，实际用途与绩效目标存在不相符的情况。具体是：数量目标中设置莆职校新校区建设面积达10000平方米，但实际资金用于莆职校新校区设备的购置，实际资金用途与绩效目标不相符。根据评分标准，绩效指标的明确性，扣1分，得3分。</w:t>
      </w:r>
    </w:p>
    <w:p w14:paraId="44E892FB">
      <w:pPr>
        <w:ind w:firstLine="420" w:firstLineChars="200"/>
      </w:pPr>
      <w:r>
        <w:t>2</w:t>
      </w:r>
      <w:r>
        <w:rPr>
          <w:rFonts w:hint="eastAsia"/>
        </w:rPr>
        <w:t>.</w:t>
      </w:r>
      <w:r>
        <w:t>项目管理（满分</w:t>
      </w:r>
      <w:r>
        <w:rPr>
          <w:rFonts w:hint="eastAsia"/>
        </w:rPr>
        <w:t>19</w:t>
      </w:r>
      <w:r>
        <w:t>分，得分</w:t>
      </w:r>
      <w:r>
        <w:rPr>
          <w:rFonts w:hint="eastAsia"/>
        </w:rPr>
        <w:t>17.89</w:t>
      </w:r>
      <w:r>
        <w:t>分）</w:t>
      </w:r>
    </w:p>
    <w:p w14:paraId="1F55FA61">
      <w:pPr>
        <w:ind w:firstLine="420" w:firstLineChars="200"/>
      </w:pPr>
      <w:r>
        <w:rPr>
          <w:rFonts w:hint="eastAsia"/>
        </w:rPr>
        <w:t>项目管理指标从投入管理、财务管理和项目实施3个方面进行分析。</w:t>
      </w:r>
    </w:p>
    <w:p w14:paraId="69241D4F">
      <w:pPr>
        <w:ind w:firstLine="420" w:firstLineChars="200"/>
      </w:pPr>
      <w:r>
        <w:t>（1）投入管理</w:t>
      </w:r>
      <w:r>
        <w:rPr>
          <w:rFonts w:hint="eastAsia"/>
        </w:rPr>
        <w:t>（满分2分，得分1.89分）</w:t>
      </w:r>
    </w:p>
    <w:p w14:paraId="0076DBE7">
      <w:pPr>
        <w:ind w:firstLine="420" w:firstLineChars="200"/>
      </w:pPr>
      <w:r>
        <w:t>预算执行率</w:t>
      </w:r>
      <w:r>
        <w:rPr>
          <w:rFonts w:hint="eastAsia"/>
        </w:rPr>
        <w:t>（满分2分，得分1.89分）</w:t>
      </w:r>
    </w:p>
    <w:p w14:paraId="38E9024E">
      <w:pPr>
        <w:ind w:firstLine="420" w:firstLineChars="200"/>
      </w:pPr>
      <w:r>
        <w:rPr>
          <w:rFonts w:hint="eastAsia"/>
        </w:rPr>
        <w:t>根据莆田市教育局提供的资料，2018年职业教育专项补助资金项目共预算下达520万元，预算实际执行率为96%。2019年职业教育专项补助资金项目共预算下达530万元，预算实际执行率为90%。2020年职业教育专项补助资金项目共预算下达540万元，预算执行率为97%。根据评价标准，得分=预算执行率*权重分值=94.3%*2=1.89，预算执行率得1.89分。</w:t>
      </w:r>
    </w:p>
    <w:p w14:paraId="793F8397">
      <w:pPr>
        <w:ind w:firstLine="420" w:firstLineChars="200"/>
      </w:pPr>
      <w:r>
        <w:t>（2）财务管理</w:t>
      </w:r>
      <w:r>
        <w:rPr>
          <w:rFonts w:hint="eastAsia"/>
        </w:rPr>
        <w:t>（满分6分，得分5分）</w:t>
      </w:r>
    </w:p>
    <w:p w14:paraId="00EC5C8C">
      <w:pPr>
        <w:ind w:firstLine="420" w:firstLineChars="200"/>
      </w:pPr>
      <w:r>
        <w:t>①</w:t>
      </w:r>
      <w:r>
        <w:rPr>
          <w:rFonts w:hint="eastAsia"/>
        </w:rPr>
        <w:t>资金使用合规性（满分4分，得分3分）</w:t>
      </w:r>
    </w:p>
    <w:p w14:paraId="44CF47DC">
      <w:pPr>
        <w:ind w:firstLine="420" w:firstLineChars="200"/>
      </w:pPr>
      <w:r>
        <w:rPr>
          <w:rFonts w:hint="eastAsia"/>
        </w:rPr>
        <w:t>根据《职业教育专项补助资金管理办法》（莆财教[2017]255号）、《关于印发&lt;莆田市职业教育发展专项资金管理办法&gt;的通知》(莆财教[2020]190号)、《关于印发&lt;莆田市教育局财务管理制度&gt;的通知》（莆教[2019]35号）资金管理办法，以及调研结果表明,本项目在资金使用上大部分符合规定，审批程序、手续完整，资金使用符合预算批复用途，没有截留、挤占、挪用或脱离监管等情况。抽查莆职校2020年资金使用情况时发现，莆职校该专项资金在2021年2月份购买市春节联欢晚会演出服、丝巾</w:t>
      </w:r>
      <w:r>
        <w:t>2424</w:t>
      </w:r>
      <w:r>
        <w:rPr>
          <w:rFonts w:hint="eastAsia"/>
        </w:rPr>
        <w:t>元在新校区设备购置中列支，超出资金使用范围。根据评价标准，资金使用合规性扣1分，得3分。</w:t>
      </w:r>
    </w:p>
    <w:p w14:paraId="7DCB8B06">
      <w:pPr>
        <w:ind w:firstLine="420" w:firstLineChars="200"/>
      </w:pPr>
      <w:r>
        <w:t>②财务管理制度健全性</w:t>
      </w:r>
      <w:r>
        <w:rPr>
          <w:rFonts w:hint="eastAsia"/>
        </w:rPr>
        <w:t>（满分2分，得分2分）</w:t>
      </w:r>
    </w:p>
    <w:p w14:paraId="69B8078D">
      <w:pPr>
        <w:ind w:firstLine="420" w:firstLineChars="200"/>
      </w:pPr>
      <w:r>
        <w:rPr>
          <w:rFonts w:hint="eastAsia"/>
        </w:rPr>
        <w:t>《关于印发&lt;莆田市职业教育专项资金管理办法&gt;的通知》(莆财教[2017]255号)和《关于印发&lt;莆田市职业教育发展专项资金管理办法&gt;的通知》(莆财教[2020]190号)规定了莆田市教育局和财政局的职责分工、专项资金的安排、使用和分配，专项资金的管理和支出范围、预算绩效管理等方面内容。《关于印发&lt;莆田市教育局财务管理制度&gt;的通知》（莆教[2019]35号）规定了莆田市教育局内部控制工作制度、财务管理规定、政府采购管理办法、固定资产日产管理规定、财务报销规定、合同管理制度等。本项目有专门的资金管理办法和财务会计制度。根据评价标准，财务管理制度健全性得2分。</w:t>
      </w:r>
    </w:p>
    <w:p w14:paraId="7A2C866D">
      <w:pPr>
        <w:ind w:firstLine="420" w:firstLineChars="200"/>
      </w:pPr>
      <w:r>
        <w:t>（3）项目实施</w:t>
      </w:r>
      <w:r>
        <w:rPr>
          <w:rFonts w:hint="eastAsia"/>
        </w:rPr>
        <w:t>（满分11分，得分11分）</w:t>
      </w:r>
    </w:p>
    <w:p w14:paraId="3CF47296">
      <w:pPr>
        <w:ind w:firstLine="420" w:firstLineChars="200"/>
      </w:pPr>
      <w:r>
        <w:t>①管理制度健全性</w:t>
      </w:r>
      <w:r>
        <w:rPr>
          <w:rFonts w:hint="eastAsia"/>
        </w:rPr>
        <w:t>（满分3分，得分3分）</w:t>
      </w:r>
    </w:p>
    <w:p w14:paraId="2955B9A9">
      <w:pPr>
        <w:ind w:firstLine="420" w:firstLineChars="200"/>
      </w:pPr>
      <w:r>
        <w:rPr>
          <w:rFonts w:hint="eastAsia"/>
        </w:rPr>
        <w:t>《莆田市人民政府关于加快发展现代职业教育的实施意见》（莆政综[2016]15号）和《莆田市人民政府办公室关于印发加快发展现代职业教育实施细则的通知》（莆政办[2016]112号），文件要求加快构建现代职业教育体系、促进职业教育与行业、产业、企业深度融合、加强实训基地建设、加强师资队伍建设提高人才培养质量以及相应的保障措施。本项目制定了相应的业务管理制度，管理制度内容完整、具体。根据评价标准，管理制度健全性得3分。</w:t>
      </w:r>
    </w:p>
    <w:p w14:paraId="256709D7">
      <w:pPr>
        <w:ind w:firstLine="420" w:firstLineChars="200"/>
      </w:pPr>
      <w:r>
        <w:t>②制度执行有效性</w:t>
      </w:r>
      <w:r>
        <w:rPr>
          <w:rFonts w:hint="eastAsia"/>
        </w:rPr>
        <w:t>（满分5分，得分5分）</w:t>
      </w:r>
    </w:p>
    <w:p w14:paraId="1CF2F7B2">
      <w:pPr>
        <w:ind w:firstLine="420" w:firstLineChars="200"/>
      </w:pPr>
      <w:r>
        <w:rPr>
          <w:rFonts w:hint="eastAsia"/>
        </w:rPr>
        <w:t>《莆田市人民政府办公室关于印发加快发展现代职业教育实施细则的通知》（莆政办[2016]112号）要求加快构建现代职业教育体系、促进职业教育与行业、产业、企业深度融合、加强实训基地建设、加强师资队伍建设提高人才培养质量以及相应的保障措施。莆田市教育局组织举办了莆田市职业教育成果展。经绩效项目组资料审核，本项目符合业务管理规定，项目验收报告齐全，对项目实施情况监督到位，并在规定期限内完成。据评价标准，制度执行有效性得5分。</w:t>
      </w:r>
    </w:p>
    <w:p w14:paraId="23D4AD1C">
      <w:pPr>
        <w:ind w:firstLine="420" w:firstLineChars="200"/>
      </w:pPr>
      <w:r>
        <w:t>③</w:t>
      </w:r>
      <w:r>
        <w:rPr>
          <w:rFonts w:hint="eastAsia"/>
        </w:rPr>
        <w:t>项目质量的可控性（满分3分，得分3分）</w:t>
      </w:r>
    </w:p>
    <w:p w14:paraId="57BA49A2">
      <w:pPr>
        <w:ind w:firstLine="420" w:firstLineChars="200"/>
      </w:pPr>
      <w:r>
        <w:rPr>
          <w:rFonts w:hint="eastAsia"/>
        </w:rPr>
        <w:t>依据莆田市教育局提供的《</w:t>
      </w:r>
      <w:r>
        <w:t>建立教育局、学校等共同参与的职业教育质量评价报告</w:t>
      </w:r>
      <w:r>
        <w:rPr>
          <w:rFonts w:hint="eastAsia"/>
        </w:rPr>
        <w:t>》、《</w:t>
      </w:r>
      <w:r>
        <w:t>中等职业教育年度质量报告</w:t>
      </w:r>
      <w:r>
        <w:rPr>
          <w:rFonts w:hint="eastAsia"/>
        </w:rPr>
        <w:t>》和</w:t>
      </w:r>
      <w:r>
        <w:t>毕业生就业跟踪调查</w:t>
      </w:r>
      <w:r>
        <w:rPr>
          <w:rFonts w:hint="eastAsia"/>
        </w:rPr>
        <w:t>资料。根据评价标准，项目质量的可控性得3分。</w:t>
      </w:r>
    </w:p>
    <w:p w14:paraId="0CE9DE1F">
      <w:pPr>
        <w:ind w:firstLine="420" w:firstLineChars="200"/>
      </w:pPr>
      <w:r>
        <w:t>3</w:t>
      </w:r>
      <w:r>
        <w:rPr>
          <w:rFonts w:hint="eastAsia"/>
        </w:rPr>
        <w:t>.</w:t>
      </w:r>
      <w:r>
        <w:t>项目绩效（满分6</w:t>
      </w:r>
      <w:r>
        <w:rPr>
          <w:rFonts w:hint="eastAsia"/>
        </w:rPr>
        <w:t>5</w:t>
      </w:r>
      <w:r>
        <w:t>分，得分</w:t>
      </w:r>
      <w:r>
        <w:rPr>
          <w:rFonts w:hint="eastAsia"/>
        </w:rPr>
        <w:t>61.32</w:t>
      </w:r>
      <w:r>
        <w:t>分）</w:t>
      </w:r>
    </w:p>
    <w:p w14:paraId="57CCFB8C">
      <w:pPr>
        <w:ind w:firstLine="420" w:firstLineChars="200"/>
      </w:pPr>
      <w:r>
        <w:rPr>
          <w:rFonts w:hint="eastAsia"/>
        </w:rPr>
        <w:t>项目绩效指标从产出时效、产出数量、产出质量、产出效益、可持续影响指标和服务对象满意度6个方面进行分析。</w:t>
      </w:r>
    </w:p>
    <w:p w14:paraId="55E38D51">
      <w:pPr>
        <w:ind w:firstLine="420" w:firstLineChars="200"/>
      </w:pPr>
      <w:r>
        <w:rPr>
          <w:rFonts w:hint="eastAsia"/>
        </w:rPr>
        <w:t>（1）产出时效（满分6分，得分5.66分）</w:t>
      </w:r>
    </w:p>
    <w:p w14:paraId="111C8A39">
      <w:pPr>
        <w:ind w:firstLine="420" w:firstLineChars="200"/>
      </w:pPr>
      <w:r>
        <w:t>①</w:t>
      </w:r>
      <w:r>
        <w:rPr>
          <w:rFonts w:hint="eastAsia"/>
        </w:rPr>
        <w:t>设备采购任务完成及时性（满分3分，得分2.66分）</w:t>
      </w:r>
    </w:p>
    <w:p w14:paraId="1B0D43F8">
      <w:pPr>
        <w:ind w:firstLine="420" w:firstLineChars="200"/>
      </w:pPr>
      <w:r>
        <w:rPr>
          <w:rFonts w:hint="eastAsia"/>
        </w:rPr>
        <w:t xml:space="preserve">表5 2018--2020年职业教育专项补助资金设备采购明细表   </w:t>
      </w:r>
    </w:p>
    <w:p w14:paraId="57484F4C">
      <w:pPr>
        <w:ind w:firstLine="420" w:firstLineChars="200"/>
      </w:pPr>
      <w:r>
        <w:rPr>
          <w:rFonts w:hint="eastAsia"/>
        </w:rPr>
        <w:t>单位：万元</w:t>
      </w:r>
    </w:p>
    <w:tbl>
      <w:tblPr>
        <w:tblStyle w:val="17"/>
        <w:tblW w:w="8598" w:type="dxa"/>
        <w:jc w:val="center"/>
        <w:tblLayout w:type="fixed"/>
        <w:tblCellMar>
          <w:top w:w="0" w:type="dxa"/>
          <w:left w:w="108" w:type="dxa"/>
          <w:bottom w:w="0" w:type="dxa"/>
          <w:right w:w="108" w:type="dxa"/>
        </w:tblCellMar>
      </w:tblPr>
      <w:tblGrid>
        <w:gridCol w:w="1609"/>
        <w:gridCol w:w="1854"/>
        <w:gridCol w:w="1783"/>
        <w:gridCol w:w="1926"/>
        <w:gridCol w:w="1426"/>
      </w:tblGrid>
      <w:tr w14:paraId="74D37291">
        <w:tblPrEx>
          <w:tblCellMar>
            <w:top w:w="0" w:type="dxa"/>
            <w:left w:w="108" w:type="dxa"/>
            <w:bottom w:w="0" w:type="dxa"/>
            <w:right w:w="108" w:type="dxa"/>
          </w:tblCellMar>
        </w:tblPrEx>
        <w:trPr>
          <w:trHeight w:val="900" w:hRule="atLeast"/>
          <w:jc w:val="center"/>
        </w:trPr>
        <w:tc>
          <w:tcPr>
            <w:tcW w:w="1609" w:type="dxa"/>
            <w:tcBorders>
              <w:top w:val="single" w:color="000000" w:sz="4" w:space="0"/>
              <w:left w:val="single" w:color="000000" w:sz="4" w:space="0"/>
              <w:bottom w:val="single" w:color="000000" w:sz="4" w:space="0"/>
              <w:right w:val="single" w:color="000000" w:sz="4" w:space="0"/>
            </w:tcBorders>
            <w:vAlign w:val="center"/>
          </w:tcPr>
          <w:p w14:paraId="2387BA24"/>
        </w:tc>
        <w:tc>
          <w:tcPr>
            <w:tcW w:w="1854" w:type="dxa"/>
            <w:tcBorders>
              <w:top w:val="single" w:color="000000" w:sz="4" w:space="0"/>
              <w:left w:val="single" w:color="000000" w:sz="4" w:space="0"/>
              <w:bottom w:val="single" w:color="000000" w:sz="4" w:space="0"/>
              <w:right w:val="single" w:color="000000" w:sz="4" w:space="0"/>
            </w:tcBorders>
            <w:vAlign w:val="center"/>
          </w:tcPr>
          <w:p w14:paraId="359CF4B8">
            <w:pPr>
              <w:rPr>
                <w:rFonts w:hint="eastAsia" w:eastAsiaTheme="minorEastAsia"/>
                <w:lang w:eastAsia="zh-CN"/>
              </w:rPr>
            </w:pPr>
            <w:r>
              <w:rPr>
                <w:rFonts w:hint="eastAsia"/>
              </w:rPr>
              <w:t>预算下达设备</w:t>
            </w:r>
          </w:p>
          <w:p w14:paraId="44432378">
            <w:r>
              <w:rPr>
                <w:rFonts w:hint="eastAsia"/>
              </w:rPr>
              <w:t>采购金额</w:t>
            </w:r>
          </w:p>
        </w:tc>
        <w:tc>
          <w:tcPr>
            <w:tcW w:w="1783" w:type="dxa"/>
            <w:tcBorders>
              <w:top w:val="single" w:color="000000" w:sz="4" w:space="0"/>
              <w:left w:val="single" w:color="000000" w:sz="4" w:space="0"/>
              <w:bottom w:val="single" w:color="000000" w:sz="4" w:space="0"/>
              <w:right w:val="single" w:color="000000" w:sz="4" w:space="0"/>
            </w:tcBorders>
            <w:vAlign w:val="center"/>
          </w:tcPr>
          <w:p w14:paraId="71BA8A97">
            <w:pPr>
              <w:rPr>
                <w:rFonts w:hint="eastAsia" w:eastAsiaTheme="minorEastAsia"/>
                <w:lang w:eastAsia="zh-CN"/>
              </w:rPr>
            </w:pPr>
            <w:r>
              <w:rPr>
                <w:rFonts w:hint="eastAsia"/>
              </w:rPr>
              <w:t>当年度完成</w:t>
            </w:r>
          </w:p>
          <w:p w14:paraId="104CA424">
            <w:r>
              <w:rPr>
                <w:rFonts w:hint="eastAsia"/>
              </w:rPr>
              <w:t>采购金额</w:t>
            </w:r>
          </w:p>
        </w:tc>
        <w:tc>
          <w:tcPr>
            <w:tcW w:w="1926" w:type="dxa"/>
            <w:tcBorders>
              <w:top w:val="single" w:color="000000" w:sz="4" w:space="0"/>
              <w:left w:val="single" w:color="000000" w:sz="4" w:space="0"/>
              <w:bottom w:val="single" w:color="000000" w:sz="4" w:space="0"/>
              <w:right w:val="single" w:color="000000" w:sz="4" w:space="0"/>
            </w:tcBorders>
            <w:vAlign w:val="center"/>
          </w:tcPr>
          <w:p w14:paraId="1C6601C9">
            <w:pPr>
              <w:rPr>
                <w:rFonts w:hint="eastAsia" w:eastAsiaTheme="minorEastAsia"/>
                <w:lang w:eastAsia="zh-CN"/>
              </w:rPr>
            </w:pPr>
            <w:r>
              <w:rPr>
                <w:rFonts w:hint="eastAsia"/>
              </w:rPr>
              <w:t>逾期完成</w:t>
            </w:r>
          </w:p>
          <w:p w14:paraId="5101C102">
            <w:r>
              <w:rPr>
                <w:rFonts w:hint="eastAsia"/>
              </w:rPr>
              <w:t>采购金额</w:t>
            </w:r>
          </w:p>
        </w:tc>
        <w:tc>
          <w:tcPr>
            <w:tcW w:w="1426" w:type="dxa"/>
            <w:tcBorders>
              <w:top w:val="single" w:color="000000" w:sz="4" w:space="0"/>
              <w:left w:val="single" w:color="000000" w:sz="4" w:space="0"/>
              <w:bottom w:val="single" w:color="000000" w:sz="4" w:space="0"/>
              <w:right w:val="single" w:color="000000" w:sz="4" w:space="0"/>
            </w:tcBorders>
            <w:vAlign w:val="center"/>
          </w:tcPr>
          <w:p w14:paraId="6204EDDE">
            <w:r>
              <w:rPr>
                <w:rFonts w:hint="eastAsia"/>
              </w:rPr>
              <w:t>已完成采购设备是否验收合格</w:t>
            </w:r>
          </w:p>
        </w:tc>
      </w:tr>
      <w:tr w14:paraId="4CA2208D">
        <w:tblPrEx>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ign w:val="center"/>
          </w:tcPr>
          <w:p w14:paraId="14EA43CF">
            <w:r>
              <w:rPr>
                <w:rFonts w:hint="eastAsia"/>
              </w:rPr>
              <w:t>2018年</w:t>
            </w:r>
          </w:p>
        </w:tc>
        <w:tc>
          <w:tcPr>
            <w:tcW w:w="1854" w:type="dxa"/>
            <w:tcBorders>
              <w:top w:val="single" w:color="000000" w:sz="4" w:space="0"/>
              <w:left w:val="single" w:color="000000" w:sz="4" w:space="0"/>
              <w:bottom w:val="single" w:color="000000" w:sz="4" w:space="0"/>
              <w:right w:val="single" w:color="000000" w:sz="4" w:space="0"/>
            </w:tcBorders>
            <w:vAlign w:val="center"/>
          </w:tcPr>
          <w:p w14:paraId="1B3F3962">
            <w:r>
              <w:rPr>
                <w:rFonts w:hint="eastAsia"/>
              </w:rPr>
              <w:t>332.56</w:t>
            </w:r>
          </w:p>
        </w:tc>
        <w:tc>
          <w:tcPr>
            <w:tcW w:w="1783" w:type="dxa"/>
            <w:tcBorders>
              <w:top w:val="single" w:color="000000" w:sz="4" w:space="0"/>
              <w:left w:val="single" w:color="000000" w:sz="4" w:space="0"/>
              <w:bottom w:val="single" w:color="000000" w:sz="4" w:space="0"/>
              <w:right w:val="single" w:color="000000" w:sz="4" w:space="0"/>
            </w:tcBorders>
            <w:vAlign w:val="center"/>
          </w:tcPr>
          <w:p w14:paraId="4D3EB478">
            <w:r>
              <w:rPr>
                <w:rFonts w:hint="eastAsia"/>
              </w:rPr>
              <w:t>332.56</w:t>
            </w:r>
          </w:p>
        </w:tc>
        <w:tc>
          <w:tcPr>
            <w:tcW w:w="1926" w:type="dxa"/>
            <w:tcBorders>
              <w:top w:val="single" w:color="000000" w:sz="4" w:space="0"/>
              <w:left w:val="single" w:color="000000" w:sz="4" w:space="0"/>
              <w:bottom w:val="single" w:color="000000" w:sz="4" w:space="0"/>
              <w:right w:val="single" w:color="000000" w:sz="4" w:space="0"/>
            </w:tcBorders>
            <w:vAlign w:val="center"/>
          </w:tcPr>
          <w:p w14:paraId="045A65B4">
            <w:r>
              <w:rPr>
                <w:rFonts w:hint="eastAsia"/>
              </w:rPr>
              <w:t>0</w:t>
            </w:r>
          </w:p>
        </w:tc>
        <w:tc>
          <w:tcPr>
            <w:tcW w:w="1426" w:type="dxa"/>
            <w:tcBorders>
              <w:top w:val="single" w:color="000000" w:sz="4" w:space="0"/>
              <w:left w:val="single" w:color="000000" w:sz="4" w:space="0"/>
              <w:bottom w:val="single" w:color="000000" w:sz="4" w:space="0"/>
              <w:right w:val="single" w:color="000000" w:sz="4" w:space="0"/>
            </w:tcBorders>
            <w:vAlign w:val="center"/>
          </w:tcPr>
          <w:p w14:paraId="7B44D932">
            <w:r>
              <w:rPr>
                <w:rFonts w:hint="eastAsia"/>
              </w:rPr>
              <w:t>是</w:t>
            </w:r>
          </w:p>
        </w:tc>
      </w:tr>
      <w:tr w14:paraId="0B888C42">
        <w:tblPrEx>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vAlign w:val="center"/>
          </w:tcPr>
          <w:p w14:paraId="16A5B6B7">
            <w:r>
              <w:rPr>
                <w:rFonts w:hint="eastAsia"/>
              </w:rPr>
              <w:t>2019年</w:t>
            </w:r>
          </w:p>
        </w:tc>
        <w:tc>
          <w:tcPr>
            <w:tcW w:w="1854" w:type="dxa"/>
            <w:tcBorders>
              <w:top w:val="single" w:color="000000" w:sz="4" w:space="0"/>
              <w:left w:val="single" w:color="000000" w:sz="4" w:space="0"/>
              <w:bottom w:val="single" w:color="000000" w:sz="4" w:space="0"/>
              <w:right w:val="single" w:color="000000" w:sz="4" w:space="0"/>
            </w:tcBorders>
            <w:vAlign w:val="center"/>
          </w:tcPr>
          <w:p w14:paraId="7CCD8D7B">
            <w:r>
              <w:rPr>
                <w:rFonts w:hint="eastAsia"/>
              </w:rPr>
              <w:t>400</w:t>
            </w:r>
          </w:p>
        </w:tc>
        <w:tc>
          <w:tcPr>
            <w:tcW w:w="1783" w:type="dxa"/>
            <w:tcBorders>
              <w:top w:val="single" w:color="000000" w:sz="4" w:space="0"/>
              <w:left w:val="single" w:color="000000" w:sz="4" w:space="0"/>
              <w:bottom w:val="single" w:color="000000" w:sz="4" w:space="0"/>
              <w:right w:val="single" w:color="000000" w:sz="4" w:space="0"/>
            </w:tcBorders>
            <w:vAlign w:val="center"/>
          </w:tcPr>
          <w:p w14:paraId="5FE19B8C">
            <w:r>
              <w:rPr>
                <w:rFonts w:hint="eastAsia"/>
              </w:rPr>
              <w:t>400</w:t>
            </w:r>
          </w:p>
        </w:tc>
        <w:tc>
          <w:tcPr>
            <w:tcW w:w="1926" w:type="dxa"/>
            <w:tcBorders>
              <w:top w:val="single" w:color="000000" w:sz="4" w:space="0"/>
              <w:left w:val="single" w:color="000000" w:sz="4" w:space="0"/>
              <w:bottom w:val="single" w:color="000000" w:sz="4" w:space="0"/>
              <w:right w:val="single" w:color="000000" w:sz="4" w:space="0"/>
            </w:tcBorders>
            <w:vAlign w:val="center"/>
          </w:tcPr>
          <w:p w14:paraId="2EFA184D">
            <w:r>
              <w:rPr>
                <w:rFonts w:hint="eastAsia"/>
              </w:rPr>
              <w:t>0</w:t>
            </w:r>
          </w:p>
        </w:tc>
        <w:tc>
          <w:tcPr>
            <w:tcW w:w="1426" w:type="dxa"/>
            <w:tcBorders>
              <w:top w:val="single" w:color="000000" w:sz="4" w:space="0"/>
              <w:left w:val="single" w:color="000000" w:sz="4" w:space="0"/>
              <w:bottom w:val="single" w:color="000000" w:sz="4" w:space="0"/>
              <w:right w:val="single" w:color="000000" w:sz="4" w:space="0"/>
            </w:tcBorders>
            <w:vAlign w:val="center"/>
          </w:tcPr>
          <w:p w14:paraId="26FE7D57">
            <w:r>
              <w:rPr>
                <w:rFonts w:hint="eastAsia"/>
              </w:rPr>
              <w:t>是</w:t>
            </w:r>
          </w:p>
        </w:tc>
      </w:tr>
      <w:tr w14:paraId="526C755F">
        <w:tblPrEx>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ign w:val="center"/>
          </w:tcPr>
          <w:p w14:paraId="234F6BE9">
            <w:r>
              <w:rPr>
                <w:rFonts w:hint="eastAsia"/>
              </w:rPr>
              <w:t>2020年</w:t>
            </w:r>
          </w:p>
        </w:tc>
        <w:tc>
          <w:tcPr>
            <w:tcW w:w="1854" w:type="dxa"/>
            <w:tcBorders>
              <w:top w:val="single" w:color="000000" w:sz="4" w:space="0"/>
              <w:left w:val="single" w:color="000000" w:sz="4" w:space="0"/>
              <w:bottom w:val="single" w:color="000000" w:sz="4" w:space="0"/>
              <w:right w:val="single" w:color="000000" w:sz="4" w:space="0"/>
            </w:tcBorders>
            <w:vAlign w:val="center"/>
          </w:tcPr>
          <w:p w14:paraId="394D843D">
            <w:r>
              <w:rPr>
                <w:rFonts w:hint="eastAsia"/>
              </w:rPr>
              <w:t>455.20</w:t>
            </w:r>
          </w:p>
        </w:tc>
        <w:tc>
          <w:tcPr>
            <w:tcW w:w="1783" w:type="dxa"/>
            <w:tcBorders>
              <w:top w:val="single" w:color="000000" w:sz="4" w:space="0"/>
              <w:left w:val="single" w:color="000000" w:sz="4" w:space="0"/>
              <w:bottom w:val="single" w:color="000000" w:sz="4" w:space="0"/>
              <w:right w:val="single" w:color="000000" w:sz="4" w:space="0"/>
            </w:tcBorders>
            <w:vAlign w:val="center"/>
          </w:tcPr>
          <w:p w14:paraId="1181B74A">
            <w:r>
              <w:rPr>
                <w:rFonts w:hint="eastAsia"/>
              </w:rPr>
              <w:t>319.89</w:t>
            </w:r>
          </w:p>
        </w:tc>
        <w:tc>
          <w:tcPr>
            <w:tcW w:w="1926" w:type="dxa"/>
            <w:tcBorders>
              <w:top w:val="single" w:color="000000" w:sz="4" w:space="0"/>
              <w:left w:val="single" w:color="000000" w:sz="4" w:space="0"/>
              <w:bottom w:val="single" w:color="000000" w:sz="4" w:space="0"/>
              <w:right w:val="single" w:color="000000" w:sz="4" w:space="0"/>
            </w:tcBorders>
            <w:vAlign w:val="center"/>
          </w:tcPr>
          <w:p w14:paraId="38D156EA">
            <w:r>
              <w:rPr>
                <w:rFonts w:hint="eastAsia"/>
              </w:rPr>
              <w:t>135.31</w:t>
            </w:r>
          </w:p>
        </w:tc>
        <w:tc>
          <w:tcPr>
            <w:tcW w:w="1426" w:type="dxa"/>
            <w:tcBorders>
              <w:top w:val="single" w:color="000000" w:sz="4" w:space="0"/>
              <w:left w:val="single" w:color="000000" w:sz="4" w:space="0"/>
              <w:bottom w:val="single" w:color="000000" w:sz="4" w:space="0"/>
              <w:right w:val="single" w:color="000000" w:sz="4" w:space="0"/>
            </w:tcBorders>
            <w:vAlign w:val="center"/>
          </w:tcPr>
          <w:p w14:paraId="148AA501">
            <w:r>
              <w:rPr>
                <w:rFonts w:hint="eastAsia"/>
              </w:rPr>
              <w:t>是</w:t>
            </w:r>
          </w:p>
        </w:tc>
      </w:tr>
      <w:tr w14:paraId="61CB8679">
        <w:tblPrEx>
          <w:tblCellMar>
            <w:top w:w="0" w:type="dxa"/>
            <w:left w:w="108" w:type="dxa"/>
            <w:bottom w:w="0" w:type="dxa"/>
            <w:right w:w="108" w:type="dxa"/>
          </w:tblCellMar>
        </w:tblPrEx>
        <w:trPr>
          <w:trHeight w:val="631" w:hRule="atLeast"/>
          <w:jc w:val="center"/>
        </w:trPr>
        <w:tc>
          <w:tcPr>
            <w:tcW w:w="1609" w:type="dxa"/>
            <w:tcBorders>
              <w:top w:val="single" w:color="000000" w:sz="4" w:space="0"/>
              <w:left w:val="single" w:color="000000" w:sz="4" w:space="0"/>
              <w:bottom w:val="single" w:color="000000" w:sz="4" w:space="0"/>
              <w:right w:val="single" w:color="000000" w:sz="4" w:space="0"/>
            </w:tcBorders>
            <w:noWrap/>
            <w:vAlign w:val="center"/>
          </w:tcPr>
          <w:p w14:paraId="29820EAD">
            <w:r>
              <w:rPr>
                <w:rFonts w:hint="eastAsia"/>
              </w:rPr>
              <w:t>合计</w:t>
            </w:r>
          </w:p>
        </w:tc>
        <w:tc>
          <w:tcPr>
            <w:tcW w:w="1854" w:type="dxa"/>
            <w:tcBorders>
              <w:top w:val="single" w:color="000000" w:sz="4" w:space="0"/>
              <w:left w:val="single" w:color="000000" w:sz="4" w:space="0"/>
              <w:bottom w:val="single" w:color="000000" w:sz="4" w:space="0"/>
              <w:right w:val="single" w:color="000000" w:sz="4" w:space="0"/>
            </w:tcBorders>
            <w:vAlign w:val="center"/>
          </w:tcPr>
          <w:p w14:paraId="0D52805F">
            <w:r>
              <w:rPr>
                <w:rFonts w:hint="eastAsia"/>
              </w:rPr>
              <w:t>1187.76</w:t>
            </w:r>
          </w:p>
        </w:tc>
        <w:tc>
          <w:tcPr>
            <w:tcW w:w="1783" w:type="dxa"/>
            <w:tcBorders>
              <w:top w:val="single" w:color="000000" w:sz="4" w:space="0"/>
              <w:left w:val="single" w:color="000000" w:sz="4" w:space="0"/>
              <w:bottom w:val="single" w:color="000000" w:sz="4" w:space="0"/>
              <w:right w:val="single" w:color="000000" w:sz="4" w:space="0"/>
            </w:tcBorders>
            <w:vAlign w:val="center"/>
          </w:tcPr>
          <w:p w14:paraId="09EF1BED">
            <w:r>
              <w:rPr>
                <w:rFonts w:hint="eastAsia"/>
              </w:rPr>
              <w:t>1052.45</w:t>
            </w:r>
          </w:p>
        </w:tc>
        <w:tc>
          <w:tcPr>
            <w:tcW w:w="1926" w:type="dxa"/>
            <w:tcBorders>
              <w:top w:val="single" w:color="000000" w:sz="4" w:space="0"/>
              <w:left w:val="single" w:color="000000" w:sz="4" w:space="0"/>
              <w:bottom w:val="single" w:color="000000" w:sz="4" w:space="0"/>
              <w:right w:val="single" w:color="000000" w:sz="4" w:space="0"/>
            </w:tcBorders>
            <w:vAlign w:val="center"/>
          </w:tcPr>
          <w:p w14:paraId="036E22CF">
            <w:r>
              <w:rPr>
                <w:rFonts w:hint="eastAsia"/>
              </w:rPr>
              <w:t>135.31</w:t>
            </w:r>
          </w:p>
        </w:tc>
        <w:tc>
          <w:tcPr>
            <w:tcW w:w="1426" w:type="dxa"/>
            <w:tcBorders>
              <w:top w:val="single" w:color="000000" w:sz="4" w:space="0"/>
              <w:left w:val="single" w:color="000000" w:sz="4" w:space="0"/>
              <w:bottom w:val="single" w:color="000000" w:sz="4" w:space="0"/>
              <w:right w:val="single" w:color="000000" w:sz="4" w:space="0"/>
            </w:tcBorders>
            <w:vAlign w:val="center"/>
          </w:tcPr>
          <w:p w14:paraId="7B32E730"/>
        </w:tc>
      </w:tr>
    </w:tbl>
    <w:p w14:paraId="623DA0E8">
      <w:pPr>
        <w:ind w:firstLine="420" w:firstLineChars="200"/>
      </w:pPr>
      <w:r>
        <w:rPr>
          <w:rFonts w:hint="eastAsia"/>
        </w:rPr>
        <w:t>根据市教育局提供的材料分析，2020年中有135.31万元设备购置延迟到2021年，设备采购总金额315.20万元，得分=（1187.76-135.31）/1187.76*100%*3=2.66分。根据评价标准，设备采购任务完成及时性得2.66分。</w:t>
      </w:r>
    </w:p>
    <w:p w14:paraId="0E0F7223">
      <w:pPr>
        <w:ind w:firstLine="420" w:firstLineChars="200"/>
      </w:pPr>
      <w:r>
        <w:t>②</w:t>
      </w:r>
      <w:r>
        <w:rPr>
          <w:rFonts w:hint="eastAsia"/>
        </w:rPr>
        <w:t>学生技能大赛奖金发放及时性（满分3分，得分3分）</w:t>
      </w:r>
    </w:p>
    <w:p w14:paraId="6B07759B">
      <w:pPr>
        <w:ind w:firstLine="420" w:firstLineChars="200"/>
      </w:pPr>
      <w:r>
        <w:rPr>
          <w:rFonts w:hint="eastAsia"/>
        </w:rPr>
        <w:t>抽查2020年学生技能大赛奖金发放情况，根据《关于公布2019年度福建省职业院校技能大赛获奖名单的通知》（闽职技赛组[2019]1号）文件和奖金发放表，莆田市教育局于2020年6月下达职业教育专项补助经费48.2万元到相关中职学校，经绩效评价组实地调研，截止至2020年12月31日，各校均已发放完成。根据评价标准，学生技能大赛奖金发放及时性得3分。</w:t>
      </w:r>
    </w:p>
    <w:p w14:paraId="124158F7">
      <w:pPr>
        <w:ind w:firstLine="420" w:firstLineChars="200"/>
      </w:pPr>
      <w:r>
        <w:t>（</w:t>
      </w:r>
      <w:r>
        <w:rPr>
          <w:rFonts w:hint="eastAsia"/>
        </w:rPr>
        <w:t>2</w:t>
      </w:r>
      <w:r>
        <w:t>）产出数量</w:t>
      </w:r>
      <w:r>
        <w:rPr>
          <w:rFonts w:hint="eastAsia"/>
        </w:rPr>
        <w:t>（满分27分，得分25.65分）</w:t>
      </w:r>
    </w:p>
    <w:p w14:paraId="11928B0D">
      <w:pPr>
        <w:ind w:firstLine="420" w:firstLineChars="200"/>
      </w:pPr>
      <w:r>
        <w:t>①</w:t>
      </w:r>
      <w:r>
        <w:rPr>
          <w:rFonts w:hint="eastAsia"/>
        </w:rPr>
        <w:t>新校区设备购置完成率（满分5分，得分5分）</w:t>
      </w:r>
    </w:p>
    <w:p w14:paraId="15866284">
      <w:pPr>
        <w:ind w:firstLine="420" w:firstLineChars="200"/>
      </w:pPr>
      <w:r>
        <w:rPr>
          <w:rFonts w:hint="eastAsia"/>
        </w:rPr>
        <w:t>根据市教育局提供的2018-2020年设备采购明细表及抽查2020年验收报告单，2020年实际完成购置任务315.20万元，计划购置任务320万元。新校区设备购置完成率=315.20/320*100%=98.50%。根据评价标准，新校区设备购置完成率得5分。</w:t>
      </w:r>
    </w:p>
    <w:p w14:paraId="7FC8BEA0">
      <w:pPr>
        <w:ind w:firstLine="420" w:firstLineChars="200"/>
      </w:pPr>
      <w:r>
        <w:t>②</w:t>
      </w:r>
      <w:r>
        <w:rPr>
          <w:rFonts w:hint="eastAsia"/>
        </w:rPr>
        <w:t>培训教师人数完成率（满分5分，得分4.65分）</w:t>
      </w:r>
    </w:p>
    <w:p w14:paraId="04144734">
      <w:pPr>
        <w:ind w:firstLine="420" w:firstLineChars="200"/>
      </w:pPr>
      <w:r>
        <w:rPr>
          <w:rFonts w:hint="eastAsia"/>
        </w:rPr>
        <w:t>抽查2020年教师培训实施情况，2020年中职教师培训</w:t>
      </w:r>
      <w:r>
        <w:t>实际</w:t>
      </w:r>
      <w:r>
        <w:rPr>
          <w:rFonts w:hint="eastAsia"/>
        </w:rPr>
        <w:t>参加人数是</w:t>
      </w:r>
      <w:r>
        <w:t>251人</w:t>
      </w:r>
      <w:r>
        <w:rPr>
          <w:rFonts w:hint="eastAsia"/>
        </w:rPr>
        <w:t>，</w:t>
      </w:r>
      <w:r>
        <w:t>培训教师计划数</w:t>
      </w:r>
      <w:r>
        <w:rPr>
          <w:rFonts w:hint="eastAsia"/>
        </w:rPr>
        <w:t>是</w:t>
      </w:r>
      <w:r>
        <w:t>270人</w:t>
      </w:r>
      <w:r>
        <w:rPr>
          <w:rFonts w:hint="eastAsia"/>
        </w:rPr>
        <w:t>。完成率＝251/270*100%</w:t>
      </w:r>
      <w:r>
        <w:t>=93%</w:t>
      </w:r>
      <w:r>
        <w:rPr>
          <w:rFonts w:hint="eastAsia"/>
        </w:rPr>
        <w:t>，得分=5*93%=4.65分。根据评价标准，培训教师人数完成率得4.65分。</w:t>
      </w:r>
    </w:p>
    <w:p w14:paraId="304F49DA">
      <w:pPr>
        <w:ind w:firstLine="420" w:firstLineChars="200"/>
      </w:pPr>
      <w:r>
        <w:t>③</w:t>
      </w:r>
      <w:r>
        <w:rPr>
          <w:rFonts w:hint="eastAsia"/>
        </w:rPr>
        <w:t>专业特色校内实训基地数量（满分5分，得分5分）</w:t>
      </w:r>
    </w:p>
    <w:p w14:paraId="7DDCA463">
      <w:pPr>
        <w:ind w:firstLine="420" w:firstLineChars="200"/>
      </w:pPr>
      <w:r>
        <w:rPr>
          <w:rFonts w:hint="eastAsia"/>
        </w:rPr>
        <w:t>根据莆田市教育局提供的《专业特色校内实训基地明细表》和绩效评估组的调研，截止到2020年，湄职校和莆职校校内专业特色实训基地累计已达14个。根据评价标准，专业特色校内实训基地数量得5分。</w:t>
      </w:r>
    </w:p>
    <w:tbl>
      <w:tblPr>
        <w:tblStyle w:val="17"/>
        <w:tblpPr w:leftFromText="180" w:rightFromText="180" w:vertAnchor="text" w:horzAnchor="page" w:tblpXSpec="center" w:tblpY="234"/>
        <w:tblOverlap w:val="never"/>
        <w:tblW w:w="0" w:type="auto"/>
        <w:jc w:val="center"/>
        <w:tblLayout w:type="fixed"/>
        <w:tblCellMar>
          <w:top w:w="0" w:type="dxa"/>
          <w:left w:w="0" w:type="dxa"/>
          <w:bottom w:w="0" w:type="dxa"/>
          <w:right w:w="0" w:type="dxa"/>
        </w:tblCellMar>
      </w:tblPr>
      <w:tblGrid>
        <w:gridCol w:w="560"/>
        <w:gridCol w:w="960"/>
        <w:gridCol w:w="1970"/>
        <w:gridCol w:w="3950"/>
        <w:gridCol w:w="1410"/>
      </w:tblGrid>
      <w:tr w14:paraId="686A4607">
        <w:tblPrEx>
          <w:tblCellMar>
            <w:top w:w="0" w:type="dxa"/>
            <w:left w:w="0" w:type="dxa"/>
            <w:bottom w:w="0" w:type="dxa"/>
            <w:right w:w="0" w:type="dxa"/>
          </w:tblCellMar>
        </w:tblPrEx>
        <w:trPr>
          <w:trHeight w:val="312" w:hRule="atLeast"/>
          <w:jc w:val="center"/>
        </w:trPr>
        <w:tc>
          <w:tcPr>
            <w:tcW w:w="8850" w:type="dxa"/>
            <w:gridSpan w:val="5"/>
            <w:tcBorders>
              <w:top w:val="nil"/>
              <w:left w:val="nil"/>
              <w:bottom w:val="nil"/>
              <w:right w:val="nil"/>
            </w:tcBorders>
            <w:tcMar>
              <w:top w:w="10" w:type="dxa"/>
              <w:left w:w="10" w:type="dxa"/>
              <w:right w:w="10" w:type="dxa"/>
            </w:tcMar>
            <w:vAlign w:val="center"/>
          </w:tcPr>
          <w:p w14:paraId="784A2916">
            <w:r>
              <w:rPr>
                <w:rFonts w:hint="eastAsia"/>
              </w:rPr>
              <w:t>表6   专业特色校内实训基地明细表</w:t>
            </w:r>
          </w:p>
        </w:tc>
      </w:tr>
      <w:tr w14:paraId="1404647A">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CC9891">
            <w:r>
              <w:rPr>
                <w:rFonts w:hint="eastAsia"/>
              </w:rPr>
              <w:t>序号</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ABAE60">
            <w:r>
              <w:rPr>
                <w:rFonts w:hint="eastAsia"/>
              </w:rPr>
              <w:t>学校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46ABE8">
            <w:r>
              <w:rPr>
                <w:rFonts w:hint="eastAsia"/>
              </w:rPr>
              <w:t>基地名称</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1BE79D">
            <w:r>
              <w:rPr>
                <w:rFonts w:hint="eastAsia"/>
              </w:rPr>
              <w:t>面向专业</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46768B">
            <w:r>
              <w:rPr>
                <w:rFonts w:hint="eastAsia"/>
              </w:rPr>
              <w:t>面积（平方米）</w:t>
            </w:r>
          </w:p>
        </w:tc>
      </w:tr>
      <w:tr w14:paraId="7B9F6284">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FAF631">
            <w:r>
              <w:rPr>
                <w:rFonts w:hint="eastAsia"/>
              </w:rPr>
              <w:t>1</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E29CB7">
            <w:r>
              <w:rPr>
                <w:rFonts w:hint="eastAsia"/>
              </w:rPr>
              <w:t>莆职校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D816F0">
            <w:r>
              <w:rPr>
                <w:rFonts w:hint="eastAsia"/>
              </w:rPr>
              <w:t>智能家居</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797121">
            <w:r>
              <w:rPr>
                <w:rFonts w:hint="eastAsia"/>
              </w:rPr>
              <w:t>电子与信息技术，计算机网络技术</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781286">
            <w:r>
              <w:rPr>
                <w:rFonts w:hint="eastAsia"/>
              </w:rPr>
              <w:t>170</w:t>
            </w:r>
          </w:p>
        </w:tc>
      </w:tr>
      <w:tr w14:paraId="5EB8D375">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24AC3D">
            <w:r>
              <w:rPr>
                <w:rFonts w:hint="eastAsia"/>
              </w:rPr>
              <w:t>2</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09B1A4">
            <w:r>
              <w:rPr>
                <w:rFonts w:hint="eastAsia"/>
              </w:rPr>
              <w:t>莆职校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251EF2">
            <w:r>
              <w:rPr>
                <w:rFonts w:hint="eastAsia"/>
              </w:rPr>
              <w:t>服装设计与工艺实训</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7B256B">
            <w:r>
              <w:rPr>
                <w:rFonts w:hint="eastAsia"/>
              </w:rPr>
              <w:t>服装设计与工艺，服装制作与生产管理</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5ECA23">
            <w:r>
              <w:rPr>
                <w:rFonts w:hint="eastAsia"/>
              </w:rPr>
              <w:t>570</w:t>
            </w:r>
          </w:p>
        </w:tc>
      </w:tr>
      <w:tr w14:paraId="73402A9D">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EC879B">
            <w:r>
              <w:rPr>
                <w:rFonts w:hint="eastAsia"/>
              </w:rPr>
              <w:t>3</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D94F5C">
            <w:r>
              <w:rPr>
                <w:rFonts w:hint="eastAsia"/>
              </w:rPr>
              <w:t>莆职校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74105F">
            <w:r>
              <w:rPr>
                <w:rFonts w:hint="eastAsia"/>
              </w:rPr>
              <w:t>中餐烹饪</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465F92">
            <w:r>
              <w:rPr>
                <w:rFonts w:hint="eastAsia"/>
              </w:rPr>
              <w:t>中餐烹饪</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849DFF">
            <w:r>
              <w:rPr>
                <w:rFonts w:hint="eastAsia"/>
              </w:rPr>
              <w:t>200</w:t>
            </w:r>
          </w:p>
        </w:tc>
      </w:tr>
      <w:tr w14:paraId="1C4895CE">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F427B6">
            <w:r>
              <w:rPr>
                <w:rFonts w:hint="eastAsia"/>
              </w:rPr>
              <w:t>4</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C1746F">
            <w:r>
              <w:rPr>
                <w:rFonts w:hint="eastAsia"/>
              </w:rPr>
              <w:t>莆职校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02A214">
            <w:r>
              <w:rPr>
                <w:rFonts w:hint="eastAsia"/>
              </w:rPr>
              <w:t>财经商贸综合实训</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4F09F0">
            <w:r>
              <w:rPr>
                <w:rFonts w:hint="eastAsia"/>
              </w:rPr>
              <w:t>会计、市场营销、电子商务</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0988B9">
            <w:r>
              <w:rPr>
                <w:rFonts w:hint="eastAsia"/>
              </w:rPr>
              <w:t>800</w:t>
            </w:r>
          </w:p>
        </w:tc>
      </w:tr>
      <w:tr w14:paraId="51BAE216">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10641B">
            <w:r>
              <w:rPr>
                <w:rFonts w:hint="eastAsia"/>
              </w:rPr>
              <w:t>5</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64594C">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981521">
            <w:r>
              <w:rPr>
                <w:rFonts w:hint="eastAsia"/>
              </w:rPr>
              <w:t>会计实训中心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60A9BB">
            <w:pPr>
              <w:rPr>
                <w:rFonts w:hint="eastAsia" w:eastAsiaTheme="minorEastAsia"/>
                <w:lang w:eastAsia="zh-CN"/>
              </w:rPr>
            </w:pPr>
            <w:r>
              <w:rPr>
                <w:rFonts w:hint="eastAsia"/>
              </w:rPr>
              <w:t>会计、市场营销、电子商务、</w:t>
            </w:r>
          </w:p>
          <w:p w14:paraId="2D524BAE">
            <w:r>
              <w:rPr>
                <w:rFonts w:hint="eastAsia"/>
              </w:rPr>
              <w:t>连锁经营与管理、铁道运输与管理</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6944E8">
            <w:r>
              <w:rPr>
                <w:rFonts w:hint="eastAsia"/>
              </w:rPr>
              <w:t>840</w:t>
            </w:r>
          </w:p>
        </w:tc>
      </w:tr>
      <w:tr w14:paraId="4BC4A280">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E59DDA">
            <w:r>
              <w:rPr>
                <w:rFonts w:hint="eastAsia"/>
              </w:rPr>
              <w:t>6</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303033">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B177B5">
            <w:r>
              <w:rPr>
                <w:rFonts w:hint="eastAsia"/>
              </w:rPr>
              <w:t>电子实训中心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8565AD">
            <w:pPr>
              <w:ind w:firstLine="420" w:firstLineChars="200"/>
            </w:pPr>
            <w:r>
              <w:rPr>
                <w:rFonts w:hint="eastAsia"/>
              </w:rPr>
              <w:t>电气技术应用、电子技术应用、</w:t>
            </w:r>
          </w:p>
          <w:p w14:paraId="6CD0031A">
            <w:pPr>
              <w:ind w:firstLine="420" w:firstLineChars="200"/>
            </w:pPr>
            <w:r>
              <w:rPr>
                <w:rFonts w:hint="eastAsia"/>
              </w:rPr>
              <w:t>电子与信息技术</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E83C74">
            <w:r>
              <w:rPr>
                <w:rFonts w:hint="eastAsia"/>
              </w:rPr>
              <w:t>3154</w:t>
            </w:r>
          </w:p>
        </w:tc>
      </w:tr>
      <w:tr w14:paraId="5C22A790">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5A30B2">
            <w:r>
              <w:rPr>
                <w:rFonts w:hint="eastAsia"/>
              </w:rPr>
              <w:t>7</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50937B">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7C25BC">
            <w:r>
              <w:rPr>
                <w:rFonts w:hint="eastAsia"/>
              </w:rPr>
              <w:t>化工单元操作及仪表实训中心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D68632">
            <w:r>
              <w:rPr>
                <w:rFonts w:hint="eastAsia"/>
              </w:rPr>
              <w:t>化学工艺、工业分析与检验</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AA8CE8">
            <w:r>
              <w:rPr>
                <w:rFonts w:hint="eastAsia"/>
              </w:rPr>
              <w:t>630</w:t>
            </w:r>
          </w:p>
        </w:tc>
      </w:tr>
      <w:tr w14:paraId="652626BC">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FF184D">
            <w:r>
              <w:rPr>
                <w:rFonts w:hint="eastAsia"/>
              </w:rPr>
              <w:t>8</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C322F9">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79D069">
            <w:r>
              <w:rPr>
                <w:rFonts w:hint="eastAsia"/>
              </w:rPr>
              <w:t>模具实训中心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D56DEA">
            <w:r>
              <w:rPr>
                <w:rFonts w:hint="eastAsia"/>
              </w:rPr>
              <w:t>数控技术应用、汽车运用与维修</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857AE2">
            <w:r>
              <w:rPr>
                <w:rFonts w:hint="eastAsia"/>
              </w:rPr>
              <w:t>565</w:t>
            </w:r>
          </w:p>
        </w:tc>
      </w:tr>
      <w:tr w14:paraId="6C98F97F">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29F9BD">
            <w:r>
              <w:rPr>
                <w:rFonts w:hint="eastAsia"/>
              </w:rPr>
              <w:t>9</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CF56D7">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62E80A">
            <w:r>
              <w:rPr>
                <w:rFonts w:hint="eastAsia"/>
              </w:rPr>
              <w:t>数控实训中心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8E6432">
            <w:r>
              <w:rPr>
                <w:rFonts w:hint="eastAsia"/>
              </w:rPr>
              <w:t>数控技术应用、机电技术应用</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9C8826">
            <w:r>
              <w:rPr>
                <w:rFonts w:hint="eastAsia"/>
              </w:rPr>
              <w:t>480</w:t>
            </w:r>
          </w:p>
        </w:tc>
      </w:tr>
      <w:tr w14:paraId="0C804C3F">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0DD2CA">
            <w:r>
              <w:rPr>
                <w:rFonts w:hint="eastAsia"/>
              </w:rPr>
              <w:t>10</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2C62F8">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12A1E8">
            <w:r>
              <w:rPr>
                <w:rFonts w:hint="eastAsia"/>
              </w:rPr>
              <w:t>机电实训中心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BF2C00">
            <w:r>
              <w:rPr>
                <w:rFonts w:hint="eastAsia"/>
              </w:rPr>
              <w:t>数控技术应用、机电技术应用</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DB16BE">
            <w:r>
              <w:rPr>
                <w:rFonts w:hint="eastAsia"/>
              </w:rPr>
              <w:t>860</w:t>
            </w:r>
          </w:p>
        </w:tc>
      </w:tr>
      <w:tr w14:paraId="4B6F09C1">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185F59">
            <w:r>
              <w:rPr>
                <w:rFonts w:hint="eastAsia"/>
              </w:rPr>
              <w:t>11</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BC2897">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A7C6FC">
            <w:r>
              <w:rPr>
                <w:rFonts w:hint="eastAsia"/>
              </w:rPr>
              <w:t>汽车实训中心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1BB1E9">
            <w:r>
              <w:rPr>
                <w:rFonts w:hint="eastAsia"/>
              </w:rPr>
              <w:t>汽车运用与维修</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E341DB">
            <w:r>
              <w:rPr>
                <w:rFonts w:hint="eastAsia"/>
              </w:rPr>
              <w:t>600</w:t>
            </w:r>
          </w:p>
        </w:tc>
      </w:tr>
      <w:tr w14:paraId="102BA2D1">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2BEA99">
            <w:r>
              <w:rPr>
                <w:rFonts w:hint="eastAsia"/>
              </w:rPr>
              <w:t>12</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722A67">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E52771">
            <w:r>
              <w:rPr>
                <w:rFonts w:hint="eastAsia"/>
              </w:rPr>
              <w:t>建筑实训中心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4F8A98">
            <w:r>
              <w:rPr>
                <w:rFonts w:hint="eastAsia"/>
              </w:rPr>
              <w:t>建筑工程施工</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AE8892">
            <w:r>
              <w:rPr>
                <w:rFonts w:hint="eastAsia"/>
              </w:rPr>
              <w:t>200</w:t>
            </w:r>
          </w:p>
        </w:tc>
      </w:tr>
      <w:tr w14:paraId="12992514">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5D9344">
            <w:r>
              <w:rPr>
                <w:rFonts w:hint="eastAsia"/>
              </w:rPr>
              <w:t>13</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312EA4">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14D85A">
            <w:r>
              <w:rPr>
                <w:rFonts w:hint="eastAsia"/>
              </w:rPr>
              <w:t>计算机应用实训中心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31611B">
            <w:r>
              <w:rPr>
                <w:rFonts w:hint="eastAsia"/>
              </w:rPr>
              <w:t>计算机平面设计、计算机应用、计算机动漫与游戏制作、物联网应用技术、数字媒体技术应用</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65034B">
            <w:r>
              <w:rPr>
                <w:rFonts w:hint="eastAsia"/>
              </w:rPr>
              <w:t>1032</w:t>
            </w:r>
          </w:p>
        </w:tc>
      </w:tr>
      <w:tr w14:paraId="3E192190">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49AD5B">
            <w:r>
              <w:rPr>
                <w:rFonts w:hint="eastAsia"/>
              </w:rPr>
              <w:t>14</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BFF5F9">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E45890">
            <w:r>
              <w:rPr>
                <w:rFonts w:hint="eastAsia"/>
              </w:rPr>
              <w:t>物联网综合实训中心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A8F5D2">
            <w:r>
              <w:rPr>
                <w:rFonts w:hint="eastAsia"/>
              </w:rPr>
              <w:t>数字媒体技术应用、计算机平面设计、计算机动漫与游戏制作、珠宝玉石加工与营销</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57E243">
            <w:r>
              <w:rPr>
                <w:rFonts w:hint="eastAsia"/>
              </w:rPr>
              <w:t>310</w:t>
            </w:r>
          </w:p>
        </w:tc>
      </w:tr>
    </w:tbl>
    <w:p w14:paraId="3A777429">
      <w:pPr>
        <w:ind w:firstLine="420" w:firstLineChars="200"/>
      </w:pPr>
      <w:r>
        <w:t>④</w:t>
      </w:r>
      <w:r>
        <w:rPr>
          <w:rFonts w:hint="eastAsia"/>
        </w:rPr>
        <w:t>校外实训基地数量（满分5分，得分5分）</w:t>
      </w:r>
    </w:p>
    <w:p w14:paraId="3F6783F1">
      <w:pPr>
        <w:ind w:firstLine="420" w:firstLineChars="200"/>
      </w:pPr>
      <w:r>
        <w:rPr>
          <w:rFonts w:hint="eastAsia"/>
        </w:rPr>
        <w:t>根据莆田市教育局提供的《校外实训基地明细表》，截止至2020年莆职校已建立校外实训基地25个、湄职校已建立校外实训基地42个，共建立校外实训基地67个。根据评价标准，校外实训基地数量得5分。</w:t>
      </w:r>
    </w:p>
    <w:tbl>
      <w:tblPr>
        <w:tblStyle w:val="17"/>
        <w:tblW w:w="0" w:type="auto"/>
        <w:jc w:val="center"/>
        <w:tblLayout w:type="fixed"/>
        <w:tblCellMar>
          <w:top w:w="0" w:type="dxa"/>
          <w:left w:w="0" w:type="dxa"/>
          <w:bottom w:w="0" w:type="dxa"/>
          <w:right w:w="0" w:type="dxa"/>
        </w:tblCellMar>
      </w:tblPr>
      <w:tblGrid>
        <w:gridCol w:w="440"/>
        <w:gridCol w:w="650"/>
        <w:gridCol w:w="4010"/>
        <w:gridCol w:w="3848"/>
      </w:tblGrid>
      <w:tr w14:paraId="200EA8F6">
        <w:tblPrEx>
          <w:tblCellMar>
            <w:top w:w="0" w:type="dxa"/>
            <w:left w:w="0" w:type="dxa"/>
            <w:bottom w:w="0" w:type="dxa"/>
            <w:right w:w="0" w:type="dxa"/>
          </w:tblCellMar>
        </w:tblPrEx>
        <w:trPr>
          <w:trHeight w:val="312" w:hRule="atLeast"/>
          <w:jc w:val="center"/>
        </w:trPr>
        <w:tc>
          <w:tcPr>
            <w:tcW w:w="8948" w:type="dxa"/>
            <w:gridSpan w:val="4"/>
            <w:tcBorders>
              <w:top w:val="nil"/>
              <w:left w:val="nil"/>
              <w:bottom w:val="nil"/>
              <w:right w:val="nil"/>
            </w:tcBorders>
            <w:noWrap/>
            <w:tcMar>
              <w:top w:w="10" w:type="dxa"/>
              <w:left w:w="10" w:type="dxa"/>
              <w:right w:w="10" w:type="dxa"/>
            </w:tcMar>
            <w:vAlign w:val="center"/>
          </w:tcPr>
          <w:p w14:paraId="318EAFC9">
            <w:r>
              <w:rPr>
                <w:rFonts w:hint="eastAsia"/>
              </w:rPr>
              <w:t>表7    校外实训基地明细表</w:t>
            </w:r>
          </w:p>
        </w:tc>
      </w:tr>
      <w:tr w14:paraId="4CCC5547">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FD32B2E">
            <w:r>
              <w:rPr>
                <w:rFonts w:hint="eastAsia"/>
              </w:rPr>
              <w:t>序号</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2D84E7">
            <w:r>
              <w:rPr>
                <w:rFonts w:hint="eastAsia"/>
              </w:rPr>
              <w:t>学校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A84CBF0">
            <w:r>
              <w:rPr>
                <w:rFonts w:hint="eastAsia"/>
              </w:rPr>
              <w:t>基地名称</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0B742EE">
            <w:r>
              <w:rPr>
                <w:rFonts w:hint="eastAsia"/>
              </w:rPr>
              <w:t>面向专业</w:t>
            </w:r>
          </w:p>
        </w:tc>
      </w:tr>
      <w:tr w14:paraId="03C92052">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319CCF2">
            <w:r>
              <w:rPr>
                <w:rFonts w:hint="eastAsia"/>
              </w:rPr>
              <w:t>1</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74EBCF3">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98C4551">
            <w:r>
              <w:rPr>
                <w:rFonts w:hint="eastAsia"/>
              </w:rPr>
              <w:t>莆田大川实业有限公司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4E0299F">
            <w:r>
              <w:rPr>
                <w:rFonts w:hint="eastAsia"/>
              </w:rPr>
              <w:t>汽车美容与装潢</w:t>
            </w:r>
          </w:p>
        </w:tc>
      </w:tr>
      <w:tr w14:paraId="392DF8F0">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305E18D">
            <w:r>
              <w:rPr>
                <w:rFonts w:hint="eastAsia"/>
              </w:rPr>
              <w:t>2</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48B5701">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4DCEE5A">
            <w:r>
              <w:rPr>
                <w:rFonts w:hint="eastAsia"/>
              </w:rPr>
              <w:t>宁波康喜乐嘉餐饮管理有限公司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C590932">
            <w:r>
              <w:rPr>
                <w:rFonts w:hint="eastAsia"/>
              </w:rPr>
              <w:t>中餐烹饪</w:t>
            </w:r>
          </w:p>
        </w:tc>
      </w:tr>
      <w:tr w14:paraId="2EE88003">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78C29C">
            <w:r>
              <w:rPr>
                <w:rFonts w:hint="eastAsia"/>
              </w:rPr>
              <w:t>3</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8E8050C">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D0A8EAB">
            <w:r>
              <w:rPr>
                <w:rFonts w:hint="eastAsia"/>
              </w:rPr>
              <w:t>福建亚明食品有限公司</w:t>
            </w:r>
          </w:p>
        </w:tc>
        <w:tc>
          <w:tcPr>
            <w:tcW w:w="3848" w:type="dxa"/>
            <w:tcBorders>
              <w:top w:val="single" w:color="000000" w:sz="4" w:space="0"/>
              <w:left w:val="single" w:color="000000" w:sz="4" w:space="0"/>
              <w:bottom w:val="single" w:color="auto" w:sz="4" w:space="0"/>
              <w:right w:val="single" w:color="000000" w:sz="4" w:space="0"/>
            </w:tcBorders>
            <w:noWrap/>
            <w:tcMar>
              <w:top w:w="10" w:type="dxa"/>
              <w:left w:w="10" w:type="dxa"/>
              <w:right w:w="10" w:type="dxa"/>
            </w:tcMar>
            <w:vAlign w:val="center"/>
          </w:tcPr>
          <w:p w14:paraId="6E43F5BA">
            <w:r>
              <w:rPr>
                <w:rFonts w:hint="eastAsia"/>
              </w:rPr>
              <w:t>中餐烹饪</w:t>
            </w:r>
          </w:p>
        </w:tc>
      </w:tr>
      <w:tr w14:paraId="77D2117C">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A142414">
            <w:r>
              <w:rPr>
                <w:rFonts w:hint="eastAsia"/>
              </w:rPr>
              <w:t>4</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04AE514">
            <w:r>
              <w:rPr>
                <w:rFonts w:hint="eastAsia"/>
              </w:rPr>
              <w:t>莆职校</w:t>
            </w:r>
          </w:p>
        </w:tc>
        <w:tc>
          <w:tcPr>
            <w:tcW w:w="4010" w:type="dxa"/>
            <w:tcBorders>
              <w:top w:val="single" w:color="000000" w:sz="4" w:space="0"/>
              <w:left w:val="single" w:color="000000" w:sz="4" w:space="0"/>
              <w:bottom w:val="single" w:color="000000" w:sz="4" w:space="0"/>
              <w:right w:val="single" w:color="auto" w:sz="4" w:space="0"/>
            </w:tcBorders>
            <w:noWrap/>
            <w:tcMar>
              <w:top w:w="10" w:type="dxa"/>
              <w:left w:w="10" w:type="dxa"/>
              <w:right w:w="10" w:type="dxa"/>
            </w:tcMar>
            <w:vAlign w:val="center"/>
          </w:tcPr>
          <w:p w14:paraId="4E959C59">
            <w:r>
              <w:rPr>
                <w:rFonts w:hint="eastAsia"/>
              </w:rPr>
              <w:t>福建钜能电力有限公司</w:t>
            </w:r>
          </w:p>
        </w:tc>
        <w:tc>
          <w:tcPr>
            <w:tcW w:w="384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8E11FF9">
            <w:r>
              <w:rPr>
                <w:rFonts w:hint="eastAsia"/>
              </w:rPr>
              <w:t>电子与信息技术</w:t>
            </w:r>
          </w:p>
        </w:tc>
      </w:tr>
      <w:tr w14:paraId="4C33AF36">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92254C0">
            <w:r>
              <w:rPr>
                <w:rFonts w:hint="eastAsia"/>
              </w:rPr>
              <w:t>5</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5DA6739">
            <w:r>
              <w:rPr>
                <w:rFonts w:hint="eastAsia"/>
              </w:rPr>
              <w:t>莆职校</w:t>
            </w:r>
          </w:p>
        </w:tc>
        <w:tc>
          <w:tcPr>
            <w:tcW w:w="4010" w:type="dxa"/>
            <w:tcBorders>
              <w:top w:val="single" w:color="000000" w:sz="4" w:space="0"/>
              <w:left w:val="single" w:color="000000" w:sz="4" w:space="0"/>
              <w:bottom w:val="single" w:color="000000" w:sz="4" w:space="0"/>
              <w:right w:val="single" w:color="auto" w:sz="4" w:space="0"/>
            </w:tcBorders>
            <w:noWrap/>
            <w:tcMar>
              <w:top w:w="10" w:type="dxa"/>
              <w:left w:w="10" w:type="dxa"/>
              <w:right w:w="10" w:type="dxa"/>
            </w:tcMar>
            <w:vAlign w:val="center"/>
          </w:tcPr>
          <w:p w14:paraId="275FE771">
            <w:r>
              <w:rPr>
                <w:rFonts w:hint="eastAsia"/>
              </w:rPr>
              <w:t>莆田德信电子</w:t>
            </w:r>
          </w:p>
        </w:tc>
        <w:tc>
          <w:tcPr>
            <w:tcW w:w="384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BDFF657">
            <w:r>
              <w:rPr>
                <w:rFonts w:hint="eastAsia"/>
              </w:rPr>
              <w:t>电子与信息技术</w:t>
            </w:r>
          </w:p>
        </w:tc>
      </w:tr>
      <w:tr w14:paraId="0EE7A641">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1F9DA17">
            <w:r>
              <w:rPr>
                <w:rFonts w:hint="eastAsia"/>
              </w:rPr>
              <w:t>6</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CF93C12">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204378A">
            <w:r>
              <w:rPr>
                <w:rFonts w:hint="eastAsia"/>
              </w:rPr>
              <w:t>莆田市创盟商贸有限公司</w:t>
            </w:r>
          </w:p>
        </w:tc>
        <w:tc>
          <w:tcPr>
            <w:tcW w:w="3848" w:type="dxa"/>
            <w:tcBorders>
              <w:top w:val="single" w:color="auto" w:sz="4" w:space="0"/>
              <w:left w:val="single" w:color="000000" w:sz="4" w:space="0"/>
              <w:bottom w:val="single" w:color="000000" w:sz="4" w:space="0"/>
              <w:right w:val="single" w:color="000000" w:sz="4" w:space="0"/>
            </w:tcBorders>
            <w:noWrap/>
            <w:tcMar>
              <w:top w:w="10" w:type="dxa"/>
              <w:left w:w="10" w:type="dxa"/>
              <w:right w:w="10" w:type="dxa"/>
            </w:tcMar>
            <w:vAlign w:val="center"/>
          </w:tcPr>
          <w:p w14:paraId="64D1C4E1">
            <w:r>
              <w:rPr>
                <w:rFonts w:hint="eastAsia"/>
              </w:rPr>
              <w:t>电子商务、市场营销</w:t>
            </w:r>
          </w:p>
        </w:tc>
      </w:tr>
      <w:tr w14:paraId="2B3D4B4F">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4841622">
            <w:r>
              <w:rPr>
                <w:rFonts w:hint="eastAsia"/>
              </w:rPr>
              <w:t>7</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B090DB9">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B72E75C">
            <w:r>
              <w:rPr>
                <w:rFonts w:hint="eastAsia"/>
              </w:rPr>
              <w:t>莆田市电商协会</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6ECDC66">
            <w:r>
              <w:rPr>
                <w:rFonts w:hint="eastAsia"/>
              </w:rPr>
              <w:t>电子商务</w:t>
            </w:r>
          </w:p>
        </w:tc>
      </w:tr>
      <w:tr w14:paraId="360DC9FB">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6480A8D">
            <w:r>
              <w:rPr>
                <w:rFonts w:hint="eastAsia"/>
              </w:rPr>
              <w:t>8</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7992C45">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D74382E">
            <w:r>
              <w:rPr>
                <w:rFonts w:hint="eastAsia"/>
              </w:rPr>
              <w:t>中房购公司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DF0B12F">
            <w:r>
              <w:rPr>
                <w:rFonts w:hint="eastAsia"/>
              </w:rPr>
              <w:t>会计、市场营销</w:t>
            </w:r>
          </w:p>
        </w:tc>
      </w:tr>
      <w:tr w14:paraId="44E601BE">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C87AF89">
            <w:r>
              <w:rPr>
                <w:rFonts w:hint="eastAsia"/>
              </w:rPr>
              <w:t>9</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57892BF">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37011B">
            <w:r>
              <w:rPr>
                <w:rFonts w:hint="eastAsia"/>
              </w:rPr>
              <w:t>莆田市和谐号人力资源有限公司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0DD684F">
            <w:r>
              <w:rPr>
                <w:rFonts w:hint="eastAsia"/>
              </w:rPr>
              <w:t>城市轨道交通运营管理</w:t>
            </w:r>
          </w:p>
        </w:tc>
      </w:tr>
      <w:tr w14:paraId="4D9E34F7">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B9E4A9D">
            <w:r>
              <w:rPr>
                <w:rFonts w:hint="eastAsia"/>
              </w:rPr>
              <w:t>10</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459521E">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7172EE6">
            <w:r>
              <w:rPr>
                <w:rFonts w:hint="eastAsia"/>
              </w:rPr>
              <w:t>福建华峰实业有限公司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56D72E5">
            <w:r>
              <w:rPr>
                <w:rFonts w:hint="eastAsia"/>
              </w:rPr>
              <w:t>服装制作与生产管理</w:t>
            </w:r>
          </w:p>
        </w:tc>
      </w:tr>
      <w:tr w14:paraId="3E1F5489">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FDA2640">
            <w:r>
              <w:rPr>
                <w:rFonts w:hint="eastAsia"/>
              </w:rPr>
              <w:t>11</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B3FE0B2">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BB42328">
            <w:r>
              <w:rPr>
                <w:rFonts w:hint="eastAsia"/>
              </w:rPr>
              <w:t>双驰实业股份有限公司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9F8BC7A">
            <w:r>
              <w:rPr>
                <w:rFonts w:hint="eastAsia"/>
              </w:rPr>
              <w:t>服装制作与生产管理、电子商务</w:t>
            </w:r>
          </w:p>
        </w:tc>
      </w:tr>
      <w:tr w14:paraId="1B1EA427">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98D1DFB">
            <w:r>
              <w:rPr>
                <w:rFonts w:hint="eastAsia"/>
              </w:rPr>
              <w:t>12</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A7C18A3">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6A3BDE5">
            <w:r>
              <w:rPr>
                <w:rFonts w:hint="eastAsia"/>
              </w:rPr>
              <w:t>莆田市维觅美容有限公司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5E23E34">
            <w:r>
              <w:rPr>
                <w:rFonts w:hint="eastAsia"/>
              </w:rPr>
              <w:t>美容美体</w:t>
            </w:r>
          </w:p>
        </w:tc>
      </w:tr>
      <w:tr w14:paraId="3279A5DA">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61BEBF3">
            <w:r>
              <w:rPr>
                <w:rFonts w:hint="eastAsia"/>
              </w:rPr>
              <w:t>13</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387E742">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22B9CE8">
            <w:r>
              <w:rPr>
                <w:rFonts w:hint="eastAsia"/>
              </w:rPr>
              <w:t>莆田市长青财务咨询有限公司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B883023">
            <w:r>
              <w:rPr>
                <w:rFonts w:hint="eastAsia"/>
              </w:rPr>
              <w:t>会计</w:t>
            </w:r>
          </w:p>
        </w:tc>
      </w:tr>
      <w:tr w14:paraId="5B791C54">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80DE768">
            <w:r>
              <w:rPr>
                <w:rFonts w:hint="eastAsia"/>
              </w:rPr>
              <w:t>14</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2393267">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0A1AAE8">
            <w:r>
              <w:rPr>
                <w:rFonts w:hint="eastAsia"/>
              </w:rPr>
              <w:t>富民人才有限公司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37DE745">
            <w:r>
              <w:rPr>
                <w:rFonts w:hint="eastAsia"/>
              </w:rPr>
              <w:t>会计、市场营销</w:t>
            </w:r>
          </w:p>
        </w:tc>
      </w:tr>
      <w:tr w14:paraId="67692A6F">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406CEE4">
            <w:r>
              <w:rPr>
                <w:rFonts w:hint="eastAsia"/>
              </w:rPr>
              <w:t>15</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3F0ADF6">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6FF2D2B">
            <w:r>
              <w:rPr>
                <w:rFonts w:hint="eastAsia"/>
              </w:rPr>
              <w:t>莆田市兴吉翔电脑科技有限公司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F170B57">
            <w:r>
              <w:rPr>
                <w:rFonts w:hint="eastAsia"/>
              </w:rPr>
              <w:t>电子与信息技术、计算机网络技术</w:t>
            </w:r>
          </w:p>
        </w:tc>
      </w:tr>
      <w:tr w14:paraId="5FD83353">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447B402">
            <w:r>
              <w:rPr>
                <w:rFonts w:hint="eastAsia"/>
              </w:rPr>
              <w:t>16</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7A3CC18">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CB62168">
            <w:r>
              <w:rPr>
                <w:rFonts w:hint="eastAsia"/>
              </w:rPr>
              <w:t>厦门大拇哥动漫股份有限公司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575094B">
            <w:r>
              <w:rPr>
                <w:rFonts w:hint="eastAsia"/>
              </w:rPr>
              <w:t>计算机动漫与游戏制作</w:t>
            </w:r>
          </w:p>
        </w:tc>
      </w:tr>
      <w:tr w14:paraId="23DCC164">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5F6BAEC">
            <w:r>
              <w:rPr>
                <w:rFonts w:hint="eastAsia"/>
              </w:rPr>
              <w:t>17</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4B8AC98">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1D82102">
            <w:r>
              <w:rPr>
                <w:rFonts w:hint="eastAsia"/>
              </w:rPr>
              <w:t>莆田监狱</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2717C8F">
            <w:r>
              <w:rPr>
                <w:rFonts w:hint="eastAsia"/>
              </w:rPr>
              <w:t>服装制作与生产管理</w:t>
            </w:r>
          </w:p>
        </w:tc>
      </w:tr>
      <w:tr w14:paraId="50716B50">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4AF9C89">
            <w:r>
              <w:rPr>
                <w:rFonts w:hint="eastAsia"/>
              </w:rPr>
              <w:t>18</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7BF0A59">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4249D0D">
            <w:r>
              <w:rPr>
                <w:rFonts w:hint="eastAsia"/>
              </w:rPr>
              <w:t>窈窕淑女君子好逑梅园店</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38F4114">
            <w:r>
              <w:rPr>
                <w:rFonts w:hint="eastAsia"/>
              </w:rPr>
              <w:t>美容美体</w:t>
            </w:r>
          </w:p>
        </w:tc>
      </w:tr>
      <w:tr w14:paraId="34B6A467">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8E4B127">
            <w:r>
              <w:rPr>
                <w:rFonts w:hint="eastAsia"/>
              </w:rPr>
              <w:t>19</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B04DA32">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B80A8A5">
            <w:r>
              <w:rPr>
                <w:rFonts w:hint="eastAsia"/>
              </w:rPr>
              <w:t>莆田城厢凯特图文印务中心实训基地</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FBE5115">
            <w:r>
              <w:rPr>
                <w:rFonts w:hint="eastAsia"/>
              </w:rPr>
              <w:t>计算机平面设计</w:t>
            </w:r>
          </w:p>
        </w:tc>
      </w:tr>
      <w:tr w14:paraId="6B87A0D6">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9332B9E">
            <w:r>
              <w:rPr>
                <w:rFonts w:hint="eastAsia"/>
              </w:rPr>
              <w:t>20</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E9576C8">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13CF38F">
            <w:r>
              <w:rPr>
                <w:rFonts w:hint="eastAsia"/>
              </w:rPr>
              <w:t>莆田sos儿童村幼儿园</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B25A8D">
            <w:r>
              <w:rPr>
                <w:rFonts w:hint="eastAsia"/>
              </w:rPr>
              <w:t>幼儿保育</w:t>
            </w:r>
          </w:p>
        </w:tc>
      </w:tr>
      <w:tr w14:paraId="2BBC5AEE">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ED91500">
            <w:r>
              <w:rPr>
                <w:rFonts w:hint="eastAsia"/>
              </w:rPr>
              <w:t>21</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F6ECE2F">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4584B0F">
            <w:r>
              <w:rPr>
                <w:rFonts w:hint="eastAsia"/>
              </w:rPr>
              <w:t>莆田帝宝酒店</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18EDEB7">
            <w:r>
              <w:rPr>
                <w:rFonts w:hint="eastAsia"/>
              </w:rPr>
              <w:t>中餐烹饪</w:t>
            </w:r>
          </w:p>
        </w:tc>
      </w:tr>
      <w:tr w14:paraId="37E515B2">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2CCB9B6">
            <w:r>
              <w:rPr>
                <w:rFonts w:hint="eastAsia"/>
              </w:rPr>
              <w:t>22</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1BF6E86">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D4BF088">
            <w:r>
              <w:rPr>
                <w:rFonts w:hint="eastAsia"/>
              </w:rPr>
              <w:t>莆田经纶教育管理有限公司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698514C">
            <w:r>
              <w:rPr>
                <w:rFonts w:hint="eastAsia"/>
              </w:rPr>
              <w:t>幼儿保育</w:t>
            </w:r>
          </w:p>
        </w:tc>
      </w:tr>
      <w:tr w14:paraId="0B4DD2BD">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E5DA13">
            <w:r>
              <w:rPr>
                <w:rFonts w:hint="eastAsia"/>
              </w:rPr>
              <w:t>23</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0DE18D7">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1FC1455">
            <w:r>
              <w:rPr>
                <w:rFonts w:hint="eastAsia"/>
              </w:rPr>
              <w:t>莆田市桑迪电子商务中心实训基地</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B7D2E3B">
            <w:r>
              <w:rPr>
                <w:rFonts w:hint="eastAsia"/>
              </w:rPr>
              <w:t>电子商务</w:t>
            </w:r>
          </w:p>
        </w:tc>
      </w:tr>
      <w:tr w14:paraId="6D58D79D">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822B304">
            <w:r>
              <w:rPr>
                <w:rFonts w:hint="eastAsia"/>
              </w:rPr>
              <w:t>24</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DE4EAED">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635075A">
            <w:r>
              <w:rPr>
                <w:rFonts w:hint="eastAsia"/>
              </w:rPr>
              <w:t>福建才子集团有限公司实训基地</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B99E1D8">
            <w:r>
              <w:rPr>
                <w:rFonts w:hint="eastAsia"/>
              </w:rPr>
              <w:t>服装制作与生产管理、电子与信息技术</w:t>
            </w:r>
          </w:p>
        </w:tc>
      </w:tr>
      <w:tr w14:paraId="4CC5B9B8">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22902A76">
            <w:r>
              <w:rPr>
                <w:rFonts w:hint="eastAsia"/>
              </w:rPr>
              <w:t>25</w:t>
            </w:r>
          </w:p>
        </w:tc>
        <w:tc>
          <w:tcPr>
            <w:tcW w:w="65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4544DFFE">
            <w:r>
              <w:rPr>
                <w:rFonts w:hint="eastAsia"/>
              </w:rPr>
              <w:t>莆职校</w:t>
            </w:r>
          </w:p>
        </w:tc>
        <w:tc>
          <w:tcPr>
            <w:tcW w:w="401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203E9BE2">
            <w:r>
              <w:rPr>
                <w:rFonts w:hint="eastAsia"/>
              </w:rPr>
              <w:t>中国移动通信集团福建有限公司莆田分公司</w:t>
            </w:r>
          </w:p>
        </w:tc>
        <w:tc>
          <w:tcPr>
            <w:tcW w:w="3848"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4DE08282">
            <w:r>
              <w:rPr>
                <w:rFonts w:hint="eastAsia"/>
              </w:rPr>
              <w:t>电子与信息技术、计算机网络技术</w:t>
            </w:r>
          </w:p>
        </w:tc>
      </w:tr>
      <w:tr w14:paraId="124B60FB">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0633AF4">
            <w:r>
              <w:rPr>
                <w:rFonts w:hint="eastAsia"/>
              </w:rPr>
              <w:t>26</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DCBE77">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19B310">
            <w:r>
              <w:rPr>
                <w:rFonts w:hint="eastAsia"/>
              </w:rPr>
              <w:t>日晶玻璃制品有限公司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744A82">
            <w:r>
              <w:rPr>
                <w:rFonts w:hint="eastAsia"/>
              </w:rPr>
              <w:t>机械制造类、石油化工类、电子信息类</w:t>
            </w:r>
          </w:p>
        </w:tc>
      </w:tr>
      <w:tr w14:paraId="20F30701">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E2D866C">
            <w:r>
              <w:rPr>
                <w:rFonts w:hint="eastAsia"/>
              </w:rPr>
              <w:t>27</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444A86">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0BD5CD">
            <w:r>
              <w:rPr>
                <w:rFonts w:hint="eastAsia"/>
              </w:rPr>
              <w:t>莆田市超威电子科技有限公司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1961DE">
            <w:r>
              <w:rPr>
                <w:rFonts w:hint="eastAsia"/>
              </w:rPr>
              <w:t xml:space="preserve">机械制造类、电子信息类  </w:t>
            </w:r>
          </w:p>
        </w:tc>
      </w:tr>
      <w:tr w14:paraId="6897FAAD">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12C2EEBD">
            <w:r>
              <w:rPr>
                <w:rFonts w:hint="eastAsia"/>
              </w:rPr>
              <w:t>28</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DBDB5E">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8A2C27">
            <w:r>
              <w:rPr>
                <w:rFonts w:hint="eastAsia"/>
              </w:rPr>
              <w:t>莆田市星华电子模具有限公司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93A67C">
            <w:r>
              <w:rPr>
                <w:rFonts w:hint="eastAsia"/>
              </w:rPr>
              <w:t xml:space="preserve">机械制造类、电子信息类  </w:t>
            </w:r>
          </w:p>
        </w:tc>
      </w:tr>
      <w:tr w14:paraId="4F22C693">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E432434">
            <w:r>
              <w:rPr>
                <w:rFonts w:hint="eastAsia"/>
              </w:rPr>
              <w:t>29</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1658B9">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CF6B72">
            <w:r>
              <w:rPr>
                <w:rFonts w:hint="eastAsia"/>
              </w:rPr>
              <w:t>福建省新威电子集团有限公司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5517E6">
            <w:r>
              <w:rPr>
                <w:rFonts w:hint="eastAsia"/>
              </w:rPr>
              <w:t xml:space="preserve">机械制造类、电子信息类  </w:t>
            </w:r>
          </w:p>
        </w:tc>
      </w:tr>
      <w:tr w14:paraId="3E456CD1">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4184508">
            <w:r>
              <w:rPr>
                <w:rFonts w:hint="eastAsia"/>
              </w:rPr>
              <w:t>30</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257FD3">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3500DB">
            <w:r>
              <w:rPr>
                <w:rFonts w:hint="eastAsia"/>
              </w:rPr>
              <w:t>中国电信股份莆田有限公司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96D184">
            <w:r>
              <w:rPr>
                <w:rFonts w:hint="eastAsia"/>
              </w:rPr>
              <w:t xml:space="preserve">工艺美术类、电子信息类、财经商贸类  </w:t>
            </w:r>
          </w:p>
        </w:tc>
      </w:tr>
      <w:tr w14:paraId="529537D3">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4E224275">
            <w:r>
              <w:rPr>
                <w:rFonts w:hint="eastAsia"/>
              </w:rPr>
              <w:t>31</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A2E2A7">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31AB36">
            <w:r>
              <w:rPr>
                <w:rFonts w:hint="eastAsia"/>
              </w:rPr>
              <w:t>福建复茂食品有限公司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071790">
            <w:r>
              <w:rPr>
                <w:rFonts w:hint="eastAsia"/>
              </w:rPr>
              <w:t xml:space="preserve">电子信息类、财经商贸类  </w:t>
            </w:r>
          </w:p>
        </w:tc>
      </w:tr>
      <w:tr w14:paraId="3A48A627">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C661CB2">
            <w:r>
              <w:rPr>
                <w:rFonts w:hint="eastAsia"/>
              </w:rPr>
              <w:t>32</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16413F">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9F2917">
            <w:r>
              <w:rPr>
                <w:rFonts w:hint="eastAsia"/>
              </w:rPr>
              <w:t>赛得利（福建）纤维有限公司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DC9EBB">
            <w:pPr>
              <w:ind w:firstLine="420" w:firstLineChars="200"/>
            </w:pPr>
            <w:r>
              <w:rPr>
                <w:rFonts w:hint="eastAsia"/>
              </w:rPr>
              <w:t>机械制造类、石油化工类、电子信息类、</w:t>
            </w:r>
          </w:p>
          <w:p w14:paraId="3F3D2A89">
            <w:pPr>
              <w:ind w:firstLine="420" w:firstLineChars="200"/>
            </w:pPr>
            <w:r>
              <w:rPr>
                <w:rFonts w:hint="eastAsia"/>
              </w:rPr>
              <w:t xml:space="preserve">财经商贸类  </w:t>
            </w:r>
          </w:p>
        </w:tc>
      </w:tr>
      <w:tr w14:paraId="4613C785">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F86A2BF">
            <w:r>
              <w:rPr>
                <w:rFonts w:hint="eastAsia"/>
              </w:rPr>
              <w:t>33</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F3BAC1">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FA044A">
            <w:r>
              <w:rPr>
                <w:rFonts w:hint="eastAsia"/>
              </w:rPr>
              <w:t>NEC东金(厦门)电子有限公司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F6FB36">
            <w:r>
              <w:rPr>
                <w:rFonts w:hint="eastAsia"/>
              </w:rPr>
              <w:t xml:space="preserve">机械制造类、电子信息类  </w:t>
            </w:r>
          </w:p>
        </w:tc>
      </w:tr>
      <w:tr w14:paraId="29512E20">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1748CAC4">
            <w:r>
              <w:rPr>
                <w:rFonts w:hint="eastAsia"/>
              </w:rPr>
              <w:t>34</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957FA2">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7E620D">
            <w:r>
              <w:rPr>
                <w:rFonts w:hint="eastAsia"/>
              </w:rPr>
              <w:t>福建华映显示科技有限公司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AFB1FC">
            <w:r>
              <w:rPr>
                <w:rFonts w:hint="eastAsia"/>
              </w:rPr>
              <w:t xml:space="preserve">机械制造类、电子信息类  </w:t>
            </w:r>
          </w:p>
        </w:tc>
      </w:tr>
      <w:tr w14:paraId="7B2B5D6F">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512614F">
            <w:r>
              <w:rPr>
                <w:rFonts w:hint="eastAsia"/>
              </w:rPr>
              <w:t>35</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6C1813">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182999">
            <w:r>
              <w:rPr>
                <w:rFonts w:hint="eastAsia"/>
              </w:rPr>
              <w:t>莆田市山海测绘技术有限公司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CEDCB1">
            <w:r>
              <w:rPr>
                <w:rFonts w:hint="eastAsia"/>
              </w:rPr>
              <w:t>建筑类</w:t>
            </w:r>
          </w:p>
        </w:tc>
      </w:tr>
      <w:tr w14:paraId="2FEAF1E6">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A3E0F39">
            <w:r>
              <w:rPr>
                <w:rFonts w:hint="eastAsia"/>
              </w:rPr>
              <w:t>36</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0C207E">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40F3C0">
            <w:r>
              <w:rPr>
                <w:rFonts w:hint="eastAsia"/>
              </w:rPr>
              <w:t>嘉裕华制鞋工业有限公司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7077CA">
            <w:r>
              <w:rPr>
                <w:rFonts w:hint="eastAsia"/>
              </w:rPr>
              <w:t xml:space="preserve">机械制造类、电子信息类  </w:t>
            </w:r>
          </w:p>
        </w:tc>
      </w:tr>
      <w:tr w14:paraId="492C275E">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240E11C9">
            <w:r>
              <w:rPr>
                <w:rFonts w:hint="eastAsia"/>
              </w:rPr>
              <w:t>37</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A65881">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8085D0">
            <w:r>
              <w:rPr>
                <w:rFonts w:hint="eastAsia"/>
              </w:rPr>
              <w:t>福建御九珠宝有限公司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CEC861">
            <w:r>
              <w:rPr>
                <w:rFonts w:hint="eastAsia"/>
              </w:rPr>
              <w:t xml:space="preserve">工艺美术类、财经商贸类  </w:t>
            </w:r>
          </w:p>
        </w:tc>
      </w:tr>
      <w:tr w14:paraId="1BF0B0B4">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6059BEF">
            <w:r>
              <w:rPr>
                <w:rFonts w:hint="eastAsia"/>
              </w:rPr>
              <w:t>38</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792CF9">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449602">
            <w:r>
              <w:rPr>
                <w:rFonts w:hint="eastAsia"/>
              </w:rPr>
              <w:t>福建莆田中涵机动力有限公司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43E3A0">
            <w:r>
              <w:rPr>
                <w:rFonts w:hint="eastAsia"/>
              </w:rPr>
              <w:t xml:space="preserve">机械制造类、电子信息类  </w:t>
            </w:r>
          </w:p>
        </w:tc>
      </w:tr>
      <w:tr w14:paraId="59EF15CA">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C8B6D0C">
            <w:r>
              <w:rPr>
                <w:rFonts w:hint="eastAsia"/>
              </w:rPr>
              <w:t>39</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3C0A48">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3F2A1F">
            <w:r>
              <w:rPr>
                <w:rFonts w:hint="eastAsia"/>
              </w:rPr>
              <w:t>莆田市中机中泰汽车销售有限公司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091C8B">
            <w:pPr>
              <w:ind w:firstLine="420" w:firstLineChars="200"/>
            </w:pPr>
            <w:r>
              <w:rPr>
                <w:rFonts w:hint="eastAsia"/>
              </w:rPr>
              <w:t>机械制造类、电子信息类、财经商贸类 、</w:t>
            </w:r>
          </w:p>
          <w:p w14:paraId="003FF3DD">
            <w:pPr>
              <w:ind w:firstLine="420" w:firstLineChars="200"/>
            </w:pPr>
            <w:r>
              <w:rPr>
                <w:rFonts w:hint="eastAsia"/>
              </w:rPr>
              <w:t>交通运输类</w:t>
            </w:r>
          </w:p>
        </w:tc>
      </w:tr>
      <w:tr w14:paraId="34082AE3">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2C79A0CF">
            <w:r>
              <w:rPr>
                <w:rFonts w:hint="eastAsia"/>
              </w:rPr>
              <w:t>40</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AC4087">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976D68">
            <w:r>
              <w:rPr>
                <w:rFonts w:hint="eastAsia"/>
              </w:rPr>
              <w:t>中海油（莆田）新能源公司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2695DF">
            <w:r>
              <w:rPr>
                <w:rFonts w:hint="eastAsia"/>
              </w:rPr>
              <w:t xml:space="preserve">机械制造类 、石油化工类、电子信息类  </w:t>
            </w:r>
          </w:p>
        </w:tc>
      </w:tr>
      <w:tr w14:paraId="3C6663BF">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9C2A3C6">
            <w:r>
              <w:rPr>
                <w:rFonts w:hint="eastAsia"/>
              </w:rPr>
              <w:t>41</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7D0A9C">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3E65C7">
            <w:r>
              <w:rPr>
                <w:rFonts w:hint="eastAsia"/>
              </w:rPr>
              <w:t>英博雪津啤酒有限公司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2089C8">
            <w:r>
              <w:rPr>
                <w:rFonts w:hint="eastAsia"/>
              </w:rPr>
              <w:t xml:space="preserve">机械制造类、电子信息类、财经商贸类  </w:t>
            </w:r>
          </w:p>
        </w:tc>
      </w:tr>
      <w:tr w14:paraId="07386959">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702F636">
            <w:r>
              <w:rPr>
                <w:rFonts w:hint="eastAsia"/>
              </w:rPr>
              <w:t>42</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5DD3E9">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74A48C">
            <w:r>
              <w:rPr>
                <w:rFonts w:hint="eastAsia"/>
              </w:rPr>
              <w:t>福建福光光电科技有限公司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978C01">
            <w:r>
              <w:rPr>
                <w:rFonts w:hint="eastAsia"/>
              </w:rPr>
              <w:t xml:space="preserve">机械制造类、电子信息类    </w:t>
            </w:r>
          </w:p>
        </w:tc>
      </w:tr>
      <w:tr w14:paraId="2F941BE1">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3873B692">
            <w:r>
              <w:rPr>
                <w:rFonts w:hint="eastAsia"/>
              </w:rPr>
              <w:t>43</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D9A6C3">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289FF5">
            <w:r>
              <w:rPr>
                <w:rFonts w:hint="eastAsia"/>
              </w:rPr>
              <w:t>威兰（泉州）汽车零部件有限公司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5CD166">
            <w:r>
              <w:rPr>
                <w:rFonts w:hint="eastAsia"/>
              </w:rPr>
              <w:t xml:space="preserve">机械制造类、电子信息类    </w:t>
            </w:r>
          </w:p>
        </w:tc>
      </w:tr>
      <w:tr w14:paraId="78444A3C">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F300EA8">
            <w:r>
              <w:rPr>
                <w:rFonts w:hint="eastAsia"/>
              </w:rPr>
              <w:t>44</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FC482A">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1E1DB2">
            <w:r>
              <w:rPr>
                <w:rFonts w:hint="eastAsia"/>
              </w:rPr>
              <w:t>莆田市寿山石雕行业协会</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0A52DB">
            <w:r>
              <w:rPr>
                <w:rFonts w:hint="eastAsia"/>
              </w:rPr>
              <w:t xml:space="preserve">工艺美术类、财经商贸类  </w:t>
            </w:r>
          </w:p>
        </w:tc>
      </w:tr>
      <w:tr w14:paraId="16232A70">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670C07B">
            <w:r>
              <w:rPr>
                <w:rFonts w:hint="eastAsia"/>
              </w:rPr>
              <w:t>45</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E5C44F">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F42D08">
            <w:r>
              <w:rPr>
                <w:rFonts w:hint="eastAsia"/>
              </w:rPr>
              <w:t>莆田市汽车流通行业协会</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C37288">
            <w:r>
              <w:rPr>
                <w:rFonts w:hint="eastAsia"/>
              </w:rPr>
              <w:t>财经商贸类、交通运输类</w:t>
            </w:r>
          </w:p>
        </w:tc>
      </w:tr>
      <w:tr w14:paraId="6B1B3D90">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7AC87D0B">
            <w:r>
              <w:rPr>
                <w:rFonts w:hint="eastAsia"/>
              </w:rPr>
              <w:t>46</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BC452E">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FAC1C1">
            <w:r>
              <w:rPr>
                <w:rFonts w:hint="eastAsia"/>
              </w:rPr>
              <w:t>莆田市奇奇贸易发展有限公司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002284">
            <w:r>
              <w:rPr>
                <w:rFonts w:hint="eastAsia"/>
              </w:rPr>
              <w:t>财经商贸类、交通运输类</w:t>
            </w:r>
          </w:p>
        </w:tc>
      </w:tr>
      <w:tr w14:paraId="2564C870">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BE78557">
            <w:r>
              <w:rPr>
                <w:rFonts w:hint="eastAsia"/>
              </w:rPr>
              <w:t>47</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A2D790">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68B656">
            <w:r>
              <w:rPr>
                <w:rFonts w:hint="eastAsia"/>
              </w:rPr>
              <w:t>仙游县丰众车业有限公司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978466">
            <w:r>
              <w:rPr>
                <w:rFonts w:hint="eastAsia"/>
              </w:rPr>
              <w:t>财经商贸类、交通运输类</w:t>
            </w:r>
          </w:p>
        </w:tc>
      </w:tr>
      <w:tr w14:paraId="12D7A924">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63BD194">
            <w:r>
              <w:rPr>
                <w:rFonts w:hint="eastAsia"/>
              </w:rPr>
              <w:t>48</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B0A6B0">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290970">
            <w:r>
              <w:rPr>
                <w:rFonts w:hint="eastAsia"/>
              </w:rPr>
              <w:t>中国平安保险公司莆田中心支公司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527371">
            <w:r>
              <w:rPr>
                <w:rFonts w:hint="eastAsia"/>
              </w:rPr>
              <w:t>电子信息类、财经商贸类、交通运输类</w:t>
            </w:r>
          </w:p>
        </w:tc>
      </w:tr>
      <w:tr w14:paraId="22F4AF4F">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2DD203A6">
            <w:r>
              <w:rPr>
                <w:rFonts w:hint="eastAsia"/>
              </w:rPr>
              <w:t>49</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FF993F">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F25818">
            <w:r>
              <w:rPr>
                <w:rFonts w:hint="eastAsia"/>
              </w:rPr>
              <w:t>莆田顺丰速运有限责任公司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01FA46">
            <w:r>
              <w:rPr>
                <w:rFonts w:hint="eastAsia"/>
              </w:rPr>
              <w:t xml:space="preserve">电子信息类、财经商贸类  </w:t>
            </w:r>
          </w:p>
        </w:tc>
      </w:tr>
      <w:tr w14:paraId="591E36F1">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610B917">
            <w:r>
              <w:rPr>
                <w:rFonts w:hint="eastAsia"/>
              </w:rPr>
              <w:t>50</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255D6C">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EE4092">
            <w:r>
              <w:rPr>
                <w:rFonts w:hint="eastAsia"/>
              </w:rPr>
              <w:t>厦门大拇哥动漫股份有限公司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F8192F">
            <w:r>
              <w:rPr>
                <w:rFonts w:hint="eastAsia"/>
              </w:rPr>
              <w:t xml:space="preserve">电子信息类  </w:t>
            </w:r>
          </w:p>
        </w:tc>
      </w:tr>
      <w:tr w14:paraId="2205AD09">
        <w:tblPrEx>
          <w:tblCellMar>
            <w:top w:w="0" w:type="dxa"/>
            <w:left w:w="0" w:type="dxa"/>
            <w:bottom w:w="0" w:type="dxa"/>
            <w:right w:w="0" w:type="dxa"/>
          </w:tblCellMar>
        </w:tblPrEx>
        <w:trPr>
          <w:trHeight w:val="312" w:hRule="atLeast"/>
          <w:jc w:val="center"/>
        </w:trPr>
        <w:tc>
          <w:tcPr>
            <w:tcW w:w="440" w:type="dxa"/>
            <w:vMerge w:val="restart"/>
            <w:tcBorders>
              <w:top w:val="single" w:color="000000" w:sz="4" w:space="0"/>
              <w:left w:val="single" w:color="000000" w:sz="4" w:space="0"/>
              <w:right w:val="single" w:color="000000" w:sz="4" w:space="0"/>
            </w:tcBorders>
            <w:noWrap/>
            <w:tcMar>
              <w:top w:w="10" w:type="dxa"/>
              <w:left w:w="10" w:type="dxa"/>
              <w:right w:w="10" w:type="dxa"/>
            </w:tcMar>
            <w:vAlign w:val="center"/>
          </w:tcPr>
          <w:p w14:paraId="1027F2EA">
            <w:r>
              <w:rPr>
                <w:rFonts w:hint="eastAsia"/>
              </w:rPr>
              <w:t>51</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476AF0">
            <w:r>
              <w:rPr>
                <w:rFonts w:hint="eastAsia"/>
              </w:rPr>
              <w:t>湄职校</w:t>
            </w:r>
          </w:p>
        </w:tc>
        <w:tc>
          <w:tcPr>
            <w:tcW w:w="40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6DAF27">
            <w:r>
              <w:rPr>
                <w:rFonts w:hint="eastAsia"/>
              </w:rPr>
              <w:t>仙游县铭天下红木家具有限公司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2C5E82">
            <w:r>
              <w:rPr>
                <w:rFonts w:hint="eastAsia"/>
              </w:rPr>
              <w:t>电子商务类</w:t>
            </w:r>
          </w:p>
        </w:tc>
      </w:tr>
      <w:tr w14:paraId="15C96B37">
        <w:tblPrEx>
          <w:tblCellMar>
            <w:top w:w="0" w:type="dxa"/>
            <w:left w:w="0" w:type="dxa"/>
            <w:bottom w:w="0" w:type="dxa"/>
            <w:right w:w="0" w:type="dxa"/>
          </w:tblCellMar>
        </w:tblPrEx>
        <w:trPr>
          <w:trHeight w:val="312" w:hRule="atLeast"/>
          <w:jc w:val="center"/>
        </w:trPr>
        <w:tc>
          <w:tcPr>
            <w:tcW w:w="440" w:type="dxa"/>
            <w:vMerge w:val="continue"/>
            <w:tcBorders>
              <w:left w:val="single" w:color="000000" w:sz="4" w:space="0"/>
              <w:bottom w:val="nil"/>
              <w:right w:val="single" w:color="000000" w:sz="4" w:space="0"/>
            </w:tcBorders>
            <w:noWrap/>
            <w:tcMar>
              <w:top w:w="10" w:type="dxa"/>
              <w:left w:w="10" w:type="dxa"/>
              <w:right w:w="10" w:type="dxa"/>
            </w:tcMar>
            <w:vAlign w:val="center"/>
          </w:tcPr>
          <w:p w14:paraId="69FAFB95"/>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D40CD5">
            <w:r>
              <w:rPr>
                <w:rFonts w:hint="eastAsia"/>
              </w:rPr>
              <w:t>湄职校</w:t>
            </w:r>
          </w:p>
        </w:tc>
        <w:tc>
          <w:tcPr>
            <w:tcW w:w="40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1C5ECD"/>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3B1C24">
            <w:r>
              <w:rPr>
                <w:rFonts w:hint="eastAsia"/>
              </w:rPr>
              <w:t xml:space="preserve">工艺美术类  </w:t>
            </w:r>
          </w:p>
        </w:tc>
      </w:tr>
      <w:tr w14:paraId="011DC405">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4795915">
            <w:r>
              <w:rPr>
                <w:rFonts w:hint="eastAsia"/>
              </w:rPr>
              <w:t>52</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BB52A6">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C705EE">
            <w:r>
              <w:rPr>
                <w:rFonts w:hint="eastAsia"/>
              </w:rPr>
              <w:t>莆田德邦物流责任有限公司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CB6946">
            <w:r>
              <w:rPr>
                <w:rFonts w:hint="eastAsia"/>
              </w:rPr>
              <w:t xml:space="preserve">电子信息类、财经商贸类  </w:t>
            </w:r>
          </w:p>
        </w:tc>
      </w:tr>
      <w:tr w14:paraId="489173F5">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0F89781">
            <w:r>
              <w:rPr>
                <w:rFonts w:hint="eastAsia"/>
              </w:rPr>
              <w:t>53</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BE2B8C">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D3DBE4">
            <w:r>
              <w:rPr>
                <w:rFonts w:hint="eastAsia"/>
              </w:rPr>
              <w:t>福建北讯智能科技有限公司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03481C">
            <w:r>
              <w:rPr>
                <w:rFonts w:hint="eastAsia"/>
              </w:rPr>
              <w:t xml:space="preserve">电子信息类、财经商贸类  </w:t>
            </w:r>
          </w:p>
        </w:tc>
      </w:tr>
      <w:tr w14:paraId="62D6E836">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09C4F4C4">
            <w:r>
              <w:rPr>
                <w:rFonts w:hint="eastAsia"/>
              </w:rPr>
              <w:t>54</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6B2424">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62B277">
            <w:r>
              <w:rPr>
                <w:rFonts w:hint="eastAsia"/>
              </w:rPr>
              <w:t>福建省水手食品有限公司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A4DDE1">
            <w:r>
              <w:rPr>
                <w:rFonts w:hint="eastAsia"/>
              </w:rPr>
              <w:t xml:space="preserve">电子信息类、财经商贸类  </w:t>
            </w:r>
          </w:p>
        </w:tc>
      </w:tr>
      <w:tr w14:paraId="39F758B9">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896F23C">
            <w:r>
              <w:rPr>
                <w:rFonts w:hint="eastAsia"/>
              </w:rPr>
              <w:t>56</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D3F000">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C1DCC8">
            <w:r>
              <w:rPr>
                <w:rFonts w:hint="eastAsia"/>
              </w:rPr>
              <w:t>才子服饰股份有限公司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BB1D83">
            <w:r>
              <w:rPr>
                <w:rFonts w:hint="eastAsia"/>
              </w:rPr>
              <w:t xml:space="preserve">机械制造类 、工艺美术类、电子信息类、财经商贸类  </w:t>
            </w:r>
          </w:p>
        </w:tc>
      </w:tr>
      <w:tr w14:paraId="0005A771">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E5CAF37">
            <w:r>
              <w:rPr>
                <w:rFonts w:hint="eastAsia"/>
              </w:rPr>
              <w:t>56</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94D805">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0DC1C5">
            <w:r>
              <w:rPr>
                <w:rFonts w:hint="eastAsia"/>
              </w:rPr>
              <w:t>东南（福建）汽车工业有限公司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893412">
            <w:r>
              <w:rPr>
                <w:rFonts w:hint="eastAsia"/>
              </w:rPr>
              <w:t>机械制造类、电子信息类、交通运输类</w:t>
            </w:r>
          </w:p>
        </w:tc>
      </w:tr>
      <w:tr w14:paraId="4C41E598">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4CE28DBB">
            <w:r>
              <w:rPr>
                <w:rFonts w:hint="eastAsia"/>
              </w:rPr>
              <w:t>57</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A8A33A">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7FDF81">
            <w:r>
              <w:rPr>
                <w:rFonts w:hint="eastAsia"/>
              </w:rPr>
              <w:t>福建省大起机械制造有限公司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99A4D8">
            <w:r>
              <w:rPr>
                <w:rFonts w:hint="eastAsia"/>
              </w:rPr>
              <w:t xml:space="preserve">机械制造类 、电子信息类、财经商贸类  </w:t>
            </w:r>
          </w:p>
        </w:tc>
      </w:tr>
      <w:tr w14:paraId="47C3F1EC">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02E4A44">
            <w:r>
              <w:rPr>
                <w:rFonts w:hint="eastAsia"/>
              </w:rPr>
              <w:t>58</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531D64">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78F864">
            <w:r>
              <w:rPr>
                <w:rFonts w:hint="eastAsia"/>
              </w:rPr>
              <w:t>莆田市泰扬工艺品有限公司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D19835">
            <w:r>
              <w:rPr>
                <w:rFonts w:hint="eastAsia"/>
              </w:rPr>
              <w:t xml:space="preserve">机械制造类、工艺美术类、电子信息类、财经商贸类  </w:t>
            </w:r>
          </w:p>
        </w:tc>
      </w:tr>
      <w:tr w14:paraId="4F48E1A2">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6A545A0">
            <w:r>
              <w:rPr>
                <w:rFonts w:hint="eastAsia"/>
              </w:rPr>
              <w:t>59</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BCCF91">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90D479">
            <w:r>
              <w:rPr>
                <w:rFonts w:hint="eastAsia"/>
              </w:rPr>
              <w:t>福建仙游县佐洺贸易有限公司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2A0DE5">
            <w:r>
              <w:rPr>
                <w:rFonts w:hint="eastAsia"/>
              </w:rPr>
              <w:t>电子信息类、财经商贸类</w:t>
            </w:r>
          </w:p>
        </w:tc>
      </w:tr>
      <w:tr w14:paraId="66451389">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31F22252">
            <w:r>
              <w:rPr>
                <w:rFonts w:hint="eastAsia"/>
              </w:rPr>
              <w:t>60</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B2537A">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F9EE98">
            <w:r>
              <w:rPr>
                <w:rFonts w:hint="eastAsia"/>
              </w:rPr>
              <w:t>福建省汽车集团云度新能源汽车有限公司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94B2A6">
            <w:r>
              <w:rPr>
                <w:rFonts w:hint="eastAsia"/>
              </w:rPr>
              <w:t>机械制造类、电子信息类、交通运输类</w:t>
            </w:r>
          </w:p>
        </w:tc>
      </w:tr>
      <w:tr w14:paraId="28E2CD2E">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96D5C74">
            <w:r>
              <w:rPr>
                <w:rFonts w:hint="eastAsia"/>
              </w:rPr>
              <w:t>61</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04AC19">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354405">
            <w:r>
              <w:rPr>
                <w:rFonts w:hint="eastAsia"/>
              </w:rPr>
              <w:t>莆田市乐必达网络科技有限公司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E67E30">
            <w:r>
              <w:rPr>
                <w:rFonts w:hint="eastAsia"/>
              </w:rPr>
              <w:t>电子信息类、财经商贸类</w:t>
            </w:r>
          </w:p>
        </w:tc>
      </w:tr>
      <w:tr w14:paraId="50C3E98B">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41B25CF">
            <w:r>
              <w:rPr>
                <w:rFonts w:hint="eastAsia"/>
              </w:rPr>
              <w:t>62</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C697CA">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BD7C17">
            <w:r>
              <w:rPr>
                <w:rFonts w:hint="eastAsia"/>
              </w:rPr>
              <w:t>福建华峰新材料有限公司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ED90B2">
            <w:r>
              <w:rPr>
                <w:rFonts w:hint="eastAsia"/>
              </w:rPr>
              <w:t>工业分析与检验、平面设计、市场营销</w:t>
            </w:r>
          </w:p>
        </w:tc>
      </w:tr>
      <w:tr w14:paraId="05870B57">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631F513D">
            <w:r>
              <w:rPr>
                <w:rFonts w:hint="eastAsia"/>
              </w:rPr>
              <w:t>63</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1BA7F1">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140D3C">
            <w:r>
              <w:rPr>
                <w:rFonts w:hint="eastAsia"/>
              </w:rPr>
              <w:t>深圳市卫国教育科技有限公司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39FCBB">
            <w:r>
              <w:rPr>
                <w:rFonts w:hint="eastAsia"/>
              </w:rPr>
              <w:t xml:space="preserve">数控技术应用、机电一体化      </w:t>
            </w:r>
          </w:p>
        </w:tc>
      </w:tr>
      <w:tr w14:paraId="1378FDC5">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6BC8E4">
            <w:r>
              <w:rPr>
                <w:rFonts w:hint="eastAsia"/>
              </w:rPr>
              <w:t>64</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1B73EE">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50CE4F">
            <w:r>
              <w:rPr>
                <w:rFonts w:hint="eastAsia"/>
              </w:rPr>
              <w:t>福建海安橡胶有限公司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DAACE0">
            <w:r>
              <w:rPr>
                <w:rFonts w:hint="eastAsia"/>
              </w:rPr>
              <w:t xml:space="preserve">机械制造类、石油化工类、电子信息类 交通运输类  </w:t>
            </w:r>
          </w:p>
        </w:tc>
      </w:tr>
      <w:tr w14:paraId="3ED67242">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6C293BB">
            <w:r>
              <w:rPr>
                <w:rFonts w:hint="eastAsia"/>
              </w:rPr>
              <w:t>65</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8D2807">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6B478B">
            <w:r>
              <w:rPr>
                <w:rFonts w:hint="eastAsia"/>
              </w:rPr>
              <w:t>京东方科技集团股份有限公司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B43988">
            <w:r>
              <w:rPr>
                <w:rFonts w:hint="eastAsia"/>
              </w:rPr>
              <w:t xml:space="preserve">机械制造类、电子信息类      </w:t>
            </w:r>
          </w:p>
        </w:tc>
      </w:tr>
      <w:tr w14:paraId="3E381D0A">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14:paraId="6FAED037">
            <w:r>
              <w:rPr>
                <w:rFonts w:hint="eastAsia"/>
              </w:rPr>
              <w:t>66</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8153CE">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B850DE">
            <w:r>
              <w:rPr>
                <w:rFonts w:hint="eastAsia"/>
              </w:rPr>
              <w:t>福建高动人力资源有限公司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7A8B88">
            <w:r>
              <w:rPr>
                <w:rFonts w:hint="eastAsia"/>
              </w:rPr>
              <w:t>商贸财经类</w:t>
            </w:r>
          </w:p>
        </w:tc>
      </w:tr>
      <w:tr w14:paraId="20CA2BB6">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EEFB716">
            <w:r>
              <w:rPr>
                <w:rFonts w:hint="eastAsia"/>
              </w:rPr>
              <w:t>67</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A3258E">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E09382">
            <w:r>
              <w:rPr>
                <w:rFonts w:hint="eastAsia"/>
              </w:rPr>
              <w:t>飞毛腿电池有限公司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FA2EF5">
            <w:r>
              <w:rPr>
                <w:rFonts w:hint="eastAsia"/>
              </w:rPr>
              <w:t>机械制造类、电子信息类</w:t>
            </w:r>
          </w:p>
        </w:tc>
      </w:tr>
    </w:tbl>
    <w:p w14:paraId="6EA6C591">
      <w:pPr>
        <w:ind w:firstLine="420" w:firstLineChars="200"/>
      </w:pPr>
      <w:r>
        <w:t>⑤</w:t>
      </w:r>
      <w:r>
        <w:rPr>
          <w:rFonts w:hint="eastAsia"/>
        </w:rPr>
        <w:t>名师工作室数量（满分7分，得分6分）</w:t>
      </w:r>
    </w:p>
    <w:p w14:paraId="455DB981">
      <w:pPr>
        <w:ind w:firstLine="420" w:firstLineChars="200"/>
      </w:pPr>
      <w:r>
        <w:rPr>
          <w:rFonts w:hint="eastAsia"/>
        </w:rPr>
        <w:t>根据莆田市教育局提供的技能大师工作室建设情况，截止至2020年湄职校有6个名师工作室，莆职校的名师工作室建设尚未完成。得分=已建设名师工作室数量/7个*100%*7分=6/7*100%*7=6分。根据评价标准，名师工作室数量得6分。</w:t>
      </w:r>
    </w:p>
    <w:p w14:paraId="0BB9BBED">
      <w:pPr>
        <w:ind w:firstLine="420" w:firstLineChars="200"/>
      </w:pPr>
      <w:r>
        <w:rPr>
          <w:rFonts w:hint="eastAsia"/>
        </w:rPr>
        <w:t>表8  湄洲湾职业技术学校名师工作室</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020"/>
        <w:gridCol w:w="1829"/>
        <w:gridCol w:w="1161"/>
        <w:gridCol w:w="2497"/>
      </w:tblGrid>
      <w:tr w14:paraId="3BAB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14:paraId="415C14DA">
            <w:r>
              <w:rPr>
                <w:rFonts w:hint="eastAsia"/>
              </w:rPr>
              <w:t>序号</w:t>
            </w:r>
          </w:p>
        </w:tc>
        <w:tc>
          <w:tcPr>
            <w:tcW w:w="3020" w:type="dxa"/>
          </w:tcPr>
          <w:p w14:paraId="722FBCCB">
            <w:r>
              <w:rPr>
                <w:rFonts w:hint="eastAsia"/>
              </w:rPr>
              <w:t>工作室名称</w:t>
            </w:r>
          </w:p>
        </w:tc>
        <w:tc>
          <w:tcPr>
            <w:tcW w:w="1829" w:type="dxa"/>
          </w:tcPr>
          <w:p w14:paraId="5D1A7498">
            <w:r>
              <w:rPr>
                <w:rFonts w:hint="eastAsia"/>
              </w:rPr>
              <w:t>负责人</w:t>
            </w:r>
          </w:p>
        </w:tc>
        <w:tc>
          <w:tcPr>
            <w:tcW w:w="1161" w:type="dxa"/>
          </w:tcPr>
          <w:p w14:paraId="3D606C50">
            <w:r>
              <w:rPr>
                <w:rFonts w:hint="eastAsia"/>
              </w:rPr>
              <w:t>级别</w:t>
            </w:r>
          </w:p>
        </w:tc>
        <w:tc>
          <w:tcPr>
            <w:tcW w:w="2497" w:type="dxa"/>
          </w:tcPr>
          <w:p w14:paraId="69052F9D">
            <w:r>
              <w:rPr>
                <w:rFonts w:hint="eastAsia"/>
              </w:rPr>
              <w:t>成员名单</w:t>
            </w:r>
          </w:p>
        </w:tc>
      </w:tr>
      <w:tr w14:paraId="4044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14:paraId="5CC06A12">
            <w:r>
              <w:rPr>
                <w:rFonts w:hint="eastAsia"/>
              </w:rPr>
              <w:t>1</w:t>
            </w:r>
          </w:p>
        </w:tc>
        <w:tc>
          <w:tcPr>
            <w:tcW w:w="3020" w:type="dxa"/>
          </w:tcPr>
          <w:p w14:paraId="394A58DA">
            <w:r>
              <w:rPr>
                <w:rFonts w:hint="eastAsia"/>
              </w:rPr>
              <w:t>许元潘玉雕技能大师工作室</w:t>
            </w:r>
          </w:p>
        </w:tc>
        <w:tc>
          <w:tcPr>
            <w:tcW w:w="1829" w:type="dxa"/>
          </w:tcPr>
          <w:p w14:paraId="7B3AA7B4">
            <w:r>
              <w:rPr>
                <w:rFonts w:hint="eastAsia"/>
              </w:rPr>
              <w:t>许元潘</w:t>
            </w:r>
          </w:p>
        </w:tc>
        <w:tc>
          <w:tcPr>
            <w:tcW w:w="1161" w:type="dxa"/>
          </w:tcPr>
          <w:p w14:paraId="22C8D334">
            <w:r>
              <w:rPr>
                <w:rFonts w:hint="eastAsia"/>
              </w:rPr>
              <w:t>校级</w:t>
            </w:r>
          </w:p>
        </w:tc>
        <w:tc>
          <w:tcPr>
            <w:tcW w:w="2497" w:type="dxa"/>
          </w:tcPr>
          <w:p w14:paraId="6F3D22C3">
            <w:r>
              <w:rPr>
                <w:rFonts w:hint="eastAsia"/>
              </w:rPr>
              <w:t>程智、林虹</w:t>
            </w:r>
          </w:p>
        </w:tc>
      </w:tr>
      <w:tr w14:paraId="60D3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14:paraId="7B45DFE1">
            <w:r>
              <w:rPr>
                <w:rFonts w:hint="eastAsia"/>
              </w:rPr>
              <w:t>2</w:t>
            </w:r>
          </w:p>
        </w:tc>
        <w:tc>
          <w:tcPr>
            <w:tcW w:w="3020" w:type="dxa"/>
          </w:tcPr>
          <w:p w14:paraId="76A42930">
            <w:r>
              <w:rPr>
                <w:rFonts w:hint="eastAsia"/>
              </w:rPr>
              <w:t>王友华技能大师工作室</w:t>
            </w:r>
          </w:p>
        </w:tc>
        <w:tc>
          <w:tcPr>
            <w:tcW w:w="1829" w:type="dxa"/>
          </w:tcPr>
          <w:p w14:paraId="19E479A7">
            <w:r>
              <w:rPr>
                <w:rFonts w:hint="eastAsia"/>
              </w:rPr>
              <w:t>王友华</w:t>
            </w:r>
          </w:p>
        </w:tc>
        <w:tc>
          <w:tcPr>
            <w:tcW w:w="1161" w:type="dxa"/>
          </w:tcPr>
          <w:p w14:paraId="742DE371">
            <w:r>
              <w:rPr>
                <w:rFonts w:hint="eastAsia"/>
              </w:rPr>
              <w:t>校级</w:t>
            </w:r>
          </w:p>
        </w:tc>
        <w:tc>
          <w:tcPr>
            <w:tcW w:w="2497" w:type="dxa"/>
          </w:tcPr>
          <w:p w14:paraId="6CB760B2">
            <w:r>
              <w:rPr>
                <w:rFonts w:hint="eastAsia"/>
              </w:rPr>
              <w:t>詹林伟、陈政伟、陈建灿</w:t>
            </w:r>
          </w:p>
        </w:tc>
      </w:tr>
      <w:tr w14:paraId="2469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14:paraId="13495DD6">
            <w:r>
              <w:rPr>
                <w:rFonts w:hint="eastAsia"/>
              </w:rPr>
              <w:t>3</w:t>
            </w:r>
          </w:p>
        </w:tc>
        <w:tc>
          <w:tcPr>
            <w:tcW w:w="3020" w:type="dxa"/>
          </w:tcPr>
          <w:p w14:paraId="142BD475">
            <w:r>
              <w:rPr>
                <w:rFonts w:hint="eastAsia"/>
              </w:rPr>
              <w:t>施风荣技能大师工作室</w:t>
            </w:r>
          </w:p>
        </w:tc>
        <w:tc>
          <w:tcPr>
            <w:tcW w:w="1829" w:type="dxa"/>
          </w:tcPr>
          <w:p w14:paraId="6A06E9F8">
            <w:r>
              <w:rPr>
                <w:rFonts w:hint="eastAsia"/>
              </w:rPr>
              <w:t>施风荣</w:t>
            </w:r>
          </w:p>
        </w:tc>
        <w:tc>
          <w:tcPr>
            <w:tcW w:w="1161" w:type="dxa"/>
          </w:tcPr>
          <w:p w14:paraId="08CF0EE4">
            <w:r>
              <w:rPr>
                <w:rFonts w:hint="eastAsia"/>
              </w:rPr>
              <w:t>校级</w:t>
            </w:r>
          </w:p>
        </w:tc>
        <w:tc>
          <w:tcPr>
            <w:tcW w:w="2497" w:type="dxa"/>
          </w:tcPr>
          <w:p w14:paraId="5A353F82">
            <w:r>
              <w:rPr>
                <w:rFonts w:hint="eastAsia"/>
              </w:rPr>
              <w:t>黄志军、刘全胜、梁兴华</w:t>
            </w:r>
          </w:p>
        </w:tc>
      </w:tr>
      <w:tr w14:paraId="7EAA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14:paraId="781A3DF8">
            <w:r>
              <w:rPr>
                <w:rFonts w:hint="eastAsia"/>
              </w:rPr>
              <w:t>4</w:t>
            </w:r>
          </w:p>
        </w:tc>
        <w:tc>
          <w:tcPr>
            <w:tcW w:w="3020" w:type="dxa"/>
          </w:tcPr>
          <w:p w14:paraId="49E29A15">
            <w:r>
              <w:rPr>
                <w:rFonts w:hint="eastAsia"/>
              </w:rPr>
              <w:t>陈江忠名师工作室</w:t>
            </w:r>
          </w:p>
        </w:tc>
        <w:tc>
          <w:tcPr>
            <w:tcW w:w="1829" w:type="dxa"/>
          </w:tcPr>
          <w:p w14:paraId="0FEC40A1">
            <w:r>
              <w:rPr>
                <w:rFonts w:hint="eastAsia"/>
              </w:rPr>
              <w:t>陈江忠</w:t>
            </w:r>
          </w:p>
        </w:tc>
        <w:tc>
          <w:tcPr>
            <w:tcW w:w="1161" w:type="dxa"/>
          </w:tcPr>
          <w:p w14:paraId="62AED997">
            <w:r>
              <w:rPr>
                <w:rFonts w:hint="eastAsia"/>
              </w:rPr>
              <w:t>校级</w:t>
            </w:r>
          </w:p>
        </w:tc>
        <w:tc>
          <w:tcPr>
            <w:tcW w:w="2497" w:type="dxa"/>
          </w:tcPr>
          <w:p w14:paraId="76124D74">
            <w:r>
              <w:rPr>
                <w:rFonts w:hint="eastAsia"/>
              </w:rPr>
              <w:t>郑开锦、蔡颖颖、郑嬿婧</w:t>
            </w:r>
          </w:p>
        </w:tc>
      </w:tr>
      <w:tr w14:paraId="695B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14:paraId="4EE40721">
            <w:r>
              <w:rPr>
                <w:rFonts w:hint="eastAsia"/>
              </w:rPr>
              <w:t>5</w:t>
            </w:r>
          </w:p>
        </w:tc>
        <w:tc>
          <w:tcPr>
            <w:tcW w:w="3020" w:type="dxa"/>
          </w:tcPr>
          <w:p w14:paraId="0786F4CD">
            <w:r>
              <w:rPr>
                <w:rFonts w:hint="eastAsia"/>
              </w:rPr>
              <w:t>陈朝伟名师工作室</w:t>
            </w:r>
          </w:p>
        </w:tc>
        <w:tc>
          <w:tcPr>
            <w:tcW w:w="1829" w:type="dxa"/>
          </w:tcPr>
          <w:p w14:paraId="2435469D">
            <w:r>
              <w:rPr>
                <w:rFonts w:hint="eastAsia"/>
              </w:rPr>
              <w:t>陈朝伟</w:t>
            </w:r>
          </w:p>
        </w:tc>
        <w:tc>
          <w:tcPr>
            <w:tcW w:w="1161" w:type="dxa"/>
          </w:tcPr>
          <w:p w14:paraId="7AEEFC76">
            <w:r>
              <w:rPr>
                <w:rFonts w:hint="eastAsia"/>
              </w:rPr>
              <w:t>校级</w:t>
            </w:r>
          </w:p>
        </w:tc>
        <w:tc>
          <w:tcPr>
            <w:tcW w:w="2497" w:type="dxa"/>
          </w:tcPr>
          <w:p w14:paraId="4EBB773C">
            <w:r>
              <w:rPr>
                <w:rFonts w:hint="eastAsia"/>
              </w:rPr>
              <w:t>周波、李光、林万芳</w:t>
            </w:r>
          </w:p>
        </w:tc>
      </w:tr>
      <w:tr w14:paraId="5FF2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14:paraId="380451B8">
            <w:r>
              <w:rPr>
                <w:rFonts w:hint="eastAsia"/>
              </w:rPr>
              <w:t>6</w:t>
            </w:r>
          </w:p>
        </w:tc>
        <w:tc>
          <w:tcPr>
            <w:tcW w:w="3020" w:type="dxa"/>
          </w:tcPr>
          <w:p w14:paraId="3F88EEFE">
            <w:r>
              <w:rPr>
                <w:rFonts w:hint="eastAsia"/>
              </w:rPr>
              <w:t>张容芳名师工作室</w:t>
            </w:r>
          </w:p>
        </w:tc>
        <w:tc>
          <w:tcPr>
            <w:tcW w:w="1829" w:type="dxa"/>
          </w:tcPr>
          <w:p w14:paraId="1BC0BE12">
            <w:r>
              <w:rPr>
                <w:rFonts w:hint="eastAsia"/>
              </w:rPr>
              <w:t>张容芳</w:t>
            </w:r>
          </w:p>
        </w:tc>
        <w:tc>
          <w:tcPr>
            <w:tcW w:w="1161" w:type="dxa"/>
          </w:tcPr>
          <w:p w14:paraId="5DD75011">
            <w:r>
              <w:rPr>
                <w:rFonts w:hint="eastAsia"/>
              </w:rPr>
              <w:t>校级</w:t>
            </w:r>
          </w:p>
        </w:tc>
        <w:tc>
          <w:tcPr>
            <w:tcW w:w="2497" w:type="dxa"/>
          </w:tcPr>
          <w:p w14:paraId="15ED40D2">
            <w:r>
              <w:rPr>
                <w:rFonts w:hint="eastAsia"/>
              </w:rPr>
              <w:t>杨薇、黄青霞、郭超涵</w:t>
            </w:r>
          </w:p>
        </w:tc>
      </w:tr>
    </w:tbl>
    <w:p w14:paraId="48E37D54">
      <w:pPr>
        <w:ind w:firstLine="420" w:firstLineChars="200"/>
      </w:pPr>
      <w:r>
        <w:rPr>
          <w:rFonts w:hint="eastAsia"/>
        </w:rPr>
        <w:t>（3）产出质量（满分13分，得分11.52分）</w:t>
      </w:r>
    </w:p>
    <w:p w14:paraId="49AAD47C">
      <w:pPr>
        <w:ind w:firstLine="420" w:firstLineChars="200"/>
      </w:pPr>
      <w:r>
        <w:t>①</w:t>
      </w:r>
      <w:r>
        <w:rPr>
          <w:rFonts w:hint="eastAsia"/>
        </w:rPr>
        <w:t>项目验收合格率（满分2分，得分2分）</w:t>
      </w:r>
    </w:p>
    <w:p w14:paraId="205B1471">
      <w:pPr>
        <w:ind w:firstLine="420" w:firstLineChars="200"/>
      </w:pPr>
      <w:r>
        <w:rPr>
          <w:rFonts w:hint="eastAsia"/>
        </w:rPr>
        <w:t>根据市教育局提供的设备采购验收合格报告及汇总表，合格率达100%。根据评价标准，项目验收合格率得2分。</w:t>
      </w:r>
    </w:p>
    <w:p w14:paraId="101F3689">
      <w:pPr>
        <w:ind w:firstLine="420" w:firstLineChars="200"/>
      </w:pPr>
      <w:r>
        <w:t>②</w:t>
      </w:r>
      <w:r>
        <w:rPr>
          <w:rFonts w:hint="eastAsia"/>
        </w:rPr>
        <w:t>教师培训覆盖率（满分5分，得分4.52分）</w:t>
      </w:r>
    </w:p>
    <w:p w14:paraId="1F27E075">
      <w:pPr>
        <w:ind w:firstLine="420" w:firstLineChars="200"/>
      </w:pPr>
      <w:r>
        <w:rPr>
          <w:rFonts w:hint="eastAsia"/>
        </w:rPr>
        <w:t>抽查2020年教师培训实施情况，2020年7—8月湄职校参加福建省海西继续教育的教师人数为226人，2020年12月份湄职校在职教师人数为250人，教师培训覆盖率=226/250*100%＝90.4%，得分＝5*90.4%＝4.52。根据评价标准，教师培训覆盖率得4.52分。</w:t>
      </w:r>
    </w:p>
    <w:p w14:paraId="1107D636">
      <w:pPr>
        <w:ind w:firstLine="420" w:firstLineChars="200"/>
      </w:pPr>
      <w:r>
        <w:t>③</w:t>
      </w:r>
      <w:r>
        <w:rPr>
          <w:rFonts w:hint="eastAsia"/>
        </w:rPr>
        <w:t>省级规范达标校数量（满分5分，得分5分）</w:t>
      </w:r>
    </w:p>
    <w:p w14:paraId="213F38FC">
      <w:pPr>
        <w:ind w:firstLine="420" w:firstLineChars="200"/>
      </w:pPr>
      <w:r>
        <w:rPr>
          <w:rFonts w:hint="eastAsia"/>
        </w:rPr>
        <w:t>根据《福建省教育厅关于公布第二批规范化中等职业学校名单的通知》（闽教职成[2019]10号）和《福建省教育厅福建省财政厅关于公布福建省示范性现代职业院校名单的通知》（闽教职成[2020]20号）文件，莆田市共有五所学校获得省级规范达标或省级示范性学校的荣誉称号。根据评价标准，省级规范达标校数量得5分。</w:t>
      </w:r>
    </w:p>
    <w:p w14:paraId="1185833C">
      <w:pPr>
        <w:ind w:firstLine="420" w:firstLineChars="200"/>
      </w:pPr>
      <w:r>
        <w:rPr>
          <w:rFonts w:hint="eastAsia"/>
        </w:rPr>
        <w:t>④省级示范公共实训基地数量（满分1分，得分0分）</w:t>
      </w:r>
    </w:p>
    <w:p w14:paraId="4CE82567">
      <w:pPr>
        <w:ind w:firstLine="420" w:firstLineChars="200"/>
      </w:pPr>
      <w:r>
        <w:rPr>
          <w:rFonts w:hint="eastAsia"/>
        </w:rPr>
        <w:t>湄职校提供《关于智能制造领域中外人文交流人才培养基地项目2020年入选院校的通知》（人文中心函[2020]9号）文件，但文件中并未明确该实训基地达到省级示范公共实训基地。根据评价标准，省级示范性公共实训基地数量得0分。</w:t>
      </w:r>
    </w:p>
    <w:p w14:paraId="1E6C39C3">
      <w:pPr>
        <w:ind w:firstLine="420" w:firstLineChars="200"/>
      </w:pPr>
      <w:r>
        <w:t>（</w:t>
      </w:r>
      <w:r>
        <w:rPr>
          <w:rFonts w:hint="eastAsia"/>
        </w:rPr>
        <w:t>4</w:t>
      </w:r>
      <w:r>
        <w:t>）产出</w:t>
      </w:r>
      <w:r>
        <w:rPr>
          <w:rFonts w:hint="eastAsia"/>
        </w:rPr>
        <w:t>效益（满分10分，得分10分）</w:t>
      </w:r>
    </w:p>
    <w:p w14:paraId="4C75AC40">
      <w:pPr>
        <w:ind w:firstLine="420" w:firstLineChars="200"/>
      </w:pPr>
      <w:r>
        <w:t>①</w:t>
      </w:r>
      <w:r>
        <w:rPr>
          <w:rFonts w:hint="eastAsia"/>
        </w:rPr>
        <w:t>就业技能和创业培训次数增长率（满分3分，得分3分）</w:t>
      </w:r>
    </w:p>
    <w:p w14:paraId="330FD91F">
      <w:pPr>
        <w:ind w:firstLine="420" w:firstLineChars="200"/>
      </w:pPr>
      <w:r>
        <w:rPr>
          <w:rFonts w:hint="eastAsia"/>
        </w:rPr>
        <w:t>根据《就业技能和创业培训次数明细表》，莆职校2018-2019年没有举行就业技能和创业培训，2020年举办了《我的好运，我做主》和《成长的智慧》就业技能和创业培训。根据评分标准，就业技能和创业培训次数增长率得3分。</w:t>
      </w:r>
    </w:p>
    <w:p w14:paraId="3F836D8A">
      <w:pPr>
        <w:ind w:firstLine="420" w:firstLineChars="200"/>
      </w:pPr>
      <w:r>
        <w:t>②</w:t>
      </w:r>
      <w:r>
        <w:rPr>
          <w:rFonts w:hint="eastAsia"/>
        </w:rPr>
        <w:t>学生获省级及以上奖项次数增长率（满分3分，得分3分）</w:t>
      </w:r>
    </w:p>
    <w:p w14:paraId="28367AB7">
      <w:pPr>
        <w:ind w:firstLine="420" w:firstLineChars="200"/>
      </w:pPr>
      <w:r>
        <w:rPr>
          <w:rFonts w:hint="eastAsia"/>
        </w:rPr>
        <w:t>学生获奖情况以2019-2020年度为评价对象，</w:t>
      </w:r>
      <w:r>
        <w:t>2019年</w:t>
      </w:r>
      <w:r>
        <w:rPr>
          <w:rFonts w:hint="eastAsia"/>
        </w:rPr>
        <w:t>学生获得省级及以上奖项人数50人次，包括</w:t>
      </w:r>
      <w:r>
        <w:t>湄职校</w:t>
      </w:r>
      <w:r>
        <w:rPr>
          <w:rFonts w:hint="eastAsia"/>
        </w:rPr>
        <w:t>37</w:t>
      </w:r>
      <w:r>
        <w:t>人次，莆职校13人次</w:t>
      </w:r>
      <w:r>
        <w:rPr>
          <w:rFonts w:hint="eastAsia"/>
        </w:rPr>
        <w:t>；</w:t>
      </w:r>
      <w:r>
        <w:t>2020年</w:t>
      </w:r>
      <w:r>
        <w:rPr>
          <w:rFonts w:hint="eastAsia"/>
        </w:rPr>
        <w:t>学生获得省级及以上奖项人数68人次，包括</w:t>
      </w:r>
      <w:r>
        <w:t>湄职校</w:t>
      </w:r>
      <w:r>
        <w:rPr>
          <w:rFonts w:hint="eastAsia"/>
        </w:rPr>
        <w:t>46</w:t>
      </w:r>
      <w:r>
        <w:t>人次，莆职校22人次。</w:t>
      </w:r>
      <w:r>
        <w:rPr>
          <w:rFonts w:hint="eastAsia"/>
        </w:rPr>
        <w:t>学生获省级及以上奖项次数增长率=（68-50）/50*100%=36%。根据评分标准，学生获省级及以上奖项次数增长率得3分。</w:t>
      </w:r>
    </w:p>
    <w:p w14:paraId="2579B9A0">
      <w:pPr>
        <w:ind w:firstLine="420" w:firstLineChars="200"/>
      </w:pPr>
      <w:r>
        <w:t>③</w:t>
      </w:r>
      <w:r>
        <w:rPr>
          <w:rFonts w:hint="eastAsia"/>
        </w:rPr>
        <w:t>校企合作企业增长率（满分4分，得分4分）</w:t>
      </w:r>
    </w:p>
    <w:p w14:paraId="1A2A3D9F">
      <w:pPr>
        <w:ind w:firstLine="420" w:firstLineChars="200"/>
      </w:pPr>
      <w:r>
        <w:rPr>
          <w:rFonts w:hint="eastAsia"/>
        </w:rPr>
        <w:t>根据《</w:t>
      </w:r>
      <w:r>
        <w:t>校企合作明细表</w:t>
      </w:r>
      <w:r>
        <w:rPr>
          <w:rFonts w:hint="eastAsia"/>
        </w:rPr>
        <w:t>》</w:t>
      </w:r>
      <w:r>
        <w:t>，2019年</w:t>
      </w:r>
      <w:r>
        <w:rPr>
          <w:rFonts w:hint="eastAsia"/>
        </w:rPr>
        <w:t>和2020年均有</w:t>
      </w:r>
      <w:r>
        <w:t>67所</w:t>
      </w:r>
      <w:r>
        <w:rPr>
          <w:rFonts w:hint="eastAsia"/>
        </w:rPr>
        <w:t>校企合作企业</w:t>
      </w:r>
      <w:r>
        <w:t>，</w:t>
      </w:r>
      <w:r>
        <w:rPr>
          <w:rFonts w:hint="eastAsia"/>
        </w:rPr>
        <w:t>其中莆职校25所，湄职校42所，</w:t>
      </w:r>
      <w:r>
        <w:t>2020年67所</w:t>
      </w:r>
      <w:r>
        <w:rPr>
          <w:rFonts w:hint="eastAsia"/>
        </w:rPr>
        <w:t>。校企合作企业增长率=（67-67）/67*100%=0。根据评分标准，校企合作企业增长率得4分。</w:t>
      </w:r>
    </w:p>
    <w:p w14:paraId="6B04A45C">
      <w:pPr>
        <w:ind w:firstLine="420" w:firstLineChars="200"/>
      </w:pPr>
      <w:r>
        <w:rPr>
          <w:rFonts w:hint="eastAsia"/>
        </w:rPr>
        <w:t>（5）</w:t>
      </w:r>
      <w:r>
        <w:t>可持续</w:t>
      </w:r>
      <w:r>
        <w:rPr>
          <w:rFonts w:hint="eastAsia"/>
        </w:rPr>
        <w:t>影响指标（满分6分，得分5.99分）</w:t>
      </w:r>
    </w:p>
    <w:p w14:paraId="73F8607A">
      <w:pPr>
        <w:ind w:firstLine="420" w:firstLineChars="200"/>
      </w:pPr>
      <w:r>
        <w:t>①</w:t>
      </w:r>
      <w:r>
        <w:rPr>
          <w:rFonts w:hint="eastAsia"/>
        </w:rPr>
        <w:t>中职学生新生注册增长率（满分3分，得分3分）</w:t>
      </w:r>
    </w:p>
    <w:p w14:paraId="1762DEF6">
      <w:pPr>
        <w:ind w:firstLine="420" w:firstLineChars="200"/>
      </w:pPr>
      <w:r>
        <w:rPr>
          <w:rFonts w:hint="eastAsia"/>
        </w:rPr>
        <w:t>2020年新生报到人数3171人，2019年新生报到人数2895人。（2020年3171人-2019年2895人）/2019年2895人*100%＝9.53%。根据评价标准，中职学生新生注册增长率得5分。</w:t>
      </w:r>
    </w:p>
    <w:p w14:paraId="4ADD4344">
      <w:pPr>
        <w:ind w:firstLine="420" w:firstLineChars="200"/>
      </w:pPr>
      <w:r>
        <w:rPr>
          <w:rFonts w:hint="eastAsia"/>
        </w:rPr>
        <w:t>表9  2019-2020年学生新生注册情况表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2286"/>
        <w:gridCol w:w="2286"/>
        <w:gridCol w:w="2286"/>
      </w:tblGrid>
      <w:tr w14:paraId="52A3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vAlign w:val="center"/>
          </w:tcPr>
          <w:p w14:paraId="7D9A48E5">
            <w:r>
              <w:rPr>
                <w:rFonts w:hint="eastAsia"/>
              </w:rPr>
              <w:t>学校</w:t>
            </w:r>
          </w:p>
        </w:tc>
        <w:tc>
          <w:tcPr>
            <w:tcW w:w="2286" w:type="dxa"/>
            <w:vAlign w:val="center"/>
          </w:tcPr>
          <w:p w14:paraId="32F30387">
            <w:r>
              <w:rPr>
                <w:rFonts w:hint="eastAsia"/>
              </w:rPr>
              <w:t>项目名称</w:t>
            </w:r>
          </w:p>
        </w:tc>
        <w:tc>
          <w:tcPr>
            <w:tcW w:w="2286" w:type="dxa"/>
            <w:vAlign w:val="center"/>
          </w:tcPr>
          <w:p w14:paraId="41130F7E">
            <w:r>
              <w:rPr>
                <w:rFonts w:hint="eastAsia"/>
              </w:rPr>
              <w:t>2019年</w:t>
            </w:r>
          </w:p>
        </w:tc>
        <w:tc>
          <w:tcPr>
            <w:tcW w:w="2286" w:type="dxa"/>
            <w:vAlign w:val="center"/>
          </w:tcPr>
          <w:p w14:paraId="5AEAADC5">
            <w:r>
              <w:rPr>
                <w:rFonts w:hint="eastAsia"/>
              </w:rPr>
              <w:t>2020年</w:t>
            </w:r>
          </w:p>
        </w:tc>
      </w:tr>
      <w:tr w14:paraId="18C0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14:paraId="05B6DF42">
            <w:r>
              <w:rPr>
                <w:rFonts w:hint="eastAsia"/>
              </w:rPr>
              <w:t>莆职校</w:t>
            </w:r>
          </w:p>
        </w:tc>
        <w:tc>
          <w:tcPr>
            <w:tcW w:w="2286" w:type="dxa"/>
            <w:vAlign w:val="center"/>
          </w:tcPr>
          <w:p w14:paraId="08165F3D">
            <w:r>
              <w:rPr>
                <w:rFonts w:hint="eastAsia"/>
              </w:rPr>
              <w:t>新生报到人数</w:t>
            </w:r>
          </w:p>
        </w:tc>
        <w:tc>
          <w:tcPr>
            <w:tcW w:w="2286" w:type="dxa"/>
          </w:tcPr>
          <w:p w14:paraId="1C4FBCCF">
            <w:r>
              <w:rPr>
                <w:rFonts w:hint="eastAsia"/>
              </w:rPr>
              <w:t>1069</w:t>
            </w:r>
          </w:p>
        </w:tc>
        <w:tc>
          <w:tcPr>
            <w:tcW w:w="2286" w:type="dxa"/>
          </w:tcPr>
          <w:p w14:paraId="645B81E3">
            <w:r>
              <w:rPr>
                <w:rFonts w:hint="eastAsia"/>
              </w:rPr>
              <w:t>1026</w:t>
            </w:r>
          </w:p>
        </w:tc>
      </w:tr>
      <w:tr w14:paraId="5975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14:paraId="3A0E5E11">
            <w:r>
              <w:rPr>
                <w:rFonts w:hint="eastAsia"/>
              </w:rPr>
              <w:t>湄职校</w:t>
            </w:r>
          </w:p>
        </w:tc>
        <w:tc>
          <w:tcPr>
            <w:tcW w:w="2286" w:type="dxa"/>
            <w:vAlign w:val="center"/>
          </w:tcPr>
          <w:p w14:paraId="4D5D4912">
            <w:r>
              <w:rPr>
                <w:rFonts w:hint="eastAsia"/>
              </w:rPr>
              <w:t>新生报到人数</w:t>
            </w:r>
          </w:p>
        </w:tc>
        <w:tc>
          <w:tcPr>
            <w:tcW w:w="2286" w:type="dxa"/>
          </w:tcPr>
          <w:p w14:paraId="5E5E8B13">
            <w:r>
              <w:rPr>
                <w:rFonts w:hint="eastAsia"/>
              </w:rPr>
              <w:t>1826</w:t>
            </w:r>
          </w:p>
        </w:tc>
        <w:tc>
          <w:tcPr>
            <w:tcW w:w="2286" w:type="dxa"/>
          </w:tcPr>
          <w:p w14:paraId="6D478E9E">
            <w:r>
              <w:rPr>
                <w:rFonts w:hint="eastAsia"/>
              </w:rPr>
              <w:t>2145</w:t>
            </w:r>
          </w:p>
        </w:tc>
      </w:tr>
      <w:tr w14:paraId="3F6E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14:paraId="1F212E4F">
            <w:r>
              <w:rPr>
                <w:rFonts w:hint="eastAsia"/>
              </w:rPr>
              <w:t>合计</w:t>
            </w:r>
          </w:p>
        </w:tc>
        <w:tc>
          <w:tcPr>
            <w:tcW w:w="2286" w:type="dxa"/>
          </w:tcPr>
          <w:p w14:paraId="7D44D2E6">
            <w:r>
              <w:rPr>
                <w:rFonts w:hint="eastAsia"/>
              </w:rPr>
              <w:t>——</w:t>
            </w:r>
          </w:p>
        </w:tc>
        <w:tc>
          <w:tcPr>
            <w:tcW w:w="2286" w:type="dxa"/>
          </w:tcPr>
          <w:p w14:paraId="3F259179">
            <w:r>
              <w:rPr>
                <w:rFonts w:hint="eastAsia"/>
              </w:rPr>
              <w:t>2895</w:t>
            </w:r>
          </w:p>
        </w:tc>
        <w:tc>
          <w:tcPr>
            <w:tcW w:w="2286" w:type="dxa"/>
          </w:tcPr>
          <w:p w14:paraId="58B3D1C2">
            <w:r>
              <w:rPr>
                <w:rFonts w:hint="eastAsia"/>
              </w:rPr>
              <w:t>3171</w:t>
            </w:r>
          </w:p>
        </w:tc>
      </w:tr>
    </w:tbl>
    <w:p w14:paraId="4C658643">
      <w:pPr>
        <w:ind w:firstLine="420" w:firstLineChars="200"/>
      </w:pPr>
      <w:r>
        <w:t>②</w:t>
      </w:r>
      <w:r>
        <w:rPr>
          <w:rFonts w:hint="eastAsia"/>
        </w:rPr>
        <w:t>中职毕业学生就业增长率（满分3分，得分2.99分）</w:t>
      </w:r>
    </w:p>
    <w:p w14:paraId="236DE74F">
      <w:pPr>
        <w:ind w:firstLine="420" w:firstLineChars="200"/>
      </w:pPr>
      <w:r>
        <w:rPr>
          <w:rFonts w:hint="eastAsia"/>
        </w:rPr>
        <w:t>2019年就业率＝1641/1647*100%＝99.64%，2020年就业率＝1308/1315＝99.47%，就业增长率＝99.47%-99.64%＝-0.17%。得分＝3+（3*-0.17%）＝2.99。根据评价标准，中职毕业学生就业增长率得2.99分。</w:t>
      </w:r>
    </w:p>
    <w:p w14:paraId="6A3A6902">
      <w:pPr>
        <w:ind w:firstLine="420" w:firstLineChars="200"/>
      </w:pPr>
      <w:r>
        <w:rPr>
          <w:rFonts w:hint="eastAsia"/>
        </w:rPr>
        <w:t>表10  2019-2020年毕业生就业情况表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2457"/>
        <w:gridCol w:w="2115"/>
        <w:gridCol w:w="2286"/>
      </w:tblGrid>
      <w:tr w14:paraId="613C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vAlign w:val="center"/>
          </w:tcPr>
          <w:p w14:paraId="0D7F13A3">
            <w:r>
              <w:rPr>
                <w:rFonts w:hint="eastAsia"/>
              </w:rPr>
              <w:t>学校</w:t>
            </w:r>
          </w:p>
        </w:tc>
        <w:tc>
          <w:tcPr>
            <w:tcW w:w="2457" w:type="dxa"/>
            <w:vAlign w:val="center"/>
          </w:tcPr>
          <w:p w14:paraId="705AC329">
            <w:r>
              <w:rPr>
                <w:rFonts w:hint="eastAsia"/>
              </w:rPr>
              <w:t>项目名称</w:t>
            </w:r>
          </w:p>
        </w:tc>
        <w:tc>
          <w:tcPr>
            <w:tcW w:w="2115" w:type="dxa"/>
            <w:vAlign w:val="center"/>
          </w:tcPr>
          <w:p w14:paraId="23E44D63">
            <w:r>
              <w:rPr>
                <w:rFonts w:hint="eastAsia"/>
              </w:rPr>
              <w:t>2019年</w:t>
            </w:r>
          </w:p>
        </w:tc>
        <w:tc>
          <w:tcPr>
            <w:tcW w:w="2286" w:type="dxa"/>
            <w:vAlign w:val="center"/>
          </w:tcPr>
          <w:p w14:paraId="6D702B3C">
            <w:r>
              <w:rPr>
                <w:rFonts w:hint="eastAsia"/>
              </w:rPr>
              <w:t>2020年</w:t>
            </w:r>
          </w:p>
        </w:tc>
      </w:tr>
      <w:tr w14:paraId="7EB1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14:paraId="1BC76090">
            <w:r>
              <w:rPr>
                <w:rFonts w:hint="eastAsia"/>
              </w:rPr>
              <w:t>莆职校</w:t>
            </w:r>
          </w:p>
        </w:tc>
        <w:tc>
          <w:tcPr>
            <w:tcW w:w="2457" w:type="dxa"/>
          </w:tcPr>
          <w:p w14:paraId="0D0EADAA">
            <w:r>
              <w:rPr>
                <w:rFonts w:hint="eastAsia"/>
              </w:rPr>
              <w:t>应届毕业生就业人数</w:t>
            </w:r>
          </w:p>
        </w:tc>
        <w:tc>
          <w:tcPr>
            <w:tcW w:w="2115" w:type="dxa"/>
          </w:tcPr>
          <w:p w14:paraId="03262A18">
            <w:r>
              <w:rPr>
                <w:rFonts w:hint="eastAsia"/>
              </w:rPr>
              <w:t>627</w:t>
            </w:r>
          </w:p>
        </w:tc>
        <w:tc>
          <w:tcPr>
            <w:tcW w:w="2286" w:type="dxa"/>
          </w:tcPr>
          <w:p w14:paraId="6134C518">
            <w:r>
              <w:rPr>
                <w:rFonts w:hint="eastAsia"/>
              </w:rPr>
              <w:t>570</w:t>
            </w:r>
          </w:p>
        </w:tc>
      </w:tr>
      <w:tr w14:paraId="5EE1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14:paraId="76C88C45">
            <w:r>
              <w:rPr>
                <w:rFonts w:hint="eastAsia"/>
              </w:rPr>
              <w:t>湄职校</w:t>
            </w:r>
          </w:p>
        </w:tc>
        <w:tc>
          <w:tcPr>
            <w:tcW w:w="2457" w:type="dxa"/>
          </w:tcPr>
          <w:p w14:paraId="58B282A3">
            <w:r>
              <w:rPr>
                <w:rFonts w:hint="eastAsia"/>
              </w:rPr>
              <w:t>应届毕业生就业人数</w:t>
            </w:r>
          </w:p>
        </w:tc>
        <w:tc>
          <w:tcPr>
            <w:tcW w:w="2115" w:type="dxa"/>
          </w:tcPr>
          <w:p w14:paraId="586D27E0">
            <w:r>
              <w:rPr>
                <w:rFonts w:hint="eastAsia"/>
              </w:rPr>
              <w:t>1014</w:t>
            </w:r>
          </w:p>
        </w:tc>
        <w:tc>
          <w:tcPr>
            <w:tcW w:w="2286" w:type="dxa"/>
          </w:tcPr>
          <w:p w14:paraId="75BE7C82">
            <w:r>
              <w:rPr>
                <w:rFonts w:hint="eastAsia"/>
              </w:rPr>
              <w:t>738</w:t>
            </w:r>
          </w:p>
        </w:tc>
      </w:tr>
      <w:tr w14:paraId="04AC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14:paraId="794E4396">
            <w:r>
              <w:rPr>
                <w:rFonts w:hint="eastAsia"/>
              </w:rPr>
              <w:t>合计</w:t>
            </w:r>
          </w:p>
        </w:tc>
        <w:tc>
          <w:tcPr>
            <w:tcW w:w="2457" w:type="dxa"/>
          </w:tcPr>
          <w:p w14:paraId="42CD1AA2">
            <w:r>
              <w:rPr>
                <w:rFonts w:hint="eastAsia"/>
              </w:rPr>
              <w:t>——</w:t>
            </w:r>
          </w:p>
        </w:tc>
        <w:tc>
          <w:tcPr>
            <w:tcW w:w="2115" w:type="dxa"/>
          </w:tcPr>
          <w:p w14:paraId="087FB898">
            <w:r>
              <w:rPr>
                <w:rFonts w:hint="eastAsia"/>
              </w:rPr>
              <w:t>1641</w:t>
            </w:r>
          </w:p>
        </w:tc>
        <w:tc>
          <w:tcPr>
            <w:tcW w:w="2286" w:type="dxa"/>
          </w:tcPr>
          <w:p w14:paraId="6A79C5E4">
            <w:r>
              <w:rPr>
                <w:rFonts w:hint="eastAsia"/>
              </w:rPr>
              <w:t>1308</w:t>
            </w:r>
          </w:p>
        </w:tc>
      </w:tr>
      <w:tr w14:paraId="2D7F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14:paraId="6CED138B">
            <w:r>
              <w:rPr>
                <w:rFonts w:hint="eastAsia"/>
              </w:rPr>
              <w:t>莆职校</w:t>
            </w:r>
          </w:p>
        </w:tc>
        <w:tc>
          <w:tcPr>
            <w:tcW w:w="2457" w:type="dxa"/>
          </w:tcPr>
          <w:p w14:paraId="63AE78A1">
            <w:r>
              <w:rPr>
                <w:rFonts w:hint="eastAsia"/>
              </w:rPr>
              <w:t>应届毕业生人数</w:t>
            </w:r>
          </w:p>
        </w:tc>
        <w:tc>
          <w:tcPr>
            <w:tcW w:w="2115" w:type="dxa"/>
          </w:tcPr>
          <w:p w14:paraId="464C3D63">
            <w:r>
              <w:rPr>
                <w:rFonts w:hint="eastAsia"/>
              </w:rPr>
              <w:t>633</w:t>
            </w:r>
          </w:p>
        </w:tc>
        <w:tc>
          <w:tcPr>
            <w:tcW w:w="2286" w:type="dxa"/>
          </w:tcPr>
          <w:p w14:paraId="19D0E66C">
            <w:r>
              <w:rPr>
                <w:rFonts w:hint="eastAsia"/>
              </w:rPr>
              <w:t>575</w:t>
            </w:r>
          </w:p>
        </w:tc>
      </w:tr>
      <w:tr w14:paraId="6C0B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14:paraId="0AFEE4F8">
            <w:r>
              <w:rPr>
                <w:rFonts w:hint="eastAsia"/>
              </w:rPr>
              <w:t>湄职校</w:t>
            </w:r>
          </w:p>
        </w:tc>
        <w:tc>
          <w:tcPr>
            <w:tcW w:w="2457" w:type="dxa"/>
          </w:tcPr>
          <w:p w14:paraId="45172FBF">
            <w:r>
              <w:rPr>
                <w:rFonts w:hint="eastAsia"/>
              </w:rPr>
              <w:t>应届毕业生人数</w:t>
            </w:r>
          </w:p>
        </w:tc>
        <w:tc>
          <w:tcPr>
            <w:tcW w:w="2115" w:type="dxa"/>
          </w:tcPr>
          <w:p w14:paraId="754D2594">
            <w:r>
              <w:rPr>
                <w:rFonts w:hint="eastAsia"/>
              </w:rPr>
              <w:t>1014</w:t>
            </w:r>
          </w:p>
        </w:tc>
        <w:tc>
          <w:tcPr>
            <w:tcW w:w="2286" w:type="dxa"/>
          </w:tcPr>
          <w:p w14:paraId="71869D37">
            <w:r>
              <w:rPr>
                <w:rFonts w:hint="eastAsia"/>
              </w:rPr>
              <w:t>740</w:t>
            </w:r>
          </w:p>
        </w:tc>
      </w:tr>
      <w:tr w14:paraId="771D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14:paraId="078F338E">
            <w:r>
              <w:rPr>
                <w:rFonts w:hint="eastAsia"/>
              </w:rPr>
              <w:t>合计</w:t>
            </w:r>
          </w:p>
        </w:tc>
        <w:tc>
          <w:tcPr>
            <w:tcW w:w="2457" w:type="dxa"/>
          </w:tcPr>
          <w:p w14:paraId="0CB0CD9C">
            <w:r>
              <w:rPr>
                <w:rFonts w:hint="eastAsia"/>
              </w:rPr>
              <w:t>——</w:t>
            </w:r>
          </w:p>
        </w:tc>
        <w:tc>
          <w:tcPr>
            <w:tcW w:w="2115" w:type="dxa"/>
          </w:tcPr>
          <w:p w14:paraId="35D93672">
            <w:r>
              <w:rPr>
                <w:rFonts w:hint="eastAsia"/>
              </w:rPr>
              <w:t>1647</w:t>
            </w:r>
          </w:p>
        </w:tc>
        <w:tc>
          <w:tcPr>
            <w:tcW w:w="2286" w:type="dxa"/>
          </w:tcPr>
          <w:p w14:paraId="6E085E25">
            <w:r>
              <w:rPr>
                <w:rFonts w:hint="eastAsia"/>
              </w:rPr>
              <w:t>1315</w:t>
            </w:r>
          </w:p>
        </w:tc>
      </w:tr>
    </w:tbl>
    <w:p w14:paraId="3482114E">
      <w:pPr>
        <w:ind w:firstLine="420" w:firstLineChars="200"/>
      </w:pPr>
      <w:r>
        <w:t>（</w:t>
      </w:r>
      <w:r>
        <w:rPr>
          <w:rFonts w:hint="eastAsia"/>
        </w:rPr>
        <w:t>6</w:t>
      </w:r>
      <w:r>
        <w:t>）</w:t>
      </w:r>
      <w:r>
        <w:rPr>
          <w:rFonts w:hint="eastAsia"/>
        </w:rPr>
        <w:t>学生满意度（满分3分，得分2.5分）</w:t>
      </w:r>
    </w:p>
    <w:p w14:paraId="65A488B3">
      <w:pPr>
        <w:ind w:firstLine="420" w:firstLineChars="200"/>
      </w:pPr>
      <w:r>
        <w:rPr>
          <w:rFonts w:hint="eastAsia"/>
        </w:rPr>
        <w:t>绩效评价组通过问卷星小程序向莆田市中职学校的学生进行问卷调查，回收有效问卷1760份。学生对所在学校的校园环境满意度、学校的学生管理工作、学校硬件设施如实训设备能否满足专业教学、校内实习基地的设施和环境满意度、学校能够提供实习机会、学校课程设置能否帮助同学顺利通过职业技术等级考试、专业老师的教学水平、师生关系、校园的治安情况、学校是否出现校园暴力等情况进行了调研。被调查者满意度为85.07%。根据评价标准，学生满意度扣0.5分，得2.5分。</w:t>
      </w:r>
    </w:p>
    <w:p w14:paraId="29BCB8FD">
      <w:pPr>
        <w:ind w:firstLine="420" w:firstLineChars="200"/>
      </w:pPr>
      <w:bookmarkStart w:id="602" w:name="_Toc17360"/>
      <w:r>
        <w:rPr>
          <w:rFonts w:hint="eastAsia"/>
        </w:rPr>
        <w:t>（二）绩效评价结论</w:t>
      </w:r>
      <w:bookmarkEnd w:id="602"/>
    </w:p>
    <w:p w14:paraId="0E94566F">
      <w:pPr>
        <w:ind w:firstLine="420" w:firstLineChars="200"/>
      </w:pPr>
      <w:r>
        <w:rPr>
          <w:rFonts w:hint="eastAsia"/>
        </w:rPr>
        <w:t>参考《财政部项目支出绩效评价管理办法》（财预[2020]10号），绩效评价组通过审查莆田市教育局的相关资料、实地调研及访谈相关人员等评价程序，认为2020年职业教育专项补助资金项目，资金在已使用的资金范围内项目效益较好，政策导向正确，资金使用较为规范，绩效评价得分为92.21分，绩效评价等级为“优秀”。</w:t>
      </w:r>
    </w:p>
    <w:p w14:paraId="36FE7CAA">
      <w:pPr>
        <w:ind w:firstLine="420" w:firstLineChars="200"/>
        <w:outlineLvl w:val="0"/>
      </w:pPr>
      <w:bookmarkStart w:id="603" w:name="_Toc5500"/>
      <w:bookmarkStart w:id="604" w:name="_Toc10052"/>
      <w:r>
        <w:rPr>
          <w:rFonts w:hint="eastAsia"/>
        </w:rPr>
        <w:t>六、主要经验及做法、存在的问题和建议</w:t>
      </w:r>
      <w:bookmarkEnd w:id="603"/>
      <w:bookmarkEnd w:id="604"/>
    </w:p>
    <w:p w14:paraId="265421DE">
      <w:pPr>
        <w:ind w:firstLine="420" w:firstLineChars="200"/>
      </w:pPr>
      <w:bookmarkStart w:id="605" w:name="_Toc3723"/>
      <w:r>
        <w:rPr>
          <w:rFonts w:hint="eastAsia"/>
        </w:rPr>
        <w:t>（一）主要经验及做法</w:t>
      </w:r>
      <w:bookmarkEnd w:id="605"/>
    </w:p>
    <w:p w14:paraId="2960BFED">
      <w:pPr>
        <w:ind w:firstLine="420" w:firstLineChars="200"/>
      </w:pPr>
      <w:r>
        <w:rPr>
          <w:rFonts w:hint="eastAsia"/>
        </w:rPr>
        <w:t>1.财政资金逐年增长，保障职业教育教学效果提升</w:t>
      </w:r>
    </w:p>
    <w:p w14:paraId="5C88F6F6">
      <w:pPr>
        <w:ind w:firstLine="420" w:firstLineChars="200"/>
      </w:pPr>
      <w:r>
        <w:rPr>
          <w:rFonts w:hint="eastAsia"/>
        </w:rPr>
        <w:t>莆田市财政局从2016年起市级财政每年安排500万元职业教育专项经费，用于支持规范化和示范性中等职业学校建设、实训基地建设、专业建设、信息化建设、课程改革、启动学生拔尖人才培养计划、名师工作室建设等。其中：2018年预算安排520万元，2019年预算安排530万元，2020年预算安排540万元，资金拨款逐年增长，保证职业教育实训设备专项投入，保障专业课程计划设置及课程结构调整，提升信息化教学手段、教学效果及教学水平。</w:t>
      </w:r>
    </w:p>
    <w:p w14:paraId="3D279292">
      <w:pPr>
        <w:ind w:firstLine="420" w:firstLineChars="200"/>
      </w:pPr>
      <w:r>
        <w:rPr>
          <w:rFonts w:hint="eastAsia"/>
        </w:rPr>
        <w:t>2.加强师资队伍建设，推动全市职业院校教师队伍素质整体提升</w:t>
      </w:r>
    </w:p>
    <w:p w14:paraId="3D11FEC4">
      <w:pPr>
        <w:ind w:firstLine="420" w:firstLineChars="200"/>
      </w:pPr>
      <w:r>
        <w:rPr>
          <w:rFonts w:hint="eastAsia"/>
        </w:rPr>
        <w:t>全市共组织621名中等职业学校教师参加教学能力、技术技能培训，使其在专业教学、专业实践、顶岗实习指导以及信息技术应用等方面的业务能力得到明显提升。</w:t>
      </w:r>
    </w:p>
    <w:p w14:paraId="5DF9D7DD">
      <w:pPr>
        <w:ind w:firstLine="420" w:firstLineChars="200"/>
      </w:pPr>
      <w:r>
        <w:rPr>
          <w:rFonts w:hint="eastAsia"/>
        </w:rPr>
        <w:t>3.加强人才培养工作提高了学生综合素质及就业创业能力</w:t>
      </w:r>
    </w:p>
    <w:p w14:paraId="70A569B5">
      <w:pPr>
        <w:ind w:firstLine="420" w:firstLineChars="200"/>
      </w:pPr>
      <w:r>
        <w:rPr>
          <w:rFonts w:hint="eastAsia"/>
        </w:rPr>
        <w:t>组织全市中等职业学校开展技能竞赛，不仅能充分展示教师的专业教学与实践指导能力，体现学生专业技术技能水平，而且能有力提高学生的就业水平，增加职校教育吸引力。通过组织开展技能竞赛，进一步督促全市各中等职业学校加强专业体系建设，注重专业实践教学，培养学生职业精神，办出学校的特色。</w:t>
      </w:r>
    </w:p>
    <w:p w14:paraId="3F1F3584">
      <w:pPr>
        <w:ind w:firstLine="420" w:firstLineChars="200"/>
      </w:pPr>
      <w:bookmarkStart w:id="606" w:name="_Toc22592"/>
      <w:r>
        <w:rPr>
          <w:rFonts w:hint="eastAsia"/>
        </w:rPr>
        <w:t>（二）存在问题</w:t>
      </w:r>
      <w:bookmarkEnd w:id="606"/>
    </w:p>
    <w:p w14:paraId="6575BE9B">
      <w:pPr>
        <w:ind w:firstLine="420" w:firstLineChars="200"/>
      </w:pPr>
      <w:r>
        <w:rPr>
          <w:rFonts w:hint="eastAsia"/>
        </w:rPr>
        <w:t>近年来，我市职业教育发展态势较好，但与职业教育先进地区存在着较大差距。其主要表现有：</w:t>
      </w:r>
    </w:p>
    <w:p w14:paraId="7920F344">
      <w:pPr>
        <w:ind w:firstLine="420" w:firstLineChars="200"/>
      </w:pPr>
      <w:r>
        <w:rPr>
          <w:rFonts w:hint="eastAsia"/>
        </w:rPr>
        <w:t>1.职业教育的作用和地位有待进一步提高</w:t>
      </w:r>
    </w:p>
    <w:p w14:paraId="76E937E5">
      <w:pPr>
        <w:ind w:firstLine="420" w:firstLineChars="200"/>
      </w:pPr>
      <w:r>
        <w:t>受传统观念和就业导向的影响，技能型人才的社会地位普遍不高，没有得到应有的尊重，导致职业教育吸引力不强。在普高扩招的新形势下，将可能进一步强化家长对普高的选择，职业学校的生源数量和质量将会下降，办人民满意的职业教育存在一定难度。</w:t>
      </w:r>
    </w:p>
    <w:p w14:paraId="1D5574E8">
      <w:pPr>
        <w:ind w:firstLine="420" w:firstLineChars="200"/>
        <w:rPr>
          <w:lang w:val="zh-CN"/>
        </w:rPr>
      </w:pPr>
      <w:r>
        <w:rPr>
          <w:rFonts w:hint="eastAsia"/>
        </w:rPr>
        <w:t>2</w:t>
      </w:r>
      <w:r>
        <w:rPr>
          <w:rFonts w:hint="eastAsia"/>
          <w:lang w:val="zh-CN"/>
        </w:rPr>
        <w:t>.</w:t>
      </w:r>
      <w:r>
        <w:rPr>
          <w:rFonts w:hint="eastAsia"/>
        </w:rPr>
        <w:t>产教融合、校企合作不够深入</w:t>
      </w:r>
    </w:p>
    <w:p w14:paraId="4EA0A0AF">
      <w:pPr>
        <w:ind w:firstLine="420" w:firstLineChars="200"/>
      </w:pPr>
      <w:r>
        <w:rPr>
          <w:rFonts w:hint="eastAsia"/>
        </w:rPr>
        <w:t>建立紧密、双赢、融通的校企合作办学模式和工学结合的人才培养模式是中职教育健康、和谐发展的必然要求。学校与企业的合作还不够深入，校企合作的效果不够理想，校热企冷，没有形成互利互惠，共同发展的和谐局面。</w:t>
      </w:r>
      <w:r>
        <w:rPr>
          <w:rFonts w:hint="eastAsia"/>
          <w:lang w:val="zh-CN"/>
        </w:rPr>
        <w:t>行业企业参与度不高，校企合作存在“一头热、一头冷”的现象</w:t>
      </w:r>
      <w:r>
        <w:rPr>
          <w:rFonts w:hint="eastAsia"/>
        </w:rPr>
        <w:t>，大多处于浅层次、自发式、松散型、低水平状态。</w:t>
      </w:r>
    </w:p>
    <w:p w14:paraId="08309507">
      <w:pPr>
        <w:ind w:firstLine="420" w:firstLineChars="200"/>
      </w:pPr>
      <w:r>
        <w:rPr>
          <w:rFonts w:hint="eastAsia"/>
        </w:rPr>
        <w:t>3.教师队伍质量有待提升</w:t>
      </w:r>
    </w:p>
    <w:p w14:paraId="3D7D5A34">
      <w:pPr>
        <w:ind w:firstLine="420" w:firstLineChars="200"/>
      </w:pPr>
      <w:r>
        <w:t>教师队伍建设是职业教育发展中的重要任务。 培养一支高素质的“双师型”教师队伍是进一步推进职业教育现代化的基础性工作，是培养更多社会发展急需技能人才、能工巧匠和大国工匠的核心要素，也是支撑国家职业教育改革的关键力量。2019年，《深化新时代职业教育“双师型”教师队伍建设改革实施方案》出台，明确规定到 2022 年，在职业院校教师的分布中，“双师型”教师占专业课教师的比例要超过50%。</w:t>
      </w:r>
      <w:r>
        <w:rPr>
          <w:rFonts w:hint="eastAsia"/>
        </w:rPr>
        <w:t>但是莆田市中职学校教师队伍距离国家的要求，还相距甚远。</w:t>
      </w:r>
    </w:p>
    <w:p w14:paraId="721D553F">
      <w:pPr>
        <w:ind w:firstLine="420" w:firstLineChars="200"/>
      </w:pPr>
      <w:r>
        <w:rPr>
          <w:rFonts w:hint="eastAsia"/>
        </w:rPr>
        <w:t>4.</w:t>
      </w:r>
      <w:r>
        <w:t>专业与产业对接不紧密</w:t>
      </w:r>
    </w:p>
    <w:p w14:paraId="6F9C8ACC">
      <w:pPr>
        <w:ind w:firstLine="420" w:firstLineChars="200"/>
      </w:pPr>
      <w:r>
        <w:rPr>
          <w:rFonts w:hint="eastAsia"/>
        </w:rPr>
        <w:t>职业教育源于产业发展需求，又作用于产业递进。职业教育专业结构必须从区域产业结构的调整出发，考虑和研究区域范围内的专业结构布局问题，使职业教育专业结构与区域产业结构相适应，以促进区域经济的发展。但是莆田市中职学校专业设置与产业发展之间存在一定的脱节现象,全市文科专业布点过多，不少学校热衷于开设会计、学前教育、电子商务等热门招生的专业，而现代制造业、战略性新兴产业、家政、养老等社会民生急需专业开设严重不足，人才供需结构性矛盾凸显，人才培养不能完全适应经济社会发展需要。</w:t>
      </w:r>
    </w:p>
    <w:p w14:paraId="565F0F73">
      <w:pPr>
        <w:ind w:firstLine="420" w:firstLineChars="200"/>
      </w:pPr>
      <w:r>
        <w:rPr>
          <w:rFonts w:hint="eastAsia"/>
        </w:rPr>
        <w:t>5.莆职校存在的问题</w:t>
      </w:r>
    </w:p>
    <w:p w14:paraId="4DDCAA8C">
      <w:pPr>
        <w:ind w:firstLine="420" w:firstLineChars="200"/>
      </w:pPr>
      <w:r>
        <w:rPr>
          <w:rFonts w:hint="eastAsia"/>
        </w:rPr>
        <w:t>（1）实际支出内容与绩效目标设定内容不一致。下达给莆职校年初预算中的320万元，用于该校的省级示范校建设及PPP项目补助款。该笔资金年初绩效申报表设定的数量目标是莆田职校新校区建设面积，而实际支出内容是用于新校区的设备购置费用。（2）资金支付进度较缓慢。2020年年底，因财政国库集中支付未及时出帐，导致该笔经费中的294.8086万元未及时出帐。但该校未在2021年年初时及时进行支付，延期至2021年6月份才完成全部支付。（2021年1月份支出82.62万元，2021年2月份支出93.24万元，2021年3月份支出2.13万元，2021年4月份支出41.40万元，2021年6月份支出75.42万元。）（3）存在账务处理不严谨现象。大部分设备采购的验收报告单上未注明验收合格时间，个别采购合同也未签署日期。2021年1—6月份的凭证尚未装订成册。</w:t>
      </w:r>
    </w:p>
    <w:p w14:paraId="18EC414D">
      <w:pPr>
        <w:ind w:firstLine="420" w:firstLineChars="200"/>
      </w:pPr>
      <w:bookmarkStart w:id="607" w:name="_Toc7990"/>
      <w:r>
        <w:rPr>
          <w:rFonts w:hint="eastAsia"/>
        </w:rPr>
        <w:t>（三）相关建议</w:t>
      </w:r>
      <w:bookmarkEnd w:id="607"/>
    </w:p>
    <w:p w14:paraId="01D1588E">
      <w:pPr>
        <w:ind w:firstLine="420" w:firstLineChars="200"/>
      </w:pPr>
      <w:r>
        <w:rPr>
          <w:rFonts w:hint="eastAsia"/>
        </w:rPr>
        <w:t>积极服务国家和省的重大战略，把职业教育摆在教育改革创新、经济社会发展和人民生活水平提高中更加突出的位置，坚持教育定位，以深化产教融合为主线，以创新体制机制为突破口，以促进高质量就业创业和适应产业发展需求为导向，不断完善职业教育和培训体系，深化办学体制和育人机制改革，基本形成全市职业教育产教融合发展生态，不断健全符合职业教育发展规律的体制机制，大幅提升职业教育现代化水平，为莆田市建设提供高素质技术技能人才支撑。</w:t>
      </w:r>
    </w:p>
    <w:p w14:paraId="53E5853A">
      <w:pPr>
        <w:ind w:firstLine="420" w:firstLineChars="200"/>
      </w:pPr>
      <w:r>
        <w:rPr>
          <w:rFonts w:hint="eastAsia"/>
        </w:rPr>
        <w:t>1.加快职业教育与信息化建设融合发展</w:t>
      </w:r>
    </w:p>
    <w:p w14:paraId="68AE213E">
      <w:pPr>
        <w:ind w:firstLine="420" w:firstLineChars="200"/>
      </w:pPr>
      <w:r>
        <w:t>坚持以应用为驱动，推进信息技术与教育教学的深度融合。创新应用新一代信息技术，建设覆盖学校日常运行各个环节的智能终端，建立智能化管理平台，强化关键事务的全过程、精细化、智能化管理。加快全市中职学校智慧校园建设，对接企业生产服务智能化流程，改革教学内容和方法，建设智慧课堂、智慧车间、智慧图书馆。适应学生智能化学习需求，推行各类在线学习，提升教师信息化教学水平，构建线上线下协同教育新体系。</w:t>
      </w:r>
    </w:p>
    <w:p w14:paraId="18DE970B">
      <w:pPr>
        <w:ind w:firstLine="420" w:firstLineChars="200"/>
      </w:pPr>
      <w:r>
        <w:rPr>
          <w:rFonts w:hint="eastAsia"/>
        </w:rPr>
        <w:t>2.</w:t>
      </w:r>
      <w:r>
        <w:t>促进产教融合校企协同育人</w:t>
      </w:r>
    </w:p>
    <w:p w14:paraId="743DC79E">
      <w:pPr>
        <w:ind w:firstLine="420" w:firstLineChars="200"/>
      </w:pPr>
      <w:r>
        <w:t>全面推行“校企联合招生、共同育人”的现代学徒制、“招工即招生、入企即入校”的企业新型学徒制，扩大企业“订单式”培养规模。推动校企共同研究制定人才培养方案、合作开发教学资源，及时将新技术、新工艺、新规范纳入教学内容。打造高水平产教融合实训基地。健全需求导向的人才培养结构动态调整机制，指导职业院校做好新一轮专业建设规划，建立紧密对接产业链的专业群。支持政府主导，建设面向城乡各类劳动者以及职业院校、职业培训机构、企业的区域职业技能公共实训基地。支持职业院校主导，校企共建生产性实训基地或兼具生产、教学功能的专业化实训基地。</w:t>
      </w:r>
    </w:p>
    <w:p w14:paraId="347135B2">
      <w:pPr>
        <w:ind w:firstLine="420" w:firstLineChars="200"/>
      </w:pPr>
      <w:r>
        <w:rPr>
          <w:rFonts w:hint="eastAsia"/>
        </w:rPr>
        <w:t>3.</w:t>
      </w:r>
      <w:r>
        <w:t>加强</w:t>
      </w:r>
      <w:r>
        <w:rPr>
          <w:rFonts w:hint="eastAsia"/>
        </w:rPr>
        <w:t>“</w:t>
      </w:r>
      <w:r>
        <w:t>双师型</w:t>
      </w:r>
      <w:r>
        <w:rPr>
          <w:rFonts w:hint="eastAsia"/>
        </w:rPr>
        <w:t>”</w:t>
      </w:r>
      <w:r>
        <w:t>教师队伍建设</w:t>
      </w:r>
    </w:p>
    <w:p w14:paraId="1031F322">
      <w:pPr>
        <w:ind w:firstLine="420" w:firstLineChars="200"/>
      </w:pPr>
      <w:r>
        <w:rPr>
          <w:rFonts w:hint="eastAsia"/>
        </w:rPr>
        <w:t>建议职业院校</w:t>
      </w:r>
      <w:r>
        <w:t>组建师资发展顾问委员会，在师资发展顾问委员会指导下，根据高职教师职业发展需要和教学需求开发培训课程，开展“双师型”教师培训，并丰富“双师型”教师培训内容，创新“双师型”教师方式。要依托校企合作，与企业开展定向培养项目，实现学校和企业人力资源的优势互补，同时引入产业孵化基地，为教师去企业学习专业技术、积累管理经验、开展实践调研拓宽通道。</w:t>
      </w:r>
      <w:r>
        <w:rPr>
          <w:rFonts w:hint="eastAsia"/>
        </w:rPr>
        <w:t>加大职业教育专业带头人和名师名校长培养力度，定期组织选派专业骨干教师赴国内外研修访学，探索建设一批职业教育教师教学创新团队。</w:t>
      </w:r>
    </w:p>
    <w:p w14:paraId="45A5EB82">
      <w:pPr>
        <w:ind w:firstLine="420" w:firstLineChars="200"/>
      </w:pPr>
      <w:r>
        <w:rPr>
          <w:rFonts w:hint="eastAsia"/>
        </w:rPr>
        <w:t>4.实现职业教育与地方经济结构的有机对接</w:t>
      </w:r>
    </w:p>
    <w:p w14:paraId="38344293">
      <w:pPr>
        <w:ind w:firstLine="420" w:firstLineChars="200"/>
      </w:pPr>
      <w:r>
        <w:rPr>
          <w:rFonts w:hint="eastAsia"/>
        </w:rPr>
        <w:t>建议莆田市政府借鉴先进国家职业教育专业设置与市场紧密对接的有效经验，进一步下放职业教育的专业设置权和调整权。促使职业教育形成自我发展、自我约束、自我创新的专业发展新模式。引导职业学校结合本校的现实条件和发展目标。根据本地经济结构调整的现实需要和未来的发展趋势，对现有的专业结构进行深层次的改造和整合，加强品牌专业、特色专业建设，加大对传统专业改造力度，以不断适应莆田地区产业发展和科学技术迅猛发展的客观需求，增强职业教育培养人才的竞争力，从而实现职业教育专业结构与地方经济结构的有机对接。</w:t>
      </w:r>
    </w:p>
    <w:p w14:paraId="4F2ECC87">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05C099F1">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7059E9BE">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72F2686F">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7DA8BE6">
      <w:pPr>
        <w:spacing w:line="300" w:lineRule="auto"/>
        <w:ind w:right="21" w:rightChars="10"/>
        <w:jc w:val="center"/>
        <w:rPr>
          <w:rFonts w:ascii="方正小标宋简体" w:hAnsi="方正小标宋简体" w:eastAsia="方正小标宋简体" w:cs="方正小标宋简体"/>
          <w:b/>
          <w:bCs/>
          <w:sz w:val="36"/>
          <w:szCs w:val="36"/>
        </w:rPr>
      </w:pPr>
    </w:p>
    <w:p w14:paraId="3A9C5B82">
      <w:pPr>
        <w:pStyle w:val="2"/>
        <w:jc w:val="center"/>
        <w:rPr>
          <w:rFonts w:ascii="方正小标宋简体" w:hAnsi="方正小标宋简体" w:eastAsia="方正小标宋简体" w:cs="方正小标宋简体"/>
        </w:rPr>
      </w:pPr>
      <w:bookmarkStart w:id="608" w:name="_Toc14291"/>
      <w:r>
        <w:rPr>
          <w:rFonts w:hint="eastAsia"/>
        </w:rPr>
        <w:t>2020年群众体育项目绩效评价报告</w:t>
      </w:r>
      <w:bookmarkEnd w:id="608"/>
    </w:p>
    <w:p w14:paraId="2FDDA30A">
      <w:pPr>
        <w:pStyle w:val="15"/>
        <w:ind w:firstLine="200"/>
      </w:pPr>
    </w:p>
    <w:p w14:paraId="31AA0FE6">
      <w:pPr>
        <w:ind w:firstLine="420" w:firstLineChars="200"/>
      </w:pPr>
      <w:r>
        <w:rPr>
          <w:rFonts w:hint="eastAsia"/>
        </w:rPr>
        <w:t>莆田学院财政绩效管理研究中心接受莆田市财政局委托，依据《中华人民共和国预算法》、中共莆田市委、市政府印发的《关于全面实施预算绩效管理的实施意见》（莆委发[2019]2号）和《莆田市市级财政预算绩效评价管理暂行办法》（莆财绩[2019]11号）的要求，对2020年群众体育项目进行绩效评价。通过实地调研、收集、整理、汇总和分析相关绩效评价资料，对照评价指标和标准进行评价，编写了2020年群众体育项目绩效评价报告。</w:t>
      </w:r>
    </w:p>
    <w:p w14:paraId="31F9381C">
      <w:pPr>
        <w:ind w:firstLine="420" w:firstLineChars="200"/>
        <w:outlineLvl w:val="0"/>
      </w:pPr>
      <w:bookmarkStart w:id="609" w:name="_Toc12506"/>
      <w:bookmarkStart w:id="610" w:name="_Toc19020"/>
      <w:r>
        <w:rPr>
          <w:rFonts w:hint="eastAsia"/>
        </w:rPr>
        <w:t>一、</w:t>
      </w:r>
      <w:r>
        <w:t>基本情况</w:t>
      </w:r>
      <w:bookmarkEnd w:id="609"/>
      <w:bookmarkEnd w:id="610"/>
    </w:p>
    <w:p w14:paraId="128EEE57">
      <w:pPr>
        <w:ind w:firstLine="420" w:firstLineChars="200"/>
      </w:pPr>
      <w:bookmarkStart w:id="611" w:name="_Toc12342"/>
      <w:r>
        <w:rPr>
          <w:rFonts w:hint="eastAsia"/>
        </w:rPr>
        <w:t>（一）</w:t>
      </w:r>
      <w:r>
        <w:t>项目背景</w:t>
      </w:r>
      <w:bookmarkEnd w:id="611"/>
    </w:p>
    <w:p w14:paraId="1687E330">
      <w:pPr>
        <w:ind w:firstLine="420" w:firstLineChars="200"/>
      </w:pPr>
      <w:r>
        <w:rPr>
          <w:rFonts w:hint="eastAsia"/>
        </w:rPr>
        <w:t>为了全面贯彻落实党的十八大和十八届三中、四中、五中全会精神，以“五位一体”总体布局和“四个全面”战略布局为统领，以创新发展、协调发展、绿色发展、开放发展、共享发展为主线，以人民群众的健康幸福为本，以增强人民体质、提高健康水平为目标，以保基本、补短板、建特色、促多元、重实效为发展理念，以满足新常态下人民群众日益增长的多元化健身需求为出发点，以全民健身示范区建设、场地设施普及提升、品牌赛事创建、体育社会组织建设、科学指导、智慧服务六大工程为抓手，通过立体构建、整合推进、动态实施、统筹建设全民健身公共服务体系、产业链和生态圈，丰富健身产品和服务的有效供给，促进全民健身与全民健康的深度融合，为打造宜居港城、建设美丽莆田提供有力支撑。</w:t>
      </w:r>
    </w:p>
    <w:p w14:paraId="4362A698">
      <w:pPr>
        <w:ind w:firstLine="420" w:firstLineChars="200"/>
      </w:pPr>
      <w:bookmarkStart w:id="612" w:name="_Toc16615"/>
      <w:r>
        <w:rPr>
          <w:rFonts w:hint="eastAsia"/>
        </w:rPr>
        <w:t>（二）立项依据和主要内容</w:t>
      </w:r>
      <w:bookmarkEnd w:id="612"/>
    </w:p>
    <w:p w14:paraId="648CC1A4">
      <w:pPr>
        <w:ind w:firstLine="420" w:firstLineChars="200"/>
      </w:pPr>
      <w:r>
        <w:rPr>
          <w:rFonts w:hint="eastAsia"/>
        </w:rPr>
        <w:t>1.立项依据</w:t>
      </w:r>
    </w:p>
    <w:p w14:paraId="4BF4EDC0">
      <w:pPr>
        <w:ind w:firstLine="420" w:firstLineChars="200"/>
      </w:pPr>
      <w:r>
        <w:rPr>
          <w:rFonts w:hint="eastAsia"/>
        </w:rPr>
        <w:t>2014年，国务院印发《关于加快发展体育产业促进体育消费的若干意见》，明确将全民健身上升为国家战略。国务院《全民健身计划（2016-2020年）》指出，全民健身是实现全民健康的重要途径和手段，是全体人民增强体魄、幸福生活的基础保障。实施全民健身计划是国家的重要发展战略。要求在“十三五”时期，面对人民群众日益增长的体育健身需求、全面建成小康社会的目标要求、推动健康中国建设的机遇挑战，要更加准确把握新时期全民健身发展内涵的深刻变化，不断开拓发展新境界，使其成为健康中国建设的有力支撑和全面建成小康社会的国家名片。</w:t>
      </w:r>
    </w:p>
    <w:p w14:paraId="0452B0B7">
      <w:pPr>
        <w:ind w:firstLine="420" w:firstLineChars="200"/>
      </w:pPr>
      <w:r>
        <w:rPr>
          <w:rFonts w:hint="eastAsia"/>
        </w:rPr>
        <w:t>省政府印发的《福建省全民健身实施计划（2016-2020年）》（闽政[2016]43号）文件，部署了新周期全民健身发展七大任务，包括营造全民健身文化氛围，促进人的全面发展；加强全民健身设施建设，方便群众就近就便健身；推进体育社会组织改革，提升发展活力；着力打造全民健身品牌活动，完善多元活动体系；强化全民健身发展重点，促进均衡发展；加快全民健身多元融合，丰富健身产品有效供给；拓展全民健身交流互动，引领开放发展等。围绕这七大任务，福建省将实施全民健身公共服务示范区工程、全民健身设施提档升级工程、全民健身品牌赛事工程、全民健身科学指导工程、全民健身信息服务工程等五大重点工程。</w:t>
      </w:r>
    </w:p>
    <w:p w14:paraId="1A1B0D8C">
      <w:pPr>
        <w:ind w:firstLine="420" w:firstLineChars="200"/>
      </w:pPr>
      <w:r>
        <w:rPr>
          <w:rFonts w:hint="eastAsia"/>
        </w:rPr>
        <w:t>2016年10月27日，莆田市人民政府印发《莆田市“十三五”体育发展专项规划的通知》（莆政办[2016]171号），要求以中国特色社会主义科学理论和社会主义核心价值观为指导，深入贯彻落实习近平总书记有关体育工作的系列重要讲话精神。按照“四个全面”战略布局要求，紧紧围绕经济常态下国家、社会和公民对体育工作的新需求，深化群众体育和竞技体育改革，推动群众体育和竞技体育协调发展，以提高全民身体素质和健康水平为宗旨。激活大众体育消费，推动体育产业成为经济转型升级的重要力量，大力培育体育新兴服务业态和模式，充分发挥体育的综合功能和多元社会价值，提高莆田体育的综合实力和社会影响力，开创莆田体育跨越式发展，为满足广大市民不断增长的体育文化需求，全面建成小康社会奠定坚实的基础。</w:t>
      </w:r>
    </w:p>
    <w:p w14:paraId="15C934D1">
      <w:pPr>
        <w:ind w:firstLine="420" w:firstLineChars="200"/>
      </w:pPr>
      <w:r>
        <w:rPr>
          <w:rFonts w:hint="eastAsia"/>
        </w:rPr>
        <w:t>2.主要内容</w:t>
      </w:r>
    </w:p>
    <w:p w14:paraId="1CFD769B">
      <w:pPr>
        <w:ind w:firstLine="420" w:firstLineChars="200"/>
      </w:pPr>
      <w:r>
        <w:rPr>
          <w:rFonts w:hint="eastAsia"/>
        </w:rPr>
        <w:t>2020年群众体育项目主要内容：（1）2020年市级为民办实事项目全民健身场地设施建设；（2）莆田市老年人活动中心健身器材采购；（3）举办2020年全民健身日系列活动；（4）举办全民健身运动会；（5）荔城区阔口社区“党建+”社区邻里中心体育设施建设；（6）市机关管理处健身器材采购。</w:t>
      </w:r>
    </w:p>
    <w:p w14:paraId="6576FEF8">
      <w:pPr>
        <w:ind w:firstLine="420" w:firstLineChars="200"/>
      </w:pPr>
      <w:bookmarkStart w:id="613" w:name="_Toc29304"/>
      <w:r>
        <w:t>资金使用情况</w:t>
      </w:r>
      <w:bookmarkEnd w:id="613"/>
    </w:p>
    <w:p w14:paraId="67E5681B">
      <w:pPr>
        <w:ind w:firstLine="420" w:firstLineChars="200"/>
      </w:pPr>
      <w:bookmarkStart w:id="614" w:name="_Toc29187"/>
      <w:r>
        <w:rPr>
          <w:rFonts w:hint="eastAsia"/>
        </w:rPr>
        <w:t>（一）预算安排情况</w:t>
      </w:r>
      <w:bookmarkEnd w:id="614"/>
    </w:p>
    <w:p w14:paraId="23887C8C">
      <w:pPr>
        <w:ind w:firstLine="420" w:firstLineChars="200"/>
      </w:pPr>
      <w:r>
        <w:rPr>
          <w:rFonts w:hint="eastAsia"/>
        </w:rPr>
        <w:t>根据《莆田市财政局关于批复2020年市本级部门预算的通知》（莆财教[2020]14号）、《莆田市财政局关于批复2020年度市本级政府性基金收支预算调整的通知》（莆财教[2020]155号）、《关于下达2020年市级体育专项经费的通知》（莆财教[2020]139号）和《关于下达2020年市级体育专项经费的通知》（莆财教[2020]177号）文件，群众体育项目2020年年初预算安排为858万元，预算调整为803万元，实际到位金额800.80万元。</w:t>
      </w:r>
    </w:p>
    <w:p w14:paraId="523BA408">
      <w:pPr>
        <w:ind w:firstLine="420" w:firstLineChars="200"/>
      </w:pPr>
      <w:bookmarkStart w:id="615" w:name="_Toc14616"/>
      <w:r>
        <w:rPr>
          <w:rFonts w:hint="eastAsia"/>
        </w:rPr>
        <w:t>（二）实际支出情况</w:t>
      </w:r>
      <w:bookmarkEnd w:id="615"/>
    </w:p>
    <w:p w14:paraId="3869701F">
      <w:pPr>
        <w:ind w:firstLine="420" w:firstLineChars="200"/>
      </w:pPr>
      <w:r>
        <w:rPr>
          <w:rFonts w:hint="eastAsia"/>
        </w:rPr>
        <w:t>2020年群众体育项目实际支出金额764.981万元，预算执行率为96%，结余35.819万元已由财政收回资金。资金来源为市级体彩公益金。项目期限为2020年1月1日至2020年12月31日。</w:t>
      </w:r>
    </w:p>
    <w:p w14:paraId="2767DB05">
      <w:pPr>
        <w:ind w:firstLine="420" w:firstLineChars="200"/>
      </w:pPr>
      <w:r>
        <w:rPr>
          <w:rFonts w:hint="eastAsia"/>
        </w:rPr>
        <w:t>表1  项目资金具体使用情况                单位：万元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3"/>
        <w:gridCol w:w="1510"/>
        <w:gridCol w:w="1511"/>
      </w:tblGrid>
      <w:tr w14:paraId="3D80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14:paraId="7964A222">
            <w:r>
              <w:rPr>
                <w:rFonts w:hint="eastAsia"/>
              </w:rPr>
              <w:t>项目</w:t>
            </w:r>
          </w:p>
        </w:tc>
        <w:tc>
          <w:tcPr>
            <w:tcW w:w="1510" w:type="dxa"/>
          </w:tcPr>
          <w:p w14:paraId="4C7821DD">
            <w:r>
              <w:rPr>
                <w:rFonts w:hint="eastAsia"/>
              </w:rPr>
              <w:t>预算下达数</w:t>
            </w:r>
          </w:p>
        </w:tc>
        <w:tc>
          <w:tcPr>
            <w:tcW w:w="1511" w:type="dxa"/>
          </w:tcPr>
          <w:p w14:paraId="458674AA">
            <w:r>
              <w:rPr>
                <w:rFonts w:hint="eastAsia"/>
              </w:rPr>
              <w:t>支出金额</w:t>
            </w:r>
          </w:p>
        </w:tc>
      </w:tr>
      <w:tr w14:paraId="4D06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14:paraId="13F66577">
            <w:r>
              <w:rPr>
                <w:rFonts w:hint="eastAsia"/>
              </w:rPr>
              <w:t>全民健身场地设施建设</w:t>
            </w:r>
          </w:p>
        </w:tc>
        <w:tc>
          <w:tcPr>
            <w:tcW w:w="1510" w:type="dxa"/>
            <w:vAlign w:val="center"/>
          </w:tcPr>
          <w:p w14:paraId="41F65D4B">
            <w:r>
              <w:rPr>
                <w:rFonts w:hint="eastAsia"/>
              </w:rPr>
              <w:t>660</w:t>
            </w:r>
          </w:p>
        </w:tc>
        <w:tc>
          <w:tcPr>
            <w:tcW w:w="1511" w:type="dxa"/>
            <w:vAlign w:val="center"/>
          </w:tcPr>
          <w:p w14:paraId="47CFE110">
            <w:r>
              <w:rPr>
                <w:rFonts w:hint="eastAsia"/>
              </w:rPr>
              <w:t>660</w:t>
            </w:r>
          </w:p>
        </w:tc>
      </w:tr>
      <w:tr w14:paraId="584C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14:paraId="0513DB3D">
            <w:r>
              <w:rPr>
                <w:rFonts w:hint="eastAsia"/>
              </w:rPr>
              <w:t>老年人活动中心健身器材补助</w:t>
            </w:r>
          </w:p>
        </w:tc>
        <w:tc>
          <w:tcPr>
            <w:tcW w:w="1510" w:type="dxa"/>
            <w:vAlign w:val="center"/>
          </w:tcPr>
          <w:p w14:paraId="31E2C2C5">
            <w:r>
              <w:rPr>
                <w:rFonts w:hint="eastAsia"/>
              </w:rPr>
              <w:t>20</w:t>
            </w:r>
          </w:p>
        </w:tc>
        <w:tc>
          <w:tcPr>
            <w:tcW w:w="1511" w:type="dxa"/>
            <w:vAlign w:val="center"/>
          </w:tcPr>
          <w:p w14:paraId="64CC54D7">
            <w:r>
              <w:rPr>
                <w:rFonts w:hint="eastAsia"/>
              </w:rPr>
              <w:t>19.6688</w:t>
            </w:r>
          </w:p>
        </w:tc>
      </w:tr>
      <w:tr w14:paraId="17B1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14:paraId="427DD2FE">
            <w:r>
              <w:rPr>
                <w:rFonts w:hint="eastAsia"/>
              </w:rPr>
              <w:t>2020年全民健身日系列活动</w:t>
            </w:r>
          </w:p>
        </w:tc>
        <w:tc>
          <w:tcPr>
            <w:tcW w:w="1510" w:type="dxa"/>
            <w:vAlign w:val="center"/>
          </w:tcPr>
          <w:p w14:paraId="6B21A873">
            <w:r>
              <w:rPr>
                <w:rFonts w:hint="eastAsia"/>
              </w:rPr>
              <w:t>12.8</w:t>
            </w:r>
          </w:p>
        </w:tc>
        <w:tc>
          <w:tcPr>
            <w:tcW w:w="1511" w:type="dxa"/>
            <w:vAlign w:val="center"/>
          </w:tcPr>
          <w:p w14:paraId="356476EC">
            <w:r>
              <w:rPr>
                <w:rFonts w:hint="eastAsia"/>
              </w:rPr>
              <w:t>11.321</w:t>
            </w:r>
          </w:p>
        </w:tc>
      </w:tr>
      <w:tr w14:paraId="0216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14:paraId="279A0BF6">
            <w:r>
              <w:rPr>
                <w:rFonts w:hint="eastAsia"/>
              </w:rPr>
              <w:t>全民健身运动会</w:t>
            </w:r>
          </w:p>
        </w:tc>
        <w:tc>
          <w:tcPr>
            <w:tcW w:w="1510" w:type="dxa"/>
            <w:vAlign w:val="center"/>
          </w:tcPr>
          <w:p w14:paraId="0E1DCF9A">
            <w:r>
              <w:rPr>
                <w:rFonts w:hint="eastAsia"/>
              </w:rPr>
              <w:t>92</w:t>
            </w:r>
          </w:p>
        </w:tc>
        <w:tc>
          <w:tcPr>
            <w:tcW w:w="1511" w:type="dxa"/>
            <w:vAlign w:val="center"/>
          </w:tcPr>
          <w:p w14:paraId="2A4E02BF">
            <w:r>
              <w:rPr>
                <w:rFonts w:hint="eastAsia"/>
              </w:rPr>
              <w:t>58</w:t>
            </w:r>
          </w:p>
        </w:tc>
      </w:tr>
      <w:tr w14:paraId="4C91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14:paraId="3B84F6C5">
            <w:r>
              <w:rPr>
                <w:rFonts w:hint="eastAsia"/>
              </w:rPr>
              <w:t>荔城区阔口社区“党建+”社区邻里中心体育设施建设经费补助</w:t>
            </w:r>
          </w:p>
        </w:tc>
        <w:tc>
          <w:tcPr>
            <w:tcW w:w="1510" w:type="dxa"/>
            <w:vAlign w:val="center"/>
          </w:tcPr>
          <w:p w14:paraId="6CA77B97">
            <w:r>
              <w:rPr>
                <w:rFonts w:hint="eastAsia"/>
              </w:rPr>
              <w:t>15</w:t>
            </w:r>
          </w:p>
        </w:tc>
        <w:tc>
          <w:tcPr>
            <w:tcW w:w="1511" w:type="dxa"/>
            <w:vAlign w:val="center"/>
          </w:tcPr>
          <w:p w14:paraId="0DA7DE8E">
            <w:r>
              <w:rPr>
                <w:rFonts w:hint="eastAsia"/>
              </w:rPr>
              <w:t>15</w:t>
            </w:r>
          </w:p>
        </w:tc>
      </w:tr>
      <w:tr w14:paraId="594C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14:paraId="7AE2150E">
            <w:r>
              <w:rPr>
                <w:rFonts w:hint="eastAsia"/>
              </w:rPr>
              <w:t>莆田市机关管理处健身器材补助</w:t>
            </w:r>
          </w:p>
        </w:tc>
        <w:tc>
          <w:tcPr>
            <w:tcW w:w="1510" w:type="dxa"/>
            <w:vAlign w:val="center"/>
          </w:tcPr>
          <w:p w14:paraId="6032E29B">
            <w:r>
              <w:rPr>
                <w:rFonts w:hint="eastAsia"/>
              </w:rPr>
              <w:t>1</w:t>
            </w:r>
          </w:p>
        </w:tc>
        <w:tc>
          <w:tcPr>
            <w:tcW w:w="1511" w:type="dxa"/>
            <w:vAlign w:val="center"/>
          </w:tcPr>
          <w:p w14:paraId="58182F09">
            <w:r>
              <w:rPr>
                <w:rFonts w:hint="eastAsia"/>
              </w:rPr>
              <w:t>0.9912</w:t>
            </w:r>
          </w:p>
        </w:tc>
      </w:tr>
      <w:tr w14:paraId="36CD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14:paraId="5FFC0C9F">
            <w:r>
              <w:rPr>
                <w:rFonts w:hint="eastAsia"/>
              </w:rPr>
              <w:t>合计</w:t>
            </w:r>
          </w:p>
        </w:tc>
        <w:tc>
          <w:tcPr>
            <w:tcW w:w="1510" w:type="dxa"/>
          </w:tcPr>
          <w:p w14:paraId="3ADC0809">
            <w:r>
              <w:rPr>
                <w:rFonts w:hint="eastAsia"/>
              </w:rPr>
              <w:t>800.8</w:t>
            </w:r>
          </w:p>
        </w:tc>
        <w:tc>
          <w:tcPr>
            <w:tcW w:w="1511" w:type="dxa"/>
            <w:vAlign w:val="center"/>
          </w:tcPr>
          <w:p w14:paraId="3CFEC0D9">
            <w:r>
              <w:rPr>
                <w:rFonts w:hint="eastAsia"/>
              </w:rPr>
              <w:t>764.981</w:t>
            </w:r>
          </w:p>
        </w:tc>
      </w:tr>
    </w:tbl>
    <w:p w14:paraId="63EA47B5">
      <w:pPr>
        <w:ind w:firstLine="420" w:firstLineChars="200"/>
      </w:pPr>
      <w:bookmarkStart w:id="616" w:name="_Toc19303"/>
      <w:r>
        <w:rPr>
          <w:rFonts w:hint="eastAsia"/>
        </w:rPr>
        <w:t>表2全民健身场地设施建设资金情况明细表</w:t>
      </w:r>
    </w:p>
    <w:p w14:paraId="2CC84564">
      <w:pPr>
        <w:ind w:firstLine="420" w:firstLineChars="200"/>
      </w:pPr>
      <w:r>
        <w:rPr>
          <w:rFonts w:hint="eastAsia"/>
        </w:rPr>
        <w:t>单位：万元</w:t>
      </w:r>
    </w:p>
    <w:tbl>
      <w:tblPr>
        <w:tblStyle w:val="17"/>
        <w:tblW w:w="0" w:type="auto"/>
        <w:tblInd w:w="96" w:type="dxa"/>
        <w:tblLayout w:type="fixed"/>
        <w:tblCellMar>
          <w:top w:w="0" w:type="dxa"/>
          <w:left w:w="108" w:type="dxa"/>
          <w:bottom w:w="0" w:type="dxa"/>
          <w:right w:w="108" w:type="dxa"/>
        </w:tblCellMar>
      </w:tblPr>
      <w:tblGrid>
        <w:gridCol w:w="3806"/>
        <w:gridCol w:w="2544"/>
        <w:gridCol w:w="2529"/>
      </w:tblGrid>
      <w:tr w14:paraId="0F5F3445">
        <w:tblPrEx>
          <w:tblCellMar>
            <w:top w:w="0" w:type="dxa"/>
            <w:left w:w="108" w:type="dxa"/>
            <w:bottom w:w="0" w:type="dxa"/>
            <w:right w:w="108" w:type="dxa"/>
          </w:tblCellMar>
        </w:tblPrEx>
        <w:trPr>
          <w:trHeight w:val="424" w:hRule="atLeast"/>
        </w:trPr>
        <w:tc>
          <w:tcPr>
            <w:tcW w:w="3806" w:type="dxa"/>
            <w:tcBorders>
              <w:top w:val="single" w:color="000000" w:sz="4" w:space="0"/>
              <w:left w:val="single" w:color="000000" w:sz="4" w:space="0"/>
              <w:bottom w:val="single" w:color="000000" w:sz="4" w:space="0"/>
              <w:right w:val="single" w:color="000000" w:sz="4" w:space="0"/>
            </w:tcBorders>
            <w:noWrap/>
            <w:vAlign w:val="center"/>
          </w:tcPr>
          <w:p w14:paraId="3FA4C009">
            <w:r>
              <w:rPr>
                <w:rFonts w:hint="eastAsia"/>
              </w:rPr>
              <w:t>县区名称</w:t>
            </w:r>
          </w:p>
        </w:tc>
        <w:tc>
          <w:tcPr>
            <w:tcW w:w="2544" w:type="dxa"/>
            <w:tcBorders>
              <w:top w:val="single" w:color="000000" w:sz="4" w:space="0"/>
              <w:left w:val="single" w:color="000000" w:sz="4" w:space="0"/>
              <w:bottom w:val="single" w:color="000000" w:sz="4" w:space="0"/>
              <w:right w:val="single" w:color="000000" w:sz="4" w:space="0"/>
            </w:tcBorders>
            <w:noWrap/>
            <w:vAlign w:val="center"/>
          </w:tcPr>
          <w:p w14:paraId="06BCF1E0">
            <w:r>
              <w:rPr>
                <w:rFonts w:hint="eastAsia"/>
              </w:rPr>
              <w:t>预算下达数</w:t>
            </w:r>
          </w:p>
        </w:tc>
        <w:tc>
          <w:tcPr>
            <w:tcW w:w="2529" w:type="dxa"/>
            <w:tcBorders>
              <w:top w:val="single" w:color="000000" w:sz="4" w:space="0"/>
              <w:left w:val="single" w:color="000000" w:sz="4" w:space="0"/>
              <w:bottom w:val="single" w:color="000000" w:sz="4" w:space="0"/>
              <w:right w:val="single" w:color="000000" w:sz="4" w:space="0"/>
            </w:tcBorders>
            <w:noWrap/>
            <w:vAlign w:val="center"/>
          </w:tcPr>
          <w:p w14:paraId="61D2DB9C">
            <w:r>
              <w:rPr>
                <w:rFonts w:hint="eastAsia"/>
              </w:rPr>
              <w:t>县区实际支出数</w:t>
            </w:r>
          </w:p>
        </w:tc>
      </w:tr>
      <w:tr w14:paraId="161A6A3B">
        <w:tblPrEx>
          <w:tblCellMar>
            <w:top w:w="0" w:type="dxa"/>
            <w:left w:w="108" w:type="dxa"/>
            <w:bottom w:w="0" w:type="dxa"/>
            <w:right w:w="108" w:type="dxa"/>
          </w:tblCellMar>
        </w:tblPrEx>
        <w:trPr>
          <w:trHeight w:val="451" w:hRule="atLeast"/>
        </w:trPr>
        <w:tc>
          <w:tcPr>
            <w:tcW w:w="3806" w:type="dxa"/>
            <w:tcBorders>
              <w:top w:val="single" w:color="000000" w:sz="8" w:space="0"/>
              <w:left w:val="single" w:color="000000" w:sz="8" w:space="0"/>
              <w:bottom w:val="single" w:color="000000" w:sz="8" w:space="0"/>
              <w:right w:val="single" w:color="000000" w:sz="8" w:space="0"/>
            </w:tcBorders>
            <w:vAlign w:val="center"/>
          </w:tcPr>
          <w:p w14:paraId="75CB9B6E">
            <w:r>
              <w:t>仙游县文化体育旅游局</w:t>
            </w:r>
          </w:p>
        </w:tc>
        <w:tc>
          <w:tcPr>
            <w:tcW w:w="2544" w:type="dxa"/>
            <w:tcBorders>
              <w:top w:val="single" w:color="000000" w:sz="8" w:space="0"/>
              <w:left w:val="single" w:color="000000" w:sz="8" w:space="0"/>
              <w:bottom w:val="single" w:color="000000" w:sz="8" w:space="0"/>
              <w:right w:val="single" w:color="000000" w:sz="8" w:space="0"/>
            </w:tcBorders>
            <w:vAlign w:val="center"/>
          </w:tcPr>
          <w:p w14:paraId="7872C228">
            <w:r>
              <w:t>200</w:t>
            </w:r>
            <w:r>
              <w:rPr>
                <w:rFonts w:hint="eastAsia"/>
              </w:rPr>
              <w:t>.00</w:t>
            </w:r>
          </w:p>
        </w:tc>
        <w:tc>
          <w:tcPr>
            <w:tcW w:w="2529" w:type="dxa"/>
            <w:tcBorders>
              <w:top w:val="single" w:color="000000" w:sz="8" w:space="0"/>
              <w:left w:val="single" w:color="000000" w:sz="8" w:space="0"/>
              <w:bottom w:val="single" w:color="000000" w:sz="8" w:space="0"/>
              <w:right w:val="single" w:color="000000" w:sz="8" w:space="0"/>
            </w:tcBorders>
            <w:vAlign w:val="center"/>
          </w:tcPr>
          <w:p w14:paraId="66D19B22">
            <w:r>
              <w:t>200</w:t>
            </w:r>
            <w:r>
              <w:rPr>
                <w:rFonts w:hint="eastAsia"/>
              </w:rPr>
              <w:t>.00</w:t>
            </w:r>
          </w:p>
        </w:tc>
      </w:tr>
      <w:tr w14:paraId="56D04731">
        <w:tblPrEx>
          <w:tblCellMar>
            <w:top w:w="0" w:type="dxa"/>
            <w:left w:w="108" w:type="dxa"/>
            <w:bottom w:w="0" w:type="dxa"/>
            <w:right w:w="108" w:type="dxa"/>
          </w:tblCellMar>
        </w:tblPrEx>
        <w:trPr>
          <w:trHeight w:val="451" w:hRule="atLeast"/>
        </w:trPr>
        <w:tc>
          <w:tcPr>
            <w:tcW w:w="3806" w:type="dxa"/>
            <w:tcBorders>
              <w:top w:val="nil"/>
              <w:left w:val="single" w:color="000000" w:sz="8" w:space="0"/>
              <w:bottom w:val="single" w:color="000000" w:sz="8" w:space="0"/>
              <w:right w:val="single" w:color="000000" w:sz="8" w:space="0"/>
            </w:tcBorders>
            <w:vAlign w:val="center"/>
          </w:tcPr>
          <w:p w14:paraId="67CF1C04">
            <w:r>
              <w:t>荔城区文化体育旅游局</w:t>
            </w:r>
          </w:p>
        </w:tc>
        <w:tc>
          <w:tcPr>
            <w:tcW w:w="2544" w:type="dxa"/>
            <w:tcBorders>
              <w:top w:val="single" w:color="000000" w:sz="8" w:space="0"/>
              <w:left w:val="single" w:color="000000" w:sz="8" w:space="0"/>
              <w:bottom w:val="single" w:color="000000" w:sz="8" w:space="0"/>
              <w:right w:val="single" w:color="000000" w:sz="8" w:space="0"/>
            </w:tcBorders>
            <w:vAlign w:val="center"/>
          </w:tcPr>
          <w:p w14:paraId="0E9F47B4">
            <w:r>
              <w:t>120.2</w:t>
            </w:r>
            <w:r>
              <w:rPr>
                <w:rFonts w:hint="eastAsia"/>
              </w:rPr>
              <w:t>0</w:t>
            </w:r>
          </w:p>
        </w:tc>
        <w:tc>
          <w:tcPr>
            <w:tcW w:w="2529" w:type="dxa"/>
            <w:tcBorders>
              <w:top w:val="single" w:color="000000" w:sz="8" w:space="0"/>
              <w:left w:val="single" w:color="000000" w:sz="8" w:space="0"/>
              <w:bottom w:val="single" w:color="000000" w:sz="8" w:space="0"/>
              <w:right w:val="single" w:color="000000" w:sz="8" w:space="0"/>
            </w:tcBorders>
            <w:vAlign w:val="center"/>
          </w:tcPr>
          <w:p w14:paraId="3F9434C1">
            <w:r>
              <w:t>120.2</w:t>
            </w:r>
            <w:r>
              <w:rPr>
                <w:rFonts w:hint="eastAsia"/>
              </w:rPr>
              <w:t>0</w:t>
            </w:r>
          </w:p>
        </w:tc>
      </w:tr>
      <w:tr w14:paraId="60D875D0">
        <w:tblPrEx>
          <w:tblCellMar>
            <w:top w:w="0" w:type="dxa"/>
            <w:left w:w="108" w:type="dxa"/>
            <w:bottom w:w="0" w:type="dxa"/>
            <w:right w:w="108" w:type="dxa"/>
          </w:tblCellMar>
        </w:tblPrEx>
        <w:trPr>
          <w:trHeight w:val="451" w:hRule="atLeast"/>
        </w:trPr>
        <w:tc>
          <w:tcPr>
            <w:tcW w:w="3806" w:type="dxa"/>
            <w:tcBorders>
              <w:top w:val="nil"/>
              <w:left w:val="single" w:color="000000" w:sz="8" w:space="0"/>
              <w:bottom w:val="single" w:color="000000" w:sz="8" w:space="0"/>
              <w:right w:val="single" w:color="000000" w:sz="8" w:space="0"/>
            </w:tcBorders>
            <w:vAlign w:val="center"/>
          </w:tcPr>
          <w:p w14:paraId="530EA596">
            <w:r>
              <w:t>城厢区文化体育旅游局</w:t>
            </w:r>
          </w:p>
        </w:tc>
        <w:tc>
          <w:tcPr>
            <w:tcW w:w="2544" w:type="dxa"/>
            <w:tcBorders>
              <w:top w:val="single" w:color="000000" w:sz="8" w:space="0"/>
              <w:left w:val="single" w:color="000000" w:sz="8" w:space="0"/>
              <w:bottom w:val="single" w:color="000000" w:sz="8" w:space="0"/>
              <w:right w:val="single" w:color="000000" w:sz="8" w:space="0"/>
            </w:tcBorders>
            <w:vAlign w:val="center"/>
          </w:tcPr>
          <w:p w14:paraId="26DDC311">
            <w:r>
              <w:t>114.2</w:t>
            </w:r>
            <w:r>
              <w:rPr>
                <w:rFonts w:hint="eastAsia"/>
              </w:rPr>
              <w:t>0</w:t>
            </w:r>
          </w:p>
        </w:tc>
        <w:tc>
          <w:tcPr>
            <w:tcW w:w="2529" w:type="dxa"/>
            <w:tcBorders>
              <w:top w:val="single" w:color="000000" w:sz="8" w:space="0"/>
              <w:left w:val="single" w:color="000000" w:sz="8" w:space="0"/>
              <w:bottom w:val="single" w:color="000000" w:sz="8" w:space="0"/>
              <w:right w:val="single" w:color="000000" w:sz="8" w:space="0"/>
            </w:tcBorders>
            <w:vAlign w:val="center"/>
          </w:tcPr>
          <w:p w14:paraId="7EAB0FD7">
            <w:r>
              <w:t>114.2</w:t>
            </w:r>
            <w:r>
              <w:rPr>
                <w:rFonts w:hint="eastAsia"/>
              </w:rPr>
              <w:t>0</w:t>
            </w:r>
          </w:p>
        </w:tc>
      </w:tr>
      <w:tr w14:paraId="64CEFE80">
        <w:tblPrEx>
          <w:tblCellMar>
            <w:top w:w="0" w:type="dxa"/>
            <w:left w:w="108" w:type="dxa"/>
            <w:bottom w:w="0" w:type="dxa"/>
            <w:right w:w="108" w:type="dxa"/>
          </w:tblCellMar>
        </w:tblPrEx>
        <w:trPr>
          <w:trHeight w:val="451" w:hRule="atLeast"/>
        </w:trPr>
        <w:tc>
          <w:tcPr>
            <w:tcW w:w="3806" w:type="dxa"/>
            <w:tcBorders>
              <w:top w:val="nil"/>
              <w:left w:val="single" w:color="000000" w:sz="8" w:space="0"/>
              <w:bottom w:val="single" w:color="000000" w:sz="8" w:space="0"/>
              <w:right w:val="single" w:color="000000" w:sz="8" w:space="0"/>
            </w:tcBorders>
            <w:vAlign w:val="center"/>
          </w:tcPr>
          <w:p w14:paraId="7CA4A837">
            <w:r>
              <w:t>涵江区文化体育旅游局</w:t>
            </w:r>
          </w:p>
        </w:tc>
        <w:tc>
          <w:tcPr>
            <w:tcW w:w="2544" w:type="dxa"/>
            <w:tcBorders>
              <w:top w:val="single" w:color="000000" w:sz="8" w:space="0"/>
              <w:left w:val="single" w:color="000000" w:sz="8" w:space="0"/>
              <w:bottom w:val="single" w:color="000000" w:sz="8" w:space="0"/>
              <w:right w:val="single" w:color="000000" w:sz="8" w:space="0"/>
            </w:tcBorders>
            <w:vAlign w:val="center"/>
          </w:tcPr>
          <w:p w14:paraId="42D29851">
            <w:r>
              <w:t>99.6</w:t>
            </w:r>
            <w:r>
              <w:rPr>
                <w:rFonts w:hint="eastAsia"/>
              </w:rPr>
              <w:t>0</w:t>
            </w:r>
          </w:p>
        </w:tc>
        <w:tc>
          <w:tcPr>
            <w:tcW w:w="2529" w:type="dxa"/>
            <w:tcBorders>
              <w:top w:val="single" w:color="000000" w:sz="8" w:space="0"/>
              <w:left w:val="single" w:color="000000" w:sz="8" w:space="0"/>
              <w:bottom w:val="single" w:color="000000" w:sz="8" w:space="0"/>
              <w:right w:val="single" w:color="000000" w:sz="8" w:space="0"/>
            </w:tcBorders>
            <w:vAlign w:val="center"/>
          </w:tcPr>
          <w:p w14:paraId="33CB2A15">
            <w:r>
              <w:t>99.6</w:t>
            </w:r>
            <w:r>
              <w:rPr>
                <w:rFonts w:hint="eastAsia"/>
              </w:rPr>
              <w:t>0</w:t>
            </w:r>
          </w:p>
        </w:tc>
      </w:tr>
      <w:tr w14:paraId="138C440B">
        <w:tblPrEx>
          <w:tblCellMar>
            <w:top w:w="0" w:type="dxa"/>
            <w:left w:w="108" w:type="dxa"/>
            <w:bottom w:w="0" w:type="dxa"/>
            <w:right w:w="108" w:type="dxa"/>
          </w:tblCellMar>
        </w:tblPrEx>
        <w:trPr>
          <w:trHeight w:val="451" w:hRule="atLeast"/>
        </w:trPr>
        <w:tc>
          <w:tcPr>
            <w:tcW w:w="3806" w:type="dxa"/>
            <w:tcBorders>
              <w:top w:val="nil"/>
              <w:left w:val="single" w:color="000000" w:sz="8" w:space="0"/>
              <w:bottom w:val="single" w:color="000000" w:sz="8" w:space="0"/>
              <w:right w:val="single" w:color="000000" w:sz="8" w:space="0"/>
            </w:tcBorders>
            <w:vAlign w:val="center"/>
          </w:tcPr>
          <w:p w14:paraId="11AECD3E">
            <w:r>
              <w:t>秀屿区文化体育旅游局</w:t>
            </w:r>
          </w:p>
        </w:tc>
        <w:tc>
          <w:tcPr>
            <w:tcW w:w="2544" w:type="dxa"/>
            <w:tcBorders>
              <w:top w:val="single" w:color="000000" w:sz="8" w:space="0"/>
              <w:left w:val="single" w:color="000000" w:sz="8" w:space="0"/>
              <w:bottom w:val="single" w:color="000000" w:sz="8" w:space="0"/>
              <w:right w:val="single" w:color="000000" w:sz="8" w:space="0"/>
            </w:tcBorders>
            <w:vAlign w:val="center"/>
          </w:tcPr>
          <w:p w14:paraId="6DA53EB3">
            <w:r>
              <w:t>114</w:t>
            </w:r>
            <w:r>
              <w:rPr>
                <w:rFonts w:hint="eastAsia"/>
              </w:rPr>
              <w:t>.00</w:t>
            </w:r>
          </w:p>
        </w:tc>
        <w:tc>
          <w:tcPr>
            <w:tcW w:w="2529" w:type="dxa"/>
            <w:tcBorders>
              <w:top w:val="single" w:color="000000" w:sz="8" w:space="0"/>
              <w:left w:val="single" w:color="000000" w:sz="8" w:space="0"/>
              <w:bottom w:val="single" w:color="000000" w:sz="8" w:space="0"/>
              <w:right w:val="single" w:color="000000" w:sz="8" w:space="0"/>
            </w:tcBorders>
            <w:vAlign w:val="center"/>
          </w:tcPr>
          <w:p w14:paraId="0D0BCCB5">
            <w:r>
              <w:t>114</w:t>
            </w:r>
            <w:r>
              <w:rPr>
                <w:rFonts w:hint="eastAsia"/>
              </w:rPr>
              <w:t>.00</w:t>
            </w:r>
          </w:p>
        </w:tc>
      </w:tr>
      <w:tr w14:paraId="78C772AC">
        <w:tblPrEx>
          <w:tblCellMar>
            <w:top w:w="0" w:type="dxa"/>
            <w:left w:w="108" w:type="dxa"/>
            <w:bottom w:w="0" w:type="dxa"/>
            <w:right w:w="108" w:type="dxa"/>
          </w:tblCellMar>
        </w:tblPrEx>
        <w:trPr>
          <w:trHeight w:val="364" w:hRule="atLeast"/>
        </w:trPr>
        <w:tc>
          <w:tcPr>
            <w:tcW w:w="3806" w:type="dxa"/>
            <w:tcBorders>
              <w:top w:val="nil"/>
              <w:left w:val="single" w:color="000000" w:sz="8" w:space="0"/>
              <w:bottom w:val="single" w:color="000000" w:sz="8" w:space="0"/>
              <w:right w:val="single" w:color="000000" w:sz="8" w:space="0"/>
            </w:tcBorders>
            <w:vAlign w:val="center"/>
          </w:tcPr>
          <w:p w14:paraId="50C77361">
            <w:r>
              <w:t>湄洲湾北岸经济开发区宣传部</w:t>
            </w:r>
          </w:p>
        </w:tc>
        <w:tc>
          <w:tcPr>
            <w:tcW w:w="2544" w:type="dxa"/>
            <w:tcBorders>
              <w:top w:val="single" w:color="000000" w:sz="8" w:space="0"/>
              <w:left w:val="single" w:color="000000" w:sz="8" w:space="0"/>
              <w:bottom w:val="single" w:color="000000" w:sz="8" w:space="0"/>
              <w:right w:val="single" w:color="000000" w:sz="8" w:space="0"/>
            </w:tcBorders>
            <w:vAlign w:val="center"/>
          </w:tcPr>
          <w:p w14:paraId="17534F02">
            <w:r>
              <w:t>8</w:t>
            </w:r>
            <w:r>
              <w:rPr>
                <w:rFonts w:hint="eastAsia"/>
              </w:rPr>
              <w:t>.00</w:t>
            </w:r>
          </w:p>
        </w:tc>
        <w:tc>
          <w:tcPr>
            <w:tcW w:w="2529" w:type="dxa"/>
            <w:tcBorders>
              <w:top w:val="single" w:color="000000" w:sz="8" w:space="0"/>
              <w:left w:val="single" w:color="000000" w:sz="8" w:space="0"/>
              <w:bottom w:val="single" w:color="000000" w:sz="8" w:space="0"/>
              <w:right w:val="single" w:color="000000" w:sz="8" w:space="0"/>
            </w:tcBorders>
            <w:vAlign w:val="center"/>
          </w:tcPr>
          <w:p w14:paraId="1CEF017E">
            <w:r>
              <w:t>8</w:t>
            </w:r>
            <w:r>
              <w:rPr>
                <w:rFonts w:hint="eastAsia"/>
              </w:rPr>
              <w:t>.00</w:t>
            </w:r>
          </w:p>
        </w:tc>
      </w:tr>
      <w:tr w14:paraId="6F85BBB2">
        <w:tblPrEx>
          <w:tblCellMar>
            <w:top w:w="0" w:type="dxa"/>
            <w:left w:w="108" w:type="dxa"/>
            <w:bottom w:w="0" w:type="dxa"/>
            <w:right w:w="108" w:type="dxa"/>
          </w:tblCellMar>
        </w:tblPrEx>
        <w:trPr>
          <w:trHeight w:val="451" w:hRule="atLeast"/>
        </w:trPr>
        <w:tc>
          <w:tcPr>
            <w:tcW w:w="3806" w:type="dxa"/>
            <w:tcBorders>
              <w:top w:val="nil"/>
              <w:left w:val="single" w:color="000000" w:sz="8" w:space="0"/>
              <w:bottom w:val="single" w:color="000000" w:sz="8" w:space="0"/>
              <w:right w:val="single" w:color="000000" w:sz="8" w:space="0"/>
            </w:tcBorders>
            <w:vAlign w:val="center"/>
          </w:tcPr>
          <w:p w14:paraId="564DAE7D">
            <w:r>
              <w:t>湄洲岛旅游文化体育局</w:t>
            </w:r>
          </w:p>
        </w:tc>
        <w:tc>
          <w:tcPr>
            <w:tcW w:w="2544" w:type="dxa"/>
            <w:tcBorders>
              <w:top w:val="single" w:color="000000" w:sz="8" w:space="0"/>
              <w:left w:val="single" w:color="000000" w:sz="8" w:space="0"/>
              <w:bottom w:val="single" w:color="000000" w:sz="8" w:space="0"/>
              <w:right w:val="single" w:color="000000" w:sz="8" w:space="0"/>
            </w:tcBorders>
            <w:vAlign w:val="center"/>
          </w:tcPr>
          <w:p w14:paraId="3E11298D">
            <w:r>
              <w:t>4</w:t>
            </w:r>
            <w:r>
              <w:rPr>
                <w:rFonts w:hint="eastAsia"/>
              </w:rPr>
              <w:t>.00</w:t>
            </w:r>
          </w:p>
        </w:tc>
        <w:tc>
          <w:tcPr>
            <w:tcW w:w="2529" w:type="dxa"/>
            <w:tcBorders>
              <w:top w:val="single" w:color="000000" w:sz="8" w:space="0"/>
              <w:left w:val="single" w:color="000000" w:sz="8" w:space="0"/>
              <w:bottom w:val="single" w:color="000000" w:sz="8" w:space="0"/>
              <w:right w:val="single" w:color="000000" w:sz="8" w:space="0"/>
            </w:tcBorders>
            <w:vAlign w:val="center"/>
          </w:tcPr>
          <w:p w14:paraId="786AB6C2">
            <w:r>
              <w:t>4</w:t>
            </w:r>
            <w:r>
              <w:rPr>
                <w:rFonts w:hint="eastAsia"/>
              </w:rPr>
              <w:t>.00</w:t>
            </w:r>
          </w:p>
        </w:tc>
      </w:tr>
      <w:tr w14:paraId="43EC1878">
        <w:tblPrEx>
          <w:tblCellMar>
            <w:top w:w="0" w:type="dxa"/>
            <w:left w:w="108" w:type="dxa"/>
            <w:bottom w:w="0" w:type="dxa"/>
            <w:right w:w="108" w:type="dxa"/>
          </w:tblCellMar>
        </w:tblPrEx>
        <w:trPr>
          <w:trHeight w:val="397" w:hRule="atLeast"/>
        </w:trPr>
        <w:tc>
          <w:tcPr>
            <w:tcW w:w="3806" w:type="dxa"/>
            <w:tcBorders>
              <w:top w:val="single" w:color="000000" w:sz="4" w:space="0"/>
              <w:left w:val="single" w:color="000000" w:sz="4" w:space="0"/>
              <w:bottom w:val="single" w:color="000000" w:sz="4" w:space="0"/>
              <w:right w:val="single" w:color="000000" w:sz="4" w:space="0"/>
            </w:tcBorders>
            <w:noWrap/>
            <w:vAlign w:val="center"/>
          </w:tcPr>
          <w:p w14:paraId="12C85AA8">
            <w:r>
              <w:rPr>
                <w:rFonts w:hint="eastAsia"/>
              </w:rPr>
              <w:t>合计</w:t>
            </w:r>
          </w:p>
        </w:tc>
        <w:tc>
          <w:tcPr>
            <w:tcW w:w="2544" w:type="dxa"/>
            <w:tcBorders>
              <w:top w:val="single" w:color="000000" w:sz="4" w:space="0"/>
              <w:left w:val="single" w:color="000000" w:sz="4" w:space="0"/>
              <w:bottom w:val="single" w:color="000000" w:sz="4" w:space="0"/>
              <w:right w:val="single" w:color="000000" w:sz="4" w:space="0"/>
            </w:tcBorders>
            <w:noWrap/>
            <w:vAlign w:val="center"/>
          </w:tcPr>
          <w:p w14:paraId="127EEECE">
            <w:r>
              <w:rPr>
                <w:rFonts w:hint="eastAsia"/>
              </w:rPr>
              <w:t>660.00</w:t>
            </w:r>
          </w:p>
        </w:tc>
        <w:tc>
          <w:tcPr>
            <w:tcW w:w="2529" w:type="dxa"/>
            <w:tcBorders>
              <w:top w:val="single" w:color="000000" w:sz="4" w:space="0"/>
              <w:left w:val="single" w:color="000000" w:sz="4" w:space="0"/>
              <w:bottom w:val="single" w:color="000000" w:sz="4" w:space="0"/>
              <w:right w:val="single" w:color="000000" w:sz="4" w:space="0"/>
            </w:tcBorders>
            <w:noWrap/>
            <w:vAlign w:val="center"/>
          </w:tcPr>
          <w:p w14:paraId="014CB0A0">
            <w:r>
              <w:rPr>
                <w:rFonts w:hint="eastAsia"/>
              </w:rPr>
              <w:t>660.00</w:t>
            </w:r>
          </w:p>
        </w:tc>
      </w:tr>
    </w:tbl>
    <w:p w14:paraId="51C047E0">
      <w:pPr>
        <w:ind w:firstLine="420" w:firstLineChars="200"/>
      </w:pPr>
      <w:r>
        <w:rPr>
          <w:rFonts w:hint="eastAsia"/>
        </w:rPr>
        <w:t>项目管理情况</w:t>
      </w:r>
      <w:bookmarkEnd w:id="616"/>
    </w:p>
    <w:p w14:paraId="2C08F569">
      <w:pPr>
        <w:ind w:firstLine="420" w:firstLineChars="200"/>
      </w:pPr>
      <w:r>
        <w:rPr>
          <w:rFonts w:hint="eastAsia"/>
        </w:rPr>
        <w:t>按照《国家体育总局彩票公益金使用管理规定》、《中央集中彩票公益支持地方体育事业专项资金管理办法》、《莆田市市级财政专项资金管理办法》及相关财经制度，莆田市体育局对2020年群众体育项目专项资金施行全过程管理。资金按照赛事活动和设施建设进度及时拨付到位。</w:t>
      </w:r>
    </w:p>
    <w:p w14:paraId="1D9D8C92">
      <w:pPr>
        <w:ind w:firstLine="420" w:firstLineChars="200"/>
      </w:pPr>
      <w:bookmarkStart w:id="617" w:name="_Toc29636"/>
      <w:r>
        <w:t>（四）项目绩效目标</w:t>
      </w:r>
      <w:bookmarkEnd w:id="617"/>
    </w:p>
    <w:p w14:paraId="05A06E65">
      <w:pPr>
        <w:ind w:firstLine="420" w:firstLineChars="200"/>
      </w:pPr>
      <w:r>
        <w:t>1</w:t>
      </w:r>
      <w:r>
        <w:rPr>
          <w:rFonts w:hint="eastAsia"/>
        </w:rPr>
        <w:t>.</w:t>
      </w:r>
      <w:r>
        <w:t>总体目标</w:t>
      </w:r>
    </w:p>
    <w:p w14:paraId="44989E48">
      <w:pPr>
        <w:ind w:firstLine="420" w:firstLineChars="200"/>
      </w:pPr>
      <w:r>
        <w:rPr>
          <w:rFonts w:hint="eastAsia"/>
        </w:rPr>
        <w:t>为了进一步促进全民健身事业发展，动员广大群众参与健身，增强人民体质，养成锻炼习惯，提高人民生活质量，使莆田市全民健身气氛更加浓厚，促进全民健身和全民健康的深度融合。</w:t>
      </w:r>
    </w:p>
    <w:p w14:paraId="1612A8EA">
      <w:pPr>
        <w:ind w:firstLine="420" w:firstLineChars="200"/>
      </w:pPr>
      <w:r>
        <w:t>2</w:t>
      </w:r>
      <w:r>
        <w:rPr>
          <w:rFonts w:hint="eastAsia"/>
        </w:rPr>
        <w:t>.</w:t>
      </w:r>
      <w:r>
        <w:t>预期目标</w:t>
      </w:r>
    </w:p>
    <w:p w14:paraId="63F8AFBE">
      <w:pPr>
        <w:ind w:firstLine="420" w:firstLineChars="200"/>
      </w:pPr>
      <w:r>
        <w:rPr>
          <w:rFonts w:hint="eastAsia"/>
        </w:rPr>
        <w:t>（1）举办全民健身运动会项目25项；（2）2020年市级为民办实事项目全民健身场地设施建设100个；（3）群众体育赛事任务完成率大于85%；（4）全民健身设施项目安装合格率大于85%；（5）参与群众体育赛事活动达到5000人次以上；（6）市民对群众体育赛事活动满意度达90%以上；（7）群众对全民健身设施使用满意度达90%以上。</w:t>
      </w:r>
    </w:p>
    <w:p w14:paraId="4F746B22">
      <w:pPr>
        <w:ind w:firstLine="420" w:firstLineChars="200"/>
      </w:pPr>
      <w:r>
        <w:t>3</w:t>
      </w:r>
      <w:r>
        <w:rPr>
          <w:rFonts w:hint="eastAsia"/>
        </w:rPr>
        <w:t>.</w:t>
      </w:r>
      <w:r>
        <w:t>绩效目标实际完成情况</w:t>
      </w:r>
    </w:p>
    <w:p w14:paraId="52DB755A">
      <w:pPr>
        <w:ind w:firstLine="420" w:firstLineChars="200"/>
      </w:pPr>
      <w:r>
        <w:rPr>
          <w:rFonts w:hint="eastAsia"/>
        </w:rPr>
        <w:t>（1）推进全民健身场地设施建设</w:t>
      </w:r>
    </w:p>
    <w:p w14:paraId="2E999A63">
      <w:pPr>
        <w:ind w:firstLine="420" w:firstLineChars="200"/>
      </w:pPr>
      <w:r>
        <w:rPr>
          <w:rFonts w:hint="eastAsia"/>
        </w:rPr>
        <w:t>2020年莆田市市级为民办实事全民健身场地设施建设，新建6个多功能运动场、2个笼式篮球场、84套室外健身路径、110台室外乒乓球桌，共投入资金660万元。</w:t>
      </w:r>
    </w:p>
    <w:p w14:paraId="72433C5C">
      <w:pPr>
        <w:ind w:firstLine="420" w:firstLineChars="200"/>
      </w:pPr>
      <w:r>
        <w:rPr>
          <w:rFonts w:hint="eastAsia"/>
        </w:rPr>
        <w:t>根据莆田市“党建+”社区邻里中心标准化规范化建设要求，在17个试点社区高标准推进“党建+”社区邻里中心建设。同时根据场地实际，全市首套智能健身路径落地荔城区镇海街道阔口社区。全面打造开放、集约、共享的社区邻里“一刻钟”服务圈，满足人民群众日益增长的美好生活需要。</w:t>
      </w:r>
    </w:p>
    <w:p w14:paraId="332BFCD8">
      <w:pPr>
        <w:ind w:firstLine="420" w:firstLineChars="200"/>
      </w:pPr>
      <w:r>
        <w:rPr>
          <w:rFonts w:hint="eastAsia"/>
        </w:rPr>
        <w:t>（2）努力办好群众身边的活动赛事</w:t>
      </w:r>
    </w:p>
    <w:p w14:paraId="12359CA6">
      <w:pPr>
        <w:ind w:firstLine="420" w:firstLineChars="200"/>
      </w:pPr>
      <w:r>
        <w:t>①</w:t>
      </w:r>
      <w:r>
        <w:rPr>
          <w:rFonts w:hint="eastAsia"/>
        </w:rPr>
        <w:t>开展2020年全民健身日系列活动</w:t>
      </w:r>
    </w:p>
    <w:p w14:paraId="48578423">
      <w:pPr>
        <w:ind w:firstLine="420" w:firstLineChars="200"/>
      </w:pPr>
      <w:r>
        <w:rPr>
          <w:rFonts w:hint="eastAsia"/>
        </w:rPr>
        <w:t>组织开展市直机关干部八段锦表演，举行“健康中国，美丽莆田”广场舞大赛。来自全市各县区15支代表队的200名广场舞爱好者齐聚一堂，其中包括大众喜闻乐见的佳木斯、民族风情舞等各种风格的舞蹈，营造了浓厚的全民健身氛围。</w:t>
      </w:r>
    </w:p>
    <w:p w14:paraId="67113FFD">
      <w:pPr>
        <w:ind w:firstLine="420" w:firstLineChars="200"/>
      </w:pPr>
      <w:r>
        <w:t>②</w:t>
      </w:r>
      <w:r>
        <w:rPr>
          <w:rFonts w:hint="eastAsia"/>
        </w:rPr>
        <w:t>开展全民健身运动会相关工作</w:t>
      </w:r>
    </w:p>
    <w:p w14:paraId="497469A0">
      <w:pPr>
        <w:ind w:firstLine="420" w:firstLineChars="200"/>
      </w:pPr>
      <w:r>
        <w:rPr>
          <w:rFonts w:hint="eastAsia"/>
        </w:rPr>
        <w:t>2020年在全市举办面向群众的形式多样的全民健身运动赛事活动213场，参与人数65673人，市本级举办全民健身运动会25个比赛项目，包括篮球、足球、气排球、乒乓球、羽毛球、太极拳、广场舞等。进一步推动莆田市群众性赛事活动的开展，提升莆田市全民健身运动整体水平，推广充满正能量的健康生活方式。</w:t>
      </w:r>
    </w:p>
    <w:p w14:paraId="54D3CA50">
      <w:pPr>
        <w:ind w:firstLine="420" w:firstLineChars="200"/>
      </w:pPr>
      <w:r>
        <w:rPr>
          <w:rFonts w:hint="eastAsia"/>
        </w:rPr>
        <w:t>③为老年人活动中心和机关管理处购置健身器材</w:t>
      </w:r>
    </w:p>
    <w:p w14:paraId="649E5BC7">
      <w:pPr>
        <w:ind w:firstLine="420" w:firstLineChars="200"/>
      </w:pPr>
      <w:r>
        <w:rPr>
          <w:rFonts w:hint="eastAsia"/>
        </w:rPr>
        <w:t>2020年为老年人活动中心装修羽毛球场并购置五人站综合训练器、羽毛球拍、哑铃架组合等相关设备，为莆田市机关管理处购置一系列健身器材。</w:t>
      </w:r>
    </w:p>
    <w:p w14:paraId="058D78A6">
      <w:pPr>
        <w:ind w:firstLine="420" w:firstLineChars="200"/>
      </w:pPr>
      <w:bookmarkStart w:id="618" w:name="_Toc23295"/>
      <w:r>
        <w:rPr>
          <w:rFonts w:hint="eastAsia"/>
        </w:rPr>
        <w:t>绩效评价工作情况</w:t>
      </w:r>
      <w:bookmarkEnd w:id="618"/>
    </w:p>
    <w:p w14:paraId="4EA4B6D4">
      <w:pPr>
        <w:ind w:firstLine="420" w:firstLineChars="200"/>
      </w:pPr>
      <w:bookmarkStart w:id="619" w:name="_Toc18887"/>
      <w:r>
        <w:t>（一）绩效评价目的</w:t>
      </w:r>
      <w:bookmarkEnd w:id="619"/>
    </w:p>
    <w:p w14:paraId="0E1254BE">
      <w:pPr>
        <w:ind w:firstLine="420" w:firstLineChars="200"/>
      </w:pPr>
      <w:r>
        <w:rPr>
          <w:rFonts w:hint="eastAsia"/>
        </w:rPr>
        <w:t>根据财政支出项目设定的预期目标，选择合适的评价指标和标准，运用科学的评价方法，对资金使用全过程及其支出的产出效益和满意度等进行客观公正的综合评价，以衡量财政资金的使用绩效，分析检验支出项目是否达到预期目标。通过对2020年群众体育项目绩效实施评价，分析存在的问题及原因，有针对性地提出有效措施进一步改进和加强财政资金管理，不断提升财政资金科学化、精细化管理水平，提高单位行政效能，提升财政资金使用效益。</w:t>
      </w:r>
    </w:p>
    <w:p w14:paraId="2AD550A3">
      <w:pPr>
        <w:ind w:firstLine="420" w:firstLineChars="200"/>
      </w:pPr>
      <w:bookmarkStart w:id="620" w:name="_Toc32693"/>
      <w:r>
        <w:t>（二）绩效评价对象</w:t>
      </w:r>
      <w:bookmarkEnd w:id="620"/>
    </w:p>
    <w:p w14:paraId="7821D0D7">
      <w:pPr>
        <w:ind w:firstLine="420" w:firstLineChars="200"/>
      </w:pPr>
      <w:r>
        <w:rPr>
          <w:rFonts w:hint="eastAsia"/>
        </w:rPr>
        <w:t>本绩效评价对象为群众体育项目。</w:t>
      </w:r>
    </w:p>
    <w:p w14:paraId="3110B1DE">
      <w:pPr>
        <w:ind w:firstLine="420" w:firstLineChars="200"/>
      </w:pPr>
      <w:r>
        <w:rPr>
          <w:rFonts w:hint="eastAsia"/>
        </w:rPr>
        <w:t>（三）评价依据</w:t>
      </w:r>
    </w:p>
    <w:p w14:paraId="33B40781">
      <w:pPr>
        <w:ind w:firstLine="420" w:firstLineChars="200"/>
      </w:pPr>
      <w:r>
        <w:rPr>
          <w:rFonts w:hint="eastAsia"/>
        </w:rPr>
        <w:t>（1）《中华人民共和国预算法》</w:t>
      </w:r>
    </w:p>
    <w:p w14:paraId="01DB04EC">
      <w:pPr>
        <w:ind w:firstLine="420" w:firstLineChars="200"/>
      </w:pPr>
      <w:r>
        <w:rPr>
          <w:rFonts w:hint="eastAsia"/>
        </w:rPr>
        <w:t>（2）《项目支出绩效评价管理办法》（财预[2020]10号）</w:t>
      </w:r>
    </w:p>
    <w:p w14:paraId="01B9157B">
      <w:pPr>
        <w:ind w:firstLine="420" w:firstLineChars="200"/>
      </w:pPr>
      <w:r>
        <w:rPr>
          <w:rFonts w:hint="eastAsia"/>
        </w:rPr>
        <w:t>（3）《福建省财政厅关于印发财政支出绩效评价管理办法》（闽财绩[2015]4号）</w:t>
      </w:r>
    </w:p>
    <w:p w14:paraId="2A046585">
      <w:pPr>
        <w:ind w:firstLine="420" w:firstLineChars="200"/>
      </w:pPr>
      <w:r>
        <w:rPr>
          <w:rFonts w:hint="eastAsia"/>
        </w:rPr>
        <w:t>（4）《福建省财政厅关于加强和改进绩效管理有关工作的通知》（闽财绩[2017]4号）</w:t>
      </w:r>
    </w:p>
    <w:p w14:paraId="343B2867">
      <w:pPr>
        <w:ind w:firstLine="420" w:firstLineChars="200"/>
      </w:pPr>
      <w:r>
        <w:rPr>
          <w:rFonts w:hint="eastAsia"/>
        </w:rPr>
        <w:t>（5）《关于财政资金绩效管理覆盖率考核事项的通知》（闽财绩[2018]1号）</w:t>
      </w:r>
    </w:p>
    <w:p w14:paraId="274080B3">
      <w:pPr>
        <w:ind w:firstLine="420" w:firstLineChars="200"/>
      </w:pPr>
      <w:r>
        <w:rPr>
          <w:rFonts w:hint="eastAsia"/>
        </w:rPr>
        <w:t>（6）《莆田市市级财政预算绩效目标管理暂行办法》(莆财绩[2019]8号)</w:t>
      </w:r>
    </w:p>
    <w:p w14:paraId="6AFC00F5">
      <w:pPr>
        <w:ind w:firstLine="420" w:firstLineChars="200"/>
      </w:pPr>
      <w:r>
        <w:rPr>
          <w:rFonts w:hint="eastAsia"/>
        </w:rPr>
        <w:t>（7）《福建省财政支出绩效评价管理办法》（闽财绩[2015]4号）</w:t>
      </w:r>
    </w:p>
    <w:p w14:paraId="08FF6E2F">
      <w:pPr>
        <w:ind w:firstLine="420" w:firstLineChars="200"/>
      </w:pPr>
      <w:r>
        <w:rPr>
          <w:rFonts w:hint="eastAsia"/>
        </w:rPr>
        <w:t>（8）《福建省预算绩效目标管理暂行办法》（闽财绩[2014]2号）</w:t>
      </w:r>
    </w:p>
    <w:p w14:paraId="1D0EE7A9">
      <w:pPr>
        <w:ind w:firstLine="420" w:firstLineChars="200"/>
      </w:pPr>
      <w:r>
        <w:rPr>
          <w:rFonts w:hint="eastAsia"/>
        </w:rPr>
        <w:t>（9）《全民健身计划（2016-2020年）》</w:t>
      </w:r>
    </w:p>
    <w:p w14:paraId="7706B8E0">
      <w:pPr>
        <w:ind w:firstLine="420" w:firstLineChars="200"/>
      </w:pPr>
      <w:r>
        <w:rPr>
          <w:rFonts w:hint="eastAsia"/>
        </w:rPr>
        <w:t>（10）《福建省全民健身实施计划（2016-2020年）》（闽政〔2016〕43 号）</w:t>
      </w:r>
    </w:p>
    <w:p w14:paraId="4A2A64A2">
      <w:pPr>
        <w:ind w:firstLine="420" w:firstLineChars="200"/>
      </w:pPr>
      <w:r>
        <w:rPr>
          <w:rFonts w:hint="eastAsia"/>
        </w:rPr>
        <w:t>（11）《莆田市“十三五”体育发展专项规划》（莆政办[2016]171号）</w:t>
      </w:r>
    </w:p>
    <w:p w14:paraId="4C40B3E1">
      <w:pPr>
        <w:ind w:firstLine="420" w:firstLineChars="200"/>
      </w:pPr>
      <w:r>
        <w:rPr>
          <w:rFonts w:hint="eastAsia"/>
        </w:rPr>
        <w:t>（12）《莆田市全民健身实施计划（2016-2020年）》（莆政综[2016]165号）</w:t>
      </w:r>
    </w:p>
    <w:p w14:paraId="5D7B940F">
      <w:pPr>
        <w:ind w:firstLine="420" w:firstLineChars="200"/>
      </w:pPr>
      <w:bookmarkStart w:id="621" w:name="_Toc7672"/>
      <w:r>
        <w:rPr>
          <w:rFonts w:hint="eastAsia"/>
        </w:rPr>
        <w:t>（四）绩效评价原则、评价方法、评价流程</w:t>
      </w:r>
      <w:bookmarkEnd w:id="621"/>
    </w:p>
    <w:p w14:paraId="0FA6D672">
      <w:pPr>
        <w:ind w:firstLine="420" w:firstLineChars="200"/>
      </w:pPr>
      <w:r>
        <w:rPr>
          <w:rFonts w:hint="eastAsia"/>
        </w:rPr>
        <w:t>1.绩效评价原则</w:t>
      </w:r>
    </w:p>
    <w:p w14:paraId="69DC1AC1">
      <w:pPr>
        <w:ind w:firstLine="420" w:firstLineChars="200"/>
      </w:pPr>
      <w:r>
        <w:rPr>
          <w:rFonts w:hint="eastAsia"/>
        </w:rPr>
        <w:t>（1）相关性原则。应当与绩效目标有直接的联系，能够恰当反映目标的实现程度。</w:t>
      </w:r>
    </w:p>
    <w:p w14:paraId="5C732485">
      <w:pPr>
        <w:ind w:firstLine="420" w:firstLineChars="200"/>
      </w:pPr>
      <w:r>
        <w:rPr>
          <w:rFonts w:hint="eastAsia"/>
        </w:rPr>
        <w:t>（2）重要性原则。应当优先使用最具代表性、最能反映评价要求的核心指标。</w:t>
      </w:r>
    </w:p>
    <w:p w14:paraId="5C451A38">
      <w:pPr>
        <w:ind w:firstLine="420" w:firstLineChars="200"/>
      </w:pPr>
      <w:r>
        <w:rPr>
          <w:rFonts w:hint="eastAsia"/>
        </w:rPr>
        <w:t>（3）可比性原则。对同类评价对象要设定共性的绩效评价指标，以便于评价结果可以相互比较。</w:t>
      </w:r>
    </w:p>
    <w:p w14:paraId="4A032794">
      <w:pPr>
        <w:ind w:firstLine="420" w:firstLineChars="200"/>
      </w:pPr>
      <w:r>
        <w:rPr>
          <w:rFonts w:hint="eastAsia"/>
        </w:rPr>
        <w:t>（4）系统性原则。应当将定量指标与定性指标相结合，系统反映财政支出所产生的社会效益、经济效益、环境效益和可持续影响等。</w:t>
      </w:r>
    </w:p>
    <w:p w14:paraId="5B373183">
      <w:pPr>
        <w:ind w:firstLine="420" w:firstLineChars="200"/>
      </w:pPr>
      <w:r>
        <w:rPr>
          <w:rFonts w:hint="eastAsia"/>
        </w:rPr>
        <w:t>（5）经济性原则。应当通俗易懂、简便易行,数据的获得应当考虑现实条件和可操作性，符合成本效益原则。</w:t>
      </w:r>
    </w:p>
    <w:p w14:paraId="5F0A1445">
      <w:pPr>
        <w:ind w:firstLine="420" w:firstLineChars="200"/>
      </w:pPr>
      <w:r>
        <w:rPr>
          <w:rFonts w:hint="eastAsia"/>
        </w:rPr>
        <w:t>2.评价方法</w:t>
      </w:r>
    </w:p>
    <w:p w14:paraId="374C2289">
      <w:pPr>
        <w:ind w:firstLine="420" w:firstLineChars="200"/>
      </w:pPr>
      <w:r>
        <w:rPr>
          <w:rFonts w:hint="eastAsia"/>
        </w:rPr>
        <w:t>根据财政部《项目支出绩效评价管理办法》(财预[2020]第10号)规定的绩效评价方法，2020年群众体育项目绩效评价主要采用比较法、公众评判法和目标评价法。</w:t>
      </w:r>
    </w:p>
    <w:p w14:paraId="7D34BDEB">
      <w:pPr>
        <w:ind w:firstLine="420" w:firstLineChars="200"/>
      </w:pPr>
      <w:r>
        <w:rPr>
          <w:rFonts w:hint="eastAsia"/>
        </w:rPr>
        <w:t>（1）比较法</w:t>
      </w:r>
    </w:p>
    <w:p w14:paraId="0FAAAD75">
      <w:pPr>
        <w:ind w:firstLine="420" w:firstLineChars="200"/>
      </w:pPr>
      <w:r>
        <w:rPr>
          <w:rFonts w:hint="eastAsia"/>
        </w:rPr>
        <w:t>指通过实际支出、实施效果等与绩效目标、历史情况、不同地区同类支出等的比较，综合分析绩效目标实现程度。2020年群众体育项目绩效评价将以资金拨付用途要求为标准，将项目执行单位实际产出数量、产出质量与绩效目标相比较，综合分析绩效目标实现程度。</w:t>
      </w:r>
    </w:p>
    <w:p w14:paraId="4BA3D2B5">
      <w:pPr>
        <w:ind w:firstLine="420" w:firstLineChars="200"/>
      </w:pPr>
      <w:r>
        <w:rPr>
          <w:rFonts w:hint="eastAsia"/>
        </w:rPr>
        <w:t>（2）公众评判法</w:t>
      </w:r>
    </w:p>
    <w:p w14:paraId="6992FF30">
      <w:pPr>
        <w:ind w:firstLine="420" w:firstLineChars="200"/>
      </w:pPr>
      <w:r>
        <w:rPr>
          <w:rFonts w:hint="eastAsia"/>
        </w:rPr>
        <w:t>指通过专家评估、公众问卷及抽样调查等对财政资金效果进行评判，评价绩效目标实现程度。群众满意度即通过问卷调查方式获取相关数据资料。通过问卷回答情况，了解群众的真实感受，从而对该专项资金支出的社会效益和满意度进行评判。</w:t>
      </w:r>
    </w:p>
    <w:p w14:paraId="48C6AF40">
      <w:pPr>
        <w:ind w:firstLine="420" w:firstLineChars="200"/>
      </w:pPr>
      <w:r>
        <w:rPr>
          <w:rFonts w:hint="eastAsia"/>
        </w:rPr>
        <w:t>（3）现场评价法</w:t>
      </w:r>
    </w:p>
    <w:p w14:paraId="23F8288F">
      <w:pPr>
        <w:ind w:firstLine="420" w:firstLineChars="200"/>
      </w:pPr>
      <w:r>
        <w:rPr>
          <w:rFonts w:hint="eastAsia"/>
        </w:rPr>
        <w:t>现场评价工作组与项目实施的相关单位，包括自评单位、项目实施单位等进行深入沟通交流，实事求是核查其财务情况、项目管理情况和绩效表现等相关资料，对项目进行核实。</w:t>
      </w:r>
    </w:p>
    <w:p w14:paraId="14AAB657">
      <w:pPr>
        <w:ind w:firstLine="420" w:firstLineChars="200"/>
      </w:pPr>
      <w:r>
        <w:rPr>
          <w:rFonts w:hint="eastAsia"/>
        </w:rPr>
        <w:t>3.评价流程</w:t>
      </w:r>
    </w:p>
    <w:p w14:paraId="7579C35A">
      <w:pPr>
        <w:ind w:firstLine="420" w:firstLineChars="200"/>
      </w:pPr>
      <w:r>
        <w:rPr>
          <w:rFonts w:hint="eastAsia"/>
        </w:rPr>
        <w:t>评价流程分前期准备、书面评审、现场评价、综合分析、提交报告五个阶段实施，具体安排如下：</w:t>
      </w:r>
    </w:p>
    <w:p w14:paraId="67595ECC">
      <w:pPr>
        <w:ind w:firstLine="420" w:firstLineChars="200"/>
      </w:pPr>
      <w:r>
        <w:rPr>
          <w:rFonts w:hint="eastAsia"/>
        </w:rPr>
        <w:t>（1）前期准备</w:t>
      </w:r>
    </w:p>
    <w:p w14:paraId="5CA67E1C">
      <w:pPr>
        <w:ind w:firstLine="420" w:firstLineChars="200"/>
      </w:pPr>
      <w:r>
        <w:rPr>
          <w:rFonts w:hint="eastAsia"/>
        </w:rPr>
        <w:t>一是单位对接。莆田学院财政绩效管理研究中心在莆田市财政局安排下，与被评价单位对接，了解项目资金、绩效情况。二是资料收集。收集与本次评价相关的资料，包括项目绩效自评，及相关佐证资料。</w:t>
      </w:r>
    </w:p>
    <w:p w14:paraId="36BC9AA8">
      <w:pPr>
        <w:ind w:firstLine="420" w:firstLineChars="200"/>
      </w:pPr>
      <w:r>
        <w:rPr>
          <w:rFonts w:hint="eastAsia"/>
        </w:rPr>
        <w:t>（2）书面评审</w:t>
      </w:r>
    </w:p>
    <w:p w14:paraId="238E765C">
      <w:pPr>
        <w:ind w:firstLine="420" w:firstLineChars="200"/>
      </w:pPr>
      <w:r>
        <w:rPr>
          <w:rFonts w:hint="eastAsia"/>
        </w:rPr>
        <w:t>资料收集齐全后，莆田学院财政绩效管理研究中心对材料进行梳理和审核，并形成书面审核意见。目的在于审查被评价单位报送资料的完整性、规范性和内容的真实性，重点考察项目支出的绩效，与现场考察结果形成对照，从中发现差异与问题。</w:t>
      </w:r>
    </w:p>
    <w:p w14:paraId="5E8F1D17">
      <w:pPr>
        <w:ind w:firstLine="420" w:firstLineChars="200"/>
      </w:pPr>
      <w:r>
        <w:rPr>
          <w:rFonts w:hint="eastAsia"/>
        </w:rPr>
        <w:t>（3）现场评价</w:t>
      </w:r>
    </w:p>
    <w:p w14:paraId="19101815">
      <w:pPr>
        <w:ind w:firstLine="420" w:firstLineChars="200"/>
      </w:pPr>
      <w:r>
        <w:rPr>
          <w:rFonts w:hint="eastAsia"/>
        </w:rPr>
        <w:t>评价小组到被评价单位开展现场评价，了解项目支出情况，并查阅与资金申请、支出、工作开展等有关的资料。</w:t>
      </w:r>
    </w:p>
    <w:p w14:paraId="62F2AC0D">
      <w:pPr>
        <w:ind w:firstLine="420" w:firstLineChars="200"/>
      </w:pPr>
      <w:r>
        <w:rPr>
          <w:rFonts w:hint="eastAsia"/>
        </w:rPr>
        <w:t>（4）综合分析</w:t>
      </w:r>
    </w:p>
    <w:p w14:paraId="711F6A60">
      <w:pPr>
        <w:ind w:firstLine="420" w:firstLineChars="200"/>
      </w:pPr>
      <w:r>
        <w:rPr>
          <w:rFonts w:hint="eastAsia"/>
        </w:rPr>
        <w:t>评价小组对采集的基础数据资料进行整理汇总，结合现场核查情况，对项目绩效进行全面分析，形成初步评价意见。</w:t>
      </w:r>
    </w:p>
    <w:p w14:paraId="650C9656">
      <w:pPr>
        <w:ind w:firstLine="420" w:firstLineChars="200"/>
      </w:pPr>
      <w:r>
        <w:rPr>
          <w:rFonts w:hint="eastAsia"/>
        </w:rPr>
        <w:t>（5）提交报告</w:t>
      </w:r>
    </w:p>
    <w:p w14:paraId="5005D5E4">
      <w:pPr>
        <w:ind w:firstLine="420" w:firstLineChars="200"/>
      </w:pPr>
      <w:r>
        <w:rPr>
          <w:rFonts w:hint="eastAsia"/>
        </w:rPr>
        <w:t>①编写报告初稿</w:t>
      </w:r>
    </w:p>
    <w:p w14:paraId="1856F286">
      <w:pPr>
        <w:ind w:firstLine="420" w:firstLineChars="200"/>
      </w:pPr>
      <w:r>
        <w:rPr>
          <w:rFonts w:hint="eastAsia"/>
        </w:rPr>
        <w:t>根据综合评价结果，编写《绩效评价报告》，报告撰写的内容包括项目基本情况、资金使用情况、过程管理情况、绩效实施效果、存在问题和具体改进措施及建议等。</w:t>
      </w:r>
    </w:p>
    <w:p w14:paraId="203A5F9C">
      <w:pPr>
        <w:ind w:firstLine="420" w:firstLineChars="200"/>
      </w:pPr>
      <w:r>
        <w:rPr>
          <w:rFonts w:hint="eastAsia"/>
        </w:rPr>
        <w:t>②提交正式报告</w:t>
      </w:r>
    </w:p>
    <w:p w14:paraId="16BD46C9">
      <w:pPr>
        <w:ind w:firstLine="420" w:firstLineChars="200"/>
      </w:pPr>
      <w:r>
        <w:rPr>
          <w:rFonts w:hint="eastAsia"/>
        </w:rPr>
        <w:t>根据莆田市财政局和被评价单位的反馈意见，莆田学院财政绩效管理研究中心研究、修订并提交正式报告。</w:t>
      </w:r>
    </w:p>
    <w:p w14:paraId="3F921819">
      <w:pPr>
        <w:ind w:firstLine="420" w:firstLineChars="200"/>
      </w:pPr>
      <w:bookmarkStart w:id="622" w:name="_Toc2022"/>
      <w:r>
        <w:t>（五）数据收集方法</w:t>
      </w:r>
      <w:bookmarkEnd w:id="622"/>
    </w:p>
    <w:p w14:paraId="08461A31">
      <w:pPr>
        <w:ind w:firstLine="420" w:firstLineChars="200"/>
      </w:pPr>
      <w:r>
        <w:rPr>
          <w:rFonts w:hint="eastAsia"/>
        </w:rPr>
        <w:t>（1）案卷研究法</w:t>
      </w:r>
    </w:p>
    <w:p w14:paraId="64153809">
      <w:pPr>
        <w:ind w:firstLine="420" w:firstLineChars="200"/>
      </w:pPr>
      <w:r>
        <w:rPr>
          <w:rFonts w:hint="eastAsia"/>
        </w:rPr>
        <w:t>从现有的项目文件、国家和地方的发展政策和战略规划、各种相关的研究和咨询报告等文档资料中寻找数据，并对同一绩效评价指标在不同文件中的数据进行对比核实，最后确定选择使用的数据。</w:t>
      </w:r>
    </w:p>
    <w:p w14:paraId="00BE68B9">
      <w:pPr>
        <w:ind w:firstLine="420" w:firstLineChars="200"/>
      </w:pPr>
      <w:r>
        <w:rPr>
          <w:rFonts w:hint="eastAsia"/>
        </w:rPr>
        <w:t>（2）资料收集与数据填报</w:t>
      </w:r>
    </w:p>
    <w:p w14:paraId="55E570AD">
      <w:pPr>
        <w:ind w:firstLine="420" w:firstLineChars="200"/>
      </w:pPr>
      <w:r>
        <w:rPr>
          <w:rFonts w:hint="eastAsia"/>
        </w:rPr>
        <w:t>根据评价对象的具体情况向预算部门和资金使用单位收集相关资料。</w:t>
      </w:r>
    </w:p>
    <w:p w14:paraId="5BFA5F44">
      <w:pPr>
        <w:ind w:firstLine="420" w:firstLineChars="200"/>
      </w:pPr>
      <w:r>
        <w:rPr>
          <w:rFonts w:hint="eastAsia"/>
        </w:rPr>
        <w:t>（3）实地调研</w:t>
      </w:r>
    </w:p>
    <w:p w14:paraId="55EBD65F">
      <w:pPr>
        <w:ind w:firstLine="420" w:firstLineChars="200"/>
      </w:pPr>
      <w:r>
        <w:rPr>
          <w:rFonts w:hint="eastAsia"/>
        </w:rPr>
        <w:t>首先从项目利益相关方中确定访谈对象，包括项目的管理人员、实施人员、项目受益者及参与项目立项、决策、实施、管理的行业专家，根据调查的内容范围和主要问题，设计访谈提纲并开展访谈；其次通过现场询问、核对、勘查、检查等方法进行调查，获取绩效评价业务需要的基础资料，调研结束后将调研记录进行整理与分析并形成调研记录。</w:t>
      </w:r>
    </w:p>
    <w:p w14:paraId="5415AEF1">
      <w:pPr>
        <w:ind w:firstLine="420" w:firstLineChars="200"/>
        <w:outlineLvl w:val="0"/>
      </w:pPr>
      <w:bookmarkStart w:id="623" w:name="_Toc1872"/>
      <w:bookmarkStart w:id="624" w:name="_Toc23929"/>
      <w:r>
        <w:t>三、绩效评价指标体系设计</w:t>
      </w:r>
      <w:bookmarkEnd w:id="623"/>
      <w:bookmarkEnd w:id="624"/>
    </w:p>
    <w:p w14:paraId="790187F0">
      <w:pPr>
        <w:ind w:firstLine="420" w:firstLineChars="200"/>
      </w:pPr>
      <w:bookmarkStart w:id="625" w:name="_Toc24214"/>
      <w:r>
        <w:t>（一）评价指标设计依据</w:t>
      </w:r>
      <w:bookmarkEnd w:id="625"/>
    </w:p>
    <w:p w14:paraId="7ED39742">
      <w:pPr>
        <w:ind w:firstLine="420" w:firstLineChars="200"/>
      </w:pPr>
      <w:r>
        <w:rPr>
          <w:rFonts w:hint="eastAsia"/>
        </w:rPr>
        <w:t>该项目绩效评价指标是在参考财政部印发的《预算绩效评价共性指标体系》（财预[2013]53号）、《项目支出绩效评价管理办法》（财预[2020]10号）和中国资产评估协会印发的《财政支出（项目支出）绩效评价操作指引（试行）》（中评协[2014]70号）等文件的基础上，结合项目特点进行指标和分值设定。绩效评价指标体系设定遵循相关性、重要性、可比性、系统性和经济性原则，评价小组根据绩效评价对象和内容优先使用最具代表性、最能反映评价要求的核心指标，确保绩效评价指标体系设定与绩效目标有直接的联系，能够综合反映项目所产生的社会效益、经济效益和可持续影响，且保证数据的获得充分考虑现实条件和可操作性。</w:t>
      </w:r>
    </w:p>
    <w:p w14:paraId="5780DD63">
      <w:pPr>
        <w:ind w:firstLine="420" w:firstLineChars="200"/>
      </w:pPr>
      <w:bookmarkStart w:id="626" w:name="_Toc25073"/>
      <w:r>
        <w:t>（二）绩效评价指标与评价标准</w:t>
      </w:r>
      <w:bookmarkEnd w:id="626"/>
    </w:p>
    <w:p w14:paraId="1C38848A">
      <w:pPr>
        <w:ind w:firstLine="420" w:firstLineChars="200"/>
      </w:pPr>
      <w:r>
        <w:rPr>
          <w:rFonts w:hint="eastAsia"/>
        </w:rPr>
        <w:t>绩效评价指标体系包括3个一级指标，即项目决策、项目管理和项目绩效，总分值为100分。其中项目决策包括立项合理性一个二级指标，并细分为4个三级指标，分值为16分；项目管理包括投入管理、财务管理和项目实施3个二级指标，并细分为6个三级指标，分值为21分；项目绩效包括产出时效、产出数量、产出质量、产出效益、可持续影响指标和服务对象满意度6个二级指标，并细分为15个三级指标，分值为63分。绩效评价组对三级指标进行解释，说明指标设置的目的和评价的内容，同时规定明确、可量化的评分方法。</w:t>
      </w:r>
    </w:p>
    <w:p w14:paraId="7CDAA75E">
      <w:pPr>
        <w:ind w:firstLine="420" w:firstLineChars="200"/>
      </w:pPr>
      <w:r>
        <w:rPr>
          <w:rFonts w:hint="eastAsia"/>
        </w:rPr>
        <w:t>具体的绩效评价指标体系如附件1所示。</w:t>
      </w:r>
    </w:p>
    <w:p w14:paraId="68A2BF02">
      <w:pPr>
        <w:ind w:firstLine="420" w:firstLineChars="200"/>
        <w:outlineLvl w:val="0"/>
      </w:pPr>
      <w:bookmarkStart w:id="627" w:name="_Toc23103"/>
      <w:bookmarkStart w:id="628" w:name="_Toc24383"/>
      <w:r>
        <w:t>四、绩效分析及绩效评价结论</w:t>
      </w:r>
      <w:bookmarkEnd w:id="627"/>
      <w:bookmarkEnd w:id="628"/>
    </w:p>
    <w:p w14:paraId="26434235">
      <w:pPr>
        <w:ind w:firstLine="420" w:firstLineChars="200"/>
      </w:pPr>
      <w:bookmarkStart w:id="629" w:name="_Toc16101"/>
      <w:r>
        <w:t>（一）绩效分析</w:t>
      </w:r>
      <w:bookmarkEnd w:id="629"/>
    </w:p>
    <w:p w14:paraId="18934CC6">
      <w:pPr>
        <w:ind w:firstLine="420" w:firstLineChars="200"/>
      </w:pPr>
      <w:r>
        <w:rPr>
          <w:rFonts w:hint="eastAsia"/>
        </w:rPr>
        <w:t>绩效评价组秉承客观、公正、准确的原则对被评价项目进行绩效分析和综合评分，针对评价中发现的问题提出意见和建议，最终形成绩效评价结果。</w:t>
      </w:r>
    </w:p>
    <w:p w14:paraId="0A1C4A5F">
      <w:pPr>
        <w:ind w:firstLine="420" w:firstLineChars="200"/>
      </w:pPr>
      <w:r>
        <w:t>1</w:t>
      </w:r>
      <w:r>
        <w:rPr>
          <w:rFonts w:hint="eastAsia"/>
        </w:rPr>
        <w:t>.</w:t>
      </w:r>
      <w:r>
        <w:t>项目决策（满分1</w:t>
      </w:r>
      <w:r>
        <w:rPr>
          <w:rFonts w:hint="eastAsia"/>
        </w:rPr>
        <w:t>6</w:t>
      </w:r>
      <w:r>
        <w:t>分，得分</w:t>
      </w:r>
      <w:r>
        <w:rPr>
          <w:rFonts w:hint="eastAsia"/>
        </w:rPr>
        <w:t>14</w:t>
      </w:r>
      <w:r>
        <w:t>分）</w:t>
      </w:r>
    </w:p>
    <w:p w14:paraId="414DA83F">
      <w:pPr>
        <w:ind w:firstLine="420" w:firstLineChars="200"/>
      </w:pPr>
      <w:r>
        <w:rPr>
          <w:rFonts w:hint="eastAsia"/>
        </w:rPr>
        <w:t>立项合理性</w:t>
      </w:r>
      <w:r>
        <w:t>（满分1</w:t>
      </w:r>
      <w:r>
        <w:rPr>
          <w:rFonts w:hint="eastAsia"/>
        </w:rPr>
        <w:t>6</w:t>
      </w:r>
      <w:r>
        <w:t>分，得分</w:t>
      </w:r>
      <w:r>
        <w:rPr>
          <w:rFonts w:hint="eastAsia"/>
        </w:rPr>
        <w:t>14</w:t>
      </w:r>
      <w:r>
        <w:t>分）</w:t>
      </w:r>
    </w:p>
    <w:p w14:paraId="7FEA8750">
      <w:pPr>
        <w:ind w:firstLine="420" w:firstLineChars="200"/>
      </w:pPr>
      <w:r>
        <w:t>①</w:t>
      </w:r>
      <w:r>
        <w:rPr>
          <w:rFonts w:hint="eastAsia"/>
        </w:rPr>
        <w:t>立项依据充分性（满分4分，得分4分）</w:t>
      </w:r>
    </w:p>
    <w:p w14:paraId="5B671D4B">
      <w:pPr>
        <w:ind w:firstLine="420" w:firstLineChars="200"/>
      </w:pPr>
      <w:r>
        <w:rPr>
          <w:rFonts w:hint="eastAsia"/>
        </w:rPr>
        <w:t>根据国务院《全民健身计划（2016-2020年）》、《福建省全民健身实施计划（2016-2020年）》（闽政[2016]43 号）、《国民经济和社会发展第十三个五年规划纲要》、《莆田市人民政府办公室关于印发莆田市“十三五”体育发展专项规划》（莆政办[2016]171号）、《莆田市全民健身实施计划（2016-2020年）》（莆政综[2016]165号）、《中共莆田市委机构编制委员会关于印发莆田市体育局主要职责内设机构和人员编制规定的通知》（莆委编[2011]40号）等文件。本项目符合国家法律法规、国民经济发展规划和相关政策，行业发展规划和政策要求，与体育局部门职责范围相符，属于公共财政支持范围，符合中央、地方事权支出责任划分原则；通过资料查证，本项目与部门内其他项目没有重复。本项目立项依据充分，符合现行政策导向。根据评分标准，立项依据充分性指标得4分。</w:t>
      </w:r>
    </w:p>
    <w:p w14:paraId="0C2A9495">
      <w:pPr>
        <w:ind w:firstLine="420" w:firstLineChars="200"/>
      </w:pPr>
      <w:r>
        <w:t>②项目立项的规范性</w:t>
      </w:r>
      <w:r>
        <w:rPr>
          <w:rFonts w:hint="eastAsia"/>
        </w:rPr>
        <w:t>（满分3分，得分3分）</w:t>
      </w:r>
    </w:p>
    <w:p w14:paraId="01A544C2">
      <w:pPr>
        <w:ind w:firstLine="420" w:firstLineChars="200"/>
      </w:pPr>
      <w:r>
        <w:rPr>
          <w:rFonts w:hint="eastAsia"/>
        </w:rPr>
        <w:t>根据《彩票管理条例》、《彩票管理条例实施细则》以及总局反腐倡廉和推进廉政风险防控工作的要求，为加强体育事业彩票公益金管理，明确管理责任，规范管理程序，充分发挥资金使用效益，国家体育总局制定了《国家体育总局彩票公益金使用管理规定（暂行）》。根据财政部、民政部印发的</w:t>
      </w:r>
      <w:r>
        <w:t>《中央集中彩票公益金支持社会福利事业资金使用管理办法》和民政部办公厅印发的《民政部彩票公益金使用管理办法》等有关规定，</w:t>
      </w:r>
      <w:r>
        <w:rPr>
          <w:rFonts w:hint="eastAsia"/>
        </w:rPr>
        <w:t>为加强民政厅彩票公益金使用管理，明确管理责任，规范管理程序，提高资金使用效益，福建省民政厅</w:t>
      </w:r>
      <w:r>
        <w:t>制定</w:t>
      </w:r>
      <w:r>
        <w:rPr>
          <w:rFonts w:hint="eastAsia"/>
        </w:rPr>
        <w:t>《福建省民政厅彩票公益金使用管理暂行办法》（闽民计[2018]185号）</w:t>
      </w:r>
      <w:r>
        <w:t>。</w:t>
      </w:r>
      <w:r>
        <w:rPr>
          <w:rFonts w:hint="eastAsia"/>
        </w:rPr>
        <w:t>2019年9月16日莆田市体育局提交了《2020年度项目事前评估申报表》。本项目立项是按照规定的程序申请设立，所提交的文件、材料符合相关要求，申报程序规范，材料完整，逻辑合理。根据评分标准，项目立项的规范性得3分。</w:t>
      </w:r>
    </w:p>
    <w:p w14:paraId="43C0B357">
      <w:pPr>
        <w:ind w:firstLine="420" w:firstLineChars="200"/>
      </w:pPr>
      <w:r>
        <w:t>③</w:t>
      </w:r>
      <w:r>
        <w:rPr>
          <w:rFonts w:hint="eastAsia"/>
        </w:rPr>
        <w:t>绩效目标的合理性（满分5分，得分3分）</w:t>
      </w:r>
    </w:p>
    <w:p w14:paraId="179356D2">
      <w:pPr>
        <w:ind w:firstLine="420" w:firstLineChars="200"/>
      </w:pPr>
      <w:r>
        <w:rPr>
          <w:rFonts w:hint="eastAsia"/>
        </w:rPr>
        <w:t>本项目绩效目标符合《福建省全民健身实施计划（2016-2020年）》（闽政[2016]43 号）、《莆田市“十三五”体育发展专项规划》（莆政办[2016]171号）、《莆田市全民健身实施计划（2016-2020年）》（莆政综[2016]165号）、《莆田市体育局2020年工作要点》、《2020年莆田市全民健身运动会实施方案》文件要求，属于莆田市体育局职责范围，且预计成果符合正常的业绩水平。但项目绩效申报表中社会效益指标的参与群众体育赛事活动人次，无法准确统计，只能估计大概人数，且参加体育赛事的人次目标值与实际完成值差距较大。根据评分标准，绩效目标的合理性扣2分，得3分。</w:t>
      </w:r>
    </w:p>
    <w:p w14:paraId="3EA14388">
      <w:pPr>
        <w:ind w:firstLine="420" w:firstLineChars="200"/>
      </w:pPr>
      <w:r>
        <w:t>④绩效指标的明确性</w:t>
      </w:r>
      <w:r>
        <w:rPr>
          <w:rFonts w:hint="eastAsia"/>
        </w:rPr>
        <w:t>（满分4分，得分4分）</w:t>
      </w:r>
    </w:p>
    <w:p w14:paraId="315559E4">
      <w:pPr>
        <w:ind w:firstLine="420" w:firstLineChars="200"/>
      </w:pPr>
      <w:r>
        <w:rPr>
          <w:rFonts w:hint="eastAsia"/>
        </w:rPr>
        <w:t>从莆田市体育局提供的《专项资金绩效目标表》、《预算项目绩效监控情况表》、《专项资金绩效自评表》可以看出，项目绩效目标由总体目标细化分解为具体的绩效指标，计划书与实际数相对应，且指标清晰、可量化，并与预算投资额相匹配。根据评分标准，绩效指标的明确性得4分。</w:t>
      </w:r>
    </w:p>
    <w:p w14:paraId="684A6E3F">
      <w:pPr>
        <w:ind w:firstLine="420" w:firstLineChars="200"/>
      </w:pPr>
      <w:r>
        <w:t>2</w:t>
      </w:r>
      <w:r>
        <w:rPr>
          <w:rFonts w:hint="eastAsia"/>
        </w:rPr>
        <w:t>.</w:t>
      </w:r>
      <w:r>
        <w:t>项目管理（满分</w:t>
      </w:r>
      <w:r>
        <w:rPr>
          <w:rFonts w:hint="eastAsia"/>
        </w:rPr>
        <w:t>21</w:t>
      </w:r>
      <w:r>
        <w:t>分，得分</w:t>
      </w:r>
      <w:r>
        <w:rPr>
          <w:rFonts w:hint="eastAsia"/>
        </w:rPr>
        <w:t>17.84</w:t>
      </w:r>
      <w:r>
        <w:t>分）</w:t>
      </w:r>
    </w:p>
    <w:p w14:paraId="73063A35">
      <w:pPr>
        <w:ind w:firstLine="420" w:firstLineChars="200"/>
      </w:pPr>
      <w:r>
        <w:rPr>
          <w:rFonts w:hint="eastAsia"/>
        </w:rPr>
        <w:t>项目管理指标从投入管理、财务管理和项目实施3个方面进行分析。</w:t>
      </w:r>
    </w:p>
    <w:p w14:paraId="6346823D">
      <w:pPr>
        <w:ind w:firstLine="420" w:firstLineChars="200"/>
      </w:pPr>
      <w:r>
        <w:rPr>
          <w:rFonts w:hint="eastAsia"/>
        </w:rPr>
        <w:t>（1）</w:t>
      </w:r>
      <w:r>
        <w:t>投入管理</w:t>
      </w:r>
      <w:r>
        <w:rPr>
          <w:rFonts w:hint="eastAsia"/>
        </w:rPr>
        <w:t>（满分4分，得分3.84分）</w:t>
      </w:r>
    </w:p>
    <w:p w14:paraId="3216D0CA">
      <w:pPr>
        <w:ind w:firstLine="420" w:firstLineChars="200"/>
      </w:pPr>
      <w:r>
        <w:t>预算执行率</w:t>
      </w:r>
      <w:r>
        <w:rPr>
          <w:rFonts w:hint="eastAsia"/>
        </w:rPr>
        <w:t>（满分4分，得分3.84分）</w:t>
      </w:r>
    </w:p>
    <w:p w14:paraId="295A4490">
      <w:pPr>
        <w:ind w:firstLine="420" w:firstLineChars="200"/>
      </w:pPr>
      <w:r>
        <w:rPr>
          <w:rFonts w:hint="eastAsia"/>
        </w:rPr>
        <w:t>根据预算下达文件及莆田市体育局提供的数据，2020年群众体育项目实际到位资金800.8万元，实际支出的预算资金764.98万元，包括：（1）2020年市级为民办实事项目全民健身场地设施建设660万元；（2）莆田市老年人活动中心健身器材采购19.6688万元；（3）举办2020年全民健身日系列活动11.321万元；（4）举办全民健身运动会58万元；（5）荔城区阔口社区“党建+”社区邻里中心体育设施建设15万元；（6）市机关管理处健身器材采购0.9912万元。预算执行率=764.98/800.8*100%＝96%。根据评价标准，得分=预算执行率*权重分值=96%*4=3.84，预算执行率得3.84分。</w:t>
      </w:r>
    </w:p>
    <w:p w14:paraId="3A614347">
      <w:pPr>
        <w:ind w:firstLine="420" w:firstLineChars="200"/>
      </w:pPr>
      <w:r>
        <w:t>（2）财务管理</w:t>
      </w:r>
      <w:r>
        <w:rPr>
          <w:rFonts w:hint="eastAsia"/>
        </w:rPr>
        <w:t>（满分6分，得分6分）</w:t>
      </w:r>
    </w:p>
    <w:p w14:paraId="50945C94">
      <w:pPr>
        <w:ind w:firstLine="420" w:firstLineChars="200"/>
      </w:pPr>
      <w:r>
        <w:t>①</w:t>
      </w:r>
      <w:r>
        <w:rPr>
          <w:rFonts w:hint="eastAsia"/>
        </w:rPr>
        <w:t>资金使用合规性（满分4分，得分4分）</w:t>
      </w:r>
    </w:p>
    <w:p w14:paraId="13045A5D">
      <w:pPr>
        <w:ind w:firstLine="420" w:firstLineChars="200"/>
      </w:pPr>
      <w:r>
        <w:rPr>
          <w:rFonts w:hint="eastAsia"/>
        </w:rPr>
        <w:t>根据《国家体育总局彩票公益金使用管理规定（暂行）》、《中央集中彩票公益金支持体育专项资金管理办法》（财教[2020]69号）、《群众体育简介》、《莆田市财政局关于2020年度莆田市体育彩票公益金筹集使用情况的公告》资金管理办法以及调研结果表明，本项目资金使用符合规定、审批程序和手续完整、资金使用符合预算批复用途，且未发现截留、挤占、挪用或脱离监管等情况。根据评价标准，资金使用合规性得4分。</w:t>
      </w:r>
    </w:p>
    <w:p w14:paraId="4883085E">
      <w:pPr>
        <w:ind w:firstLine="420" w:firstLineChars="200"/>
      </w:pPr>
      <w:r>
        <w:t>②财务管理制度健全性</w:t>
      </w:r>
      <w:r>
        <w:rPr>
          <w:rFonts w:hint="eastAsia"/>
        </w:rPr>
        <w:t>（满分2分，得分2分）</w:t>
      </w:r>
    </w:p>
    <w:p w14:paraId="2BED5D9B">
      <w:pPr>
        <w:ind w:firstLine="420" w:firstLineChars="200"/>
      </w:pPr>
      <w:r>
        <w:rPr>
          <w:rFonts w:hint="eastAsia"/>
        </w:rPr>
        <w:t>《国家体育总局彩票公益金使用管理规定（暂行）》、《中央集中彩票公益金支持体育专项资金管理办法》（财教[2020]69号）、《群众体育简介》、《莆田市财政局关于2020年度莆田市体育彩票公益金筹集使用情况的公告》文件及莆田市体育局《内部运行管理暂行规定》，制定了内部控制工作制度、财务管理规定、政府采购管理办法、固定资产日产管理规定、财务报销规定、合同管理制度等。根据评价标准，财务管理制度健全性得2分。</w:t>
      </w:r>
    </w:p>
    <w:p w14:paraId="333AF95C">
      <w:pPr>
        <w:ind w:firstLine="420" w:firstLineChars="200"/>
      </w:pPr>
      <w:r>
        <w:t>（3）项目实施</w:t>
      </w:r>
      <w:r>
        <w:rPr>
          <w:rFonts w:hint="eastAsia"/>
        </w:rPr>
        <w:t>（满分11分，得分8分）</w:t>
      </w:r>
    </w:p>
    <w:p w14:paraId="3254DF46">
      <w:pPr>
        <w:ind w:firstLine="420" w:firstLineChars="200"/>
      </w:pPr>
      <w:r>
        <w:t>①管理制度</w:t>
      </w:r>
      <w:r>
        <w:rPr>
          <w:rFonts w:hint="eastAsia"/>
        </w:rPr>
        <w:t>的</w:t>
      </w:r>
      <w:r>
        <w:t>健全性</w:t>
      </w:r>
      <w:r>
        <w:rPr>
          <w:rFonts w:hint="eastAsia"/>
        </w:rPr>
        <w:t>（满分3分，得分0分）</w:t>
      </w:r>
    </w:p>
    <w:p w14:paraId="2687FD2F">
      <w:pPr>
        <w:ind w:firstLine="420" w:firstLineChars="200"/>
      </w:pPr>
      <w:r>
        <w:rPr>
          <w:rFonts w:hint="eastAsia"/>
        </w:rPr>
        <w:t>莆田市体育局仅制定了《内部运行管理暂行规定》，内容包括工作规则、局长办公会议议事规则、局工作例会规则、公文处理工作规则和效能建设制度等。但并未制定群众体育资金的具体管理制度。根据评价标准，管理制度的健全性得0分。</w:t>
      </w:r>
    </w:p>
    <w:p w14:paraId="7CBBCFD3">
      <w:pPr>
        <w:ind w:firstLine="420" w:firstLineChars="200"/>
      </w:pPr>
      <w:r>
        <w:t>②制度执行</w:t>
      </w:r>
      <w:r>
        <w:rPr>
          <w:rFonts w:hint="eastAsia"/>
        </w:rPr>
        <w:t>的</w:t>
      </w:r>
      <w:r>
        <w:t>有效性</w:t>
      </w:r>
      <w:r>
        <w:rPr>
          <w:rFonts w:hint="eastAsia"/>
        </w:rPr>
        <w:t>（满分4分，得分4分）</w:t>
      </w:r>
    </w:p>
    <w:p w14:paraId="63F03932">
      <w:pPr>
        <w:ind w:firstLine="420" w:firstLineChars="200"/>
      </w:pPr>
      <w:r>
        <w:rPr>
          <w:rFonts w:hint="eastAsia"/>
        </w:rPr>
        <w:t>莆田市体育局按照规定细化项目具体实施方案，并提供各项目的验收报告单。根据莆田市体育局提供政府采购验收报告单和2020年下乡检查场地建设情况照片，及绩效评价组的调研，本项目符合业务管理规定，项目验收报告齐全，项目检查实施到位，并在规定期限内完成。根据评价标准，制度执行的有效性得4分。</w:t>
      </w:r>
    </w:p>
    <w:p w14:paraId="72DB9704">
      <w:pPr>
        <w:ind w:firstLine="420" w:firstLineChars="200"/>
      </w:pPr>
      <w:r>
        <w:t>③</w:t>
      </w:r>
      <w:r>
        <w:rPr>
          <w:rFonts w:hint="eastAsia"/>
        </w:rPr>
        <w:t>项目质量的可控性（满分4分，得分4分）</w:t>
      </w:r>
    </w:p>
    <w:p w14:paraId="25D96ABB">
      <w:pPr>
        <w:ind w:firstLine="420" w:firstLineChars="200"/>
      </w:pPr>
      <w:r>
        <w:rPr>
          <w:rFonts w:hint="eastAsia"/>
        </w:rPr>
        <w:t>根据莆田市体育局提供的2020年下乡检查场地建设情况照片、《为民办实事进度汇总表》，以及市体育局为民办实事微信工作交流群的内容，莆田市体育局对项目进行了有效的监督和检查。根据评价标准，项目质量的可控性得4分。</w:t>
      </w:r>
    </w:p>
    <w:p w14:paraId="55E443FC">
      <w:pPr>
        <w:ind w:firstLine="420" w:firstLineChars="200"/>
      </w:pPr>
      <w:r>
        <w:t>3</w:t>
      </w:r>
      <w:r>
        <w:rPr>
          <w:rFonts w:hint="eastAsia"/>
        </w:rPr>
        <w:t>.</w:t>
      </w:r>
      <w:r>
        <w:t>项目绩效（满分</w:t>
      </w:r>
      <w:r>
        <w:rPr>
          <w:rFonts w:hint="eastAsia"/>
        </w:rPr>
        <w:t>63</w:t>
      </w:r>
      <w:r>
        <w:t>分，得分</w:t>
      </w:r>
      <w:r>
        <w:rPr>
          <w:rFonts w:hint="eastAsia"/>
        </w:rPr>
        <w:t>58.28</w:t>
      </w:r>
      <w:r>
        <w:t>分）</w:t>
      </w:r>
    </w:p>
    <w:p w14:paraId="148159D9">
      <w:pPr>
        <w:ind w:firstLine="420" w:firstLineChars="200"/>
      </w:pPr>
      <w:r>
        <w:rPr>
          <w:rFonts w:hint="eastAsia"/>
        </w:rPr>
        <w:t>项目绩效指标从产出时效、产出数量、产出质量、产出效益、可持续影响指标和服务对象满意度6个方面进行分析。</w:t>
      </w:r>
    </w:p>
    <w:p w14:paraId="590E2E7F">
      <w:pPr>
        <w:ind w:firstLine="420" w:firstLineChars="200"/>
      </w:pPr>
      <w:r>
        <w:rPr>
          <w:rFonts w:hint="eastAsia"/>
        </w:rPr>
        <w:t>（1）产出时效（满分4分，得分4分）</w:t>
      </w:r>
    </w:p>
    <w:p w14:paraId="07422232">
      <w:pPr>
        <w:ind w:firstLine="420" w:firstLineChars="200"/>
      </w:pPr>
      <w:r>
        <w:rPr>
          <w:rFonts w:hint="eastAsia"/>
        </w:rPr>
        <w:t>县区目标任务完成及时性（满分4分，得分4分）</w:t>
      </w:r>
    </w:p>
    <w:p w14:paraId="0E4B5056">
      <w:pPr>
        <w:ind w:firstLine="420" w:firstLineChars="200"/>
      </w:pPr>
      <w:r>
        <w:rPr>
          <w:rFonts w:hint="eastAsia"/>
        </w:rPr>
        <w:t>根据莆田市体育局提供的政府采购验收报告单，各项目均在规定期限内完成。根据评价标准，县区目标任务完成及时性得4分。</w:t>
      </w:r>
    </w:p>
    <w:p w14:paraId="619F53ED">
      <w:pPr>
        <w:ind w:firstLine="420" w:firstLineChars="200"/>
      </w:pPr>
      <w:r>
        <w:t>（</w:t>
      </w:r>
      <w:r>
        <w:rPr>
          <w:rFonts w:hint="eastAsia"/>
        </w:rPr>
        <w:t>2</w:t>
      </w:r>
      <w:r>
        <w:t>）产出数量</w:t>
      </w:r>
      <w:r>
        <w:rPr>
          <w:rFonts w:hint="eastAsia"/>
        </w:rPr>
        <w:t>（满分29分，得分28.28分）</w:t>
      </w:r>
    </w:p>
    <w:p w14:paraId="23E21E1C">
      <w:pPr>
        <w:ind w:firstLine="420" w:firstLineChars="200"/>
      </w:pPr>
      <w:r>
        <w:t>①</w:t>
      </w:r>
      <w:r>
        <w:rPr>
          <w:rFonts w:hint="eastAsia"/>
        </w:rPr>
        <w:t>全民健身场地设施建设任务完成率（满分5分，得分5分）</w:t>
      </w:r>
    </w:p>
    <w:p w14:paraId="7740D0EF">
      <w:pPr>
        <w:ind w:firstLine="420" w:firstLineChars="200"/>
      </w:pPr>
      <w:r>
        <w:rPr>
          <w:rFonts w:hint="eastAsia"/>
        </w:rPr>
        <w:t>中共莆田市委制定的《莆田市人民政府关于开展2020年为民办实事活动的通知》（莆委[2020]4号）文件：2020年计划建设多功能运动场6个、笼式篮球场2个、室外健身路径84套、室外乒乓球桌110台。根据莆田市体育局提供的《莆田市体育局关于下达2020年市级全民健身场地设施建设项目任务的通知》（莆体[2020]27号）、莆田市创城办和莆田市体育局制定的《关于奥松公共体育场所器材设施建设需要的通知》（莆体[2020]87号）、《关于2020年全民健身场地设施建设项目申报通知》以及各项目的验收报告，全民健身场地设施建设全部完成。多功能运动场完成率＝6/6*100%=100%；笼式篮球场完成率＝2/2*100%=100%；室外健身路径完成率＝84/84*100%=100%；室外乒乓球桌完成率＝110/110*100%=100%。根据评价标准，全民健身场地设施建设完成率得5分。</w:t>
      </w:r>
    </w:p>
    <w:p w14:paraId="6C388074">
      <w:pPr>
        <w:ind w:firstLine="420" w:firstLineChars="200"/>
      </w:pPr>
      <w:r>
        <w:t>②</w:t>
      </w:r>
      <w:r>
        <w:rPr>
          <w:rFonts w:hint="eastAsia"/>
        </w:rPr>
        <w:t>全民健身日系列活动完成率（满分5分，得分5分）</w:t>
      </w:r>
    </w:p>
    <w:p w14:paraId="704D12C8">
      <w:pPr>
        <w:ind w:firstLine="420" w:firstLineChars="200"/>
      </w:pPr>
      <w:r>
        <w:rPr>
          <w:rFonts w:hint="eastAsia"/>
        </w:rPr>
        <w:t>为了纪念北京奥运会的成功举办，国务院批准自2009年起，将每年的8月8日定为“全民健身日”。根据莆田市体育局提供《莆田市体育局关于举办2020年莆田市全民健身日启动仪式系列活动的请示》、8月8日健身日启动仪式、广场舞、八段锦、图片展的请示文件，以及新闻报道图片，全民健身日系列活动全部按计划完成。根据评价标准，全民健身日系列活动完成率得5分。</w:t>
      </w:r>
    </w:p>
    <w:p w14:paraId="36694629">
      <w:pPr>
        <w:ind w:firstLine="420" w:firstLineChars="200"/>
      </w:pPr>
      <w:r>
        <w:t>③</w:t>
      </w:r>
      <w:r>
        <w:rPr>
          <w:rFonts w:hint="eastAsia"/>
        </w:rPr>
        <w:t>全民健身运动会项目完成率（满分5分，得分5分）</w:t>
      </w:r>
    </w:p>
    <w:p w14:paraId="58DD7FF0">
      <w:pPr>
        <w:ind w:firstLine="420" w:firstLineChars="200"/>
      </w:pPr>
      <w:r>
        <w:rPr>
          <w:rFonts w:hint="eastAsia"/>
        </w:rPr>
        <w:t>举办全民健身运动会是深入贯彻习近平新时代中国特色社会主义思想和党的十九大精神，落实《“健康中国2030”规划纲要》和《全民健身计划（2016-2020年）》的具体实践和重要举措。莆田市全民健身领导小组办公室关于印发《2020年莆田市全民健身运动会实施方案》的通知（莆全民健身办[2020]1号）要求，市级办比赛至少举办25个赛事项目，根据莆田市体育局提供的25份2020年全民健身运动会比赛秩序表，全民健身运动会项目完成率=25/25*100%=100%。根据评价标准，全民健身运动会项目完成率得5分。</w:t>
      </w:r>
    </w:p>
    <w:p w14:paraId="7B37EF07">
      <w:pPr>
        <w:ind w:firstLine="420" w:firstLineChars="200"/>
      </w:pPr>
      <w:r>
        <w:t>④</w:t>
      </w:r>
      <w:r>
        <w:rPr>
          <w:rFonts w:hint="eastAsia"/>
        </w:rPr>
        <w:t>“党建+”社区邻里中心体育设施建设数量（满分5分，得分5分）</w:t>
      </w:r>
    </w:p>
    <w:p w14:paraId="01B17150">
      <w:pPr>
        <w:ind w:firstLine="420" w:firstLineChars="200"/>
      </w:pPr>
      <w:r>
        <w:rPr>
          <w:rFonts w:hint="eastAsia"/>
        </w:rPr>
        <w:t>莆田市体育局出台《莆田市体育局办公室关于开展体育配送服务进“党建+”社区邻里中心活动的通知》（莆体办[2020]10号）、莆田市体育局办公室印发《莆田市体育局关于推进“党建+”社区邻里中心的实施方案》的通知（莆体办[2020]11号）和《莆田市体育局办公室关于推行“党建+”社区邻里中心全民健身活动开展常态化机制的通知》（莆体办[2020]12号）文件。依据莆田市体育局提供的《关于镇海街道阔口社区“党建+”社区邻里中心体育设施建设经费》的请示文件、邻里中心社区建设器材验收单、《“党建+”邻里中心社区体育服务配送需求汇总表》、莆田体育《莆田市开启社区体育配送服务项目》的新闻报道和相关图片。根据评价标准，“党建+”社区邻里中心体育设施建设数量得5分。</w:t>
      </w:r>
    </w:p>
    <w:p w14:paraId="49054BA4">
      <w:pPr>
        <w:ind w:firstLine="420" w:firstLineChars="200"/>
      </w:pPr>
      <w:r>
        <w:t>⑤</w:t>
      </w:r>
      <w:r>
        <w:rPr>
          <w:rFonts w:hint="eastAsia"/>
        </w:rPr>
        <w:t>老年人活动中心健身器材购置完成率（满分5分，得分5分）</w:t>
      </w:r>
    </w:p>
    <w:p w14:paraId="002F521E">
      <w:pPr>
        <w:ind w:firstLine="420" w:firstLineChars="200"/>
      </w:pPr>
      <w:r>
        <w:rPr>
          <w:rFonts w:hint="eastAsia"/>
        </w:rPr>
        <w:t>根据莆田市体育局提供的莆田市荔城区文化体育和旅游局市级全民健身器材政府采购验收单，老年人活动中心的健身器材全部按计划购置完成，老年人活动中心健身器材购置完成率得5分。</w:t>
      </w:r>
    </w:p>
    <w:p w14:paraId="3D7BED62">
      <w:pPr>
        <w:ind w:firstLine="420" w:firstLineChars="200"/>
      </w:pPr>
      <w:r>
        <w:rPr>
          <w:rFonts w:hint="eastAsia"/>
        </w:rPr>
        <w:t>⑥群众体育活动赛事任务完成率（满分4分，得分3.28分）</w:t>
      </w:r>
    </w:p>
    <w:p w14:paraId="116A163B">
      <w:pPr>
        <w:ind w:firstLine="420" w:firstLineChars="200"/>
      </w:pPr>
      <w:r>
        <w:rPr>
          <w:rFonts w:hint="eastAsia"/>
        </w:rPr>
        <w:t>根据《莆田市全民健身领导小组办公室关于印发&lt;2020年莆田市全民健身运动会实施方案&gt;的通知》（莆全民健身办[2020]1号）文件中附件3《2020年莆田市全民健身运动会赛事活动数和直接参与人数分配表》的数据，共计划举办赛事活动260场。根据《2020年莆田市全民健身运动会赛事活动情况汇总表》数据，赛事活动共举行213场，群众体育活动赛事任务完成率=213/260*100%＝82%，得分=82%*4=3.28分，根据评价标准，群众体育活动赛事任务完成率得3.28分。</w:t>
      </w:r>
    </w:p>
    <w:p w14:paraId="3EB119E6">
      <w:pPr>
        <w:ind w:firstLine="420" w:firstLineChars="200"/>
      </w:pPr>
      <w:r>
        <w:rPr>
          <w:rFonts w:hint="eastAsia"/>
        </w:rPr>
        <w:t>（3）产出质量（满分12分，得分12分）</w:t>
      </w:r>
    </w:p>
    <w:p w14:paraId="07615DE5">
      <w:pPr>
        <w:ind w:firstLine="420" w:firstLineChars="200"/>
      </w:pPr>
      <w:r>
        <w:rPr>
          <w:rFonts w:hint="eastAsia"/>
        </w:rPr>
        <w:t>①全民健身场地设施验收合格率（满分4分，得分4分）</w:t>
      </w:r>
    </w:p>
    <w:p w14:paraId="102611E2">
      <w:pPr>
        <w:ind w:firstLine="420" w:firstLineChars="200"/>
      </w:pPr>
      <w:r>
        <w:rPr>
          <w:rFonts w:hint="eastAsia"/>
        </w:rPr>
        <w:t>根据莆田市体育局提供的各项目验收报告，全民健身场地设施均验收合格。根据评价标准，全民健身场地设施验收合格率得4分。</w:t>
      </w:r>
    </w:p>
    <w:p w14:paraId="41D11424">
      <w:pPr>
        <w:ind w:firstLine="420" w:firstLineChars="200"/>
      </w:pPr>
      <w:r>
        <w:t>②</w:t>
      </w:r>
      <w:r>
        <w:rPr>
          <w:rFonts w:hint="eastAsia"/>
        </w:rPr>
        <w:t>“党建+”社区邻里中心体育设施验收合格率（满分4分，得分4分）</w:t>
      </w:r>
    </w:p>
    <w:p w14:paraId="3DD15C47">
      <w:pPr>
        <w:ind w:firstLine="420" w:firstLineChars="200"/>
      </w:pPr>
      <w:r>
        <w:rPr>
          <w:rFonts w:hint="eastAsia"/>
        </w:rPr>
        <w:t>根据莆田市体育局提供的各项目验收报告，“党建+”社区邻里中心体育设施均验收合格。根据评价标准，“党建+”社区邻里中心体育设施验收合格率得4分。</w:t>
      </w:r>
    </w:p>
    <w:p w14:paraId="3B57E5EF">
      <w:pPr>
        <w:ind w:firstLine="420" w:firstLineChars="200"/>
      </w:pPr>
      <w:r>
        <w:t>③</w:t>
      </w:r>
      <w:r>
        <w:rPr>
          <w:rFonts w:hint="eastAsia"/>
        </w:rPr>
        <w:t>老年人活动中心健身器材验收合格率（满分4分，得分4分）</w:t>
      </w:r>
    </w:p>
    <w:p w14:paraId="01A09CF4">
      <w:pPr>
        <w:ind w:firstLine="420" w:firstLineChars="200"/>
      </w:pPr>
      <w:r>
        <w:rPr>
          <w:rFonts w:hint="eastAsia"/>
        </w:rPr>
        <w:t>根据莆田市体育局提供的各项目验收报告，老年人活动中心健身器材均验收合格。根据评价标准，老年人活动中心健身器材验收合格率得4分。</w:t>
      </w:r>
    </w:p>
    <w:p w14:paraId="495F659A">
      <w:pPr>
        <w:ind w:firstLine="420" w:firstLineChars="200"/>
      </w:pPr>
      <w:r>
        <w:t>（</w:t>
      </w:r>
      <w:r>
        <w:rPr>
          <w:rFonts w:hint="eastAsia"/>
        </w:rPr>
        <w:t>4</w:t>
      </w:r>
      <w:r>
        <w:t>）产出</w:t>
      </w:r>
      <w:r>
        <w:rPr>
          <w:rFonts w:hint="eastAsia"/>
        </w:rPr>
        <w:t>效益（满分7分，得分7分）</w:t>
      </w:r>
    </w:p>
    <w:p w14:paraId="796C64D2">
      <w:pPr>
        <w:ind w:firstLine="420" w:firstLineChars="200"/>
      </w:pPr>
      <w:r>
        <w:t>①</w:t>
      </w:r>
      <w:r>
        <w:rPr>
          <w:rFonts w:hint="eastAsia"/>
        </w:rPr>
        <w:t>社会体育指导员人数（满分3分，得分3分）</w:t>
      </w:r>
    </w:p>
    <w:p w14:paraId="19C0CE4E">
      <w:pPr>
        <w:ind w:firstLine="420" w:firstLineChars="200"/>
      </w:pPr>
      <w:r>
        <w:rPr>
          <w:rFonts w:hint="eastAsia"/>
        </w:rPr>
        <w:t>根据《莆田市全民健身实施计划（2016-2020年）》（莆政综[2016]165号），和《社会体育指导员数据统计报表》数据，莆田市2020年社会体育指导员人数达8090人。按照评价标准，社会体育指导员人数得3分。</w:t>
      </w:r>
    </w:p>
    <w:p w14:paraId="128636B8">
      <w:pPr>
        <w:ind w:firstLine="420" w:firstLineChars="200"/>
      </w:pPr>
      <w:r>
        <w:t>②</w:t>
      </w:r>
      <w:r>
        <w:rPr>
          <w:rFonts w:hint="eastAsia"/>
        </w:rPr>
        <w:t>人均体育场地面积（满分4分，得分4分）</w:t>
      </w:r>
    </w:p>
    <w:p w14:paraId="341D6F66">
      <w:pPr>
        <w:ind w:firstLine="420" w:firstLineChars="200"/>
      </w:pPr>
      <w:r>
        <w:rPr>
          <w:rFonts w:hint="eastAsia"/>
        </w:rPr>
        <w:t>《莆田市“十三五”体育发展专项规划》（莆政办[2016]171号）、莆田市全民健身实施计划（2016-2020年）（莆政综[2016]165号）文件要求，莆田市2020年人均体育场地面积需达到2.0平方米。根据国家体育总局《体育场地统计调查系统》平台统计数据显示，莆田市人均体育场地面积达2.14平方米。按照评价标准，人均体育场地面积得4分。</w:t>
      </w:r>
    </w:p>
    <w:p w14:paraId="6EC04DED">
      <w:pPr>
        <w:ind w:firstLine="420" w:firstLineChars="200"/>
      </w:pPr>
      <w:r>
        <w:rPr>
          <w:rFonts w:hint="eastAsia"/>
        </w:rPr>
        <w:t>（5）</w:t>
      </w:r>
      <w:r>
        <w:t>可持续</w:t>
      </w:r>
      <w:r>
        <w:rPr>
          <w:rFonts w:hint="eastAsia"/>
        </w:rPr>
        <w:t>影响指标（满分6分，得分3分）</w:t>
      </w:r>
    </w:p>
    <w:p w14:paraId="13E2C505">
      <w:pPr>
        <w:ind w:firstLine="420" w:firstLineChars="200"/>
      </w:pPr>
      <w:r>
        <w:t>①</w:t>
      </w:r>
      <w:r>
        <w:rPr>
          <w:rFonts w:hint="eastAsia"/>
        </w:rPr>
        <w:t>体育场地调查（普查）执行情况（满分3分，得分3分）</w:t>
      </w:r>
    </w:p>
    <w:p w14:paraId="13C0FFDB">
      <w:pPr>
        <w:ind w:firstLine="420" w:firstLineChars="200"/>
      </w:pPr>
      <w:r>
        <w:rPr>
          <w:rFonts w:hint="eastAsia"/>
        </w:rPr>
        <w:t>根据绩效评价组材料核实，2020年莆田市体育局下乡检查场地建设情况达5次。根据评价标准，体育场地调查（普查）执行情况得3分。</w:t>
      </w:r>
    </w:p>
    <w:p w14:paraId="5C14DFFF">
      <w:pPr>
        <w:ind w:firstLine="420" w:firstLineChars="200"/>
      </w:pPr>
      <w:r>
        <w:t>②</w:t>
      </w:r>
      <w:r>
        <w:rPr>
          <w:rFonts w:hint="eastAsia"/>
        </w:rPr>
        <w:t>体育组织覆盖率（满分3分，得分0分）</w:t>
      </w:r>
      <w:r>
        <w:t>。</w:t>
      </w:r>
    </w:p>
    <w:p w14:paraId="60C686D1">
      <w:pPr>
        <w:ind w:firstLine="420" w:firstLineChars="200"/>
      </w:pPr>
      <w:r>
        <w:rPr>
          <w:rFonts w:hint="eastAsia"/>
        </w:rPr>
        <w:t>《2016-2020年莆田市全民健身实施计划》（莆政综（2016）165号）文件要求，城市街道体育组织覆盖率应达100%。莆田市体育局仅提供《2021年莆田市老体协工作会议签到表》参会人数达104人，未提供与体育组织密切相关的确切资料。根据评价标准，体育组织覆盖率得0分。</w:t>
      </w:r>
    </w:p>
    <w:p w14:paraId="77C4B2E9">
      <w:pPr>
        <w:ind w:firstLine="420" w:firstLineChars="200"/>
      </w:pPr>
      <w:r>
        <w:t>（</w:t>
      </w:r>
      <w:r>
        <w:rPr>
          <w:rFonts w:hint="eastAsia"/>
        </w:rPr>
        <w:t>6</w:t>
      </w:r>
      <w:r>
        <w:t>）</w:t>
      </w:r>
      <w:r>
        <w:rPr>
          <w:rFonts w:hint="eastAsia"/>
        </w:rPr>
        <w:t>群众满意度（满分5分，得分4分）</w:t>
      </w:r>
    </w:p>
    <w:p w14:paraId="3A46530D">
      <w:pPr>
        <w:ind w:firstLine="420" w:firstLineChars="200"/>
      </w:pPr>
      <w:r>
        <w:rPr>
          <w:rFonts w:hint="eastAsia"/>
        </w:rPr>
        <w:t>绩效评价组通过问卷星小程序向莆田市群众进行问卷调查，回收有效问卷360份。针对群众每周参加体育锻炼的次数、每次锻炼的持续时间、对锻炼点的设施和环境的满意程度、从家步行到最常去的体育锻炼场所需要的时长、体育健身赛事数量、附近健身场地器材的完好情况、是否了解8月8日是全民健身日、身边的社会体育指导员，包括健身教练、学校体育老师、体育志愿者所提供的健身指导的满意程度等情况进行了调研。经统计，被调查者满意度为82.28%。根据评价标准，群众满意度扣1分，得4分。</w:t>
      </w:r>
    </w:p>
    <w:p w14:paraId="2F9B4126">
      <w:pPr>
        <w:ind w:firstLine="420" w:firstLineChars="200"/>
      </w:pPr>
      <w:bookmarkStart w:id="630" w:name="_Toc4144"/>
      <w:r>
        <w:rPr>
          <w:rFonts w:hint="eastAsia"/>
        </w:rPr>
        <w:t>（二）绩效评价结论</w:t>
      </w:r>
      <w:bookmarkEnd w:id="630"/>
    </w:p>
    <w:p w14:paraId="38E95A5D">
      <w:pPr>
        <w:ind w:firstLine="420" w:firstLineChars="200"/>
      </w:pPr>
      <w:r>
        <w:rPr>
          <w:rFonts w:hint="eastAsia"/>
        </w:rPr>
        <w:t>参考《财政部项目支出绩效评价管理办法》（财预[2020]10号），绩效评价组通过审查莆田市体育局的相关资料、实地调研及访谈相关人员等评价程序，认为2020年群众体育项目，资金在已使用的资金范围内项目效益较好，政策导向正确，资金使用较为规范，绩效评价得分为90.12分，绩效评价等级为“优秀”。</w:t>
      </w:r>
    </w:p>
    <w:p w14:paraId="5EE34C70">
      <w:pPr>
        <w:ind w:firstLine="420" w:firstLineChars="200"/>
        <w:outlineLvl w:val="0"/>
      </w:pPr>
      <w:bookmarkStart w:id="631" w:name="_Toc19885"/>
      <w:bookmarkStart w:id="632" w:name="_Toc9928"/>
      <w:r>
        <w:rPr>
          <w:rFonts w:hint="eastAsia"/>
        </w:rPr>
        <w:t>五、主要经验及做法、存在的问题和建议</w:t>
      </w:r>
      <w:bookmarkEnd w:id="631"/>
      <w:bookmarkEnd w:id="632"/>
    </w:p>
    <w:p w14:paraId="36581132">
      <w:pPr>
        <w:ind w:firstLine="420" w:firstLineChars="200"/>
      </w:pPr>
      <w:bookmarkStart w:id="633" w:name="_Toc29191"/>
      <w:r>
        <w:rPr>
          <w:rFonts w:hint="eastAsia"/>
        </w:rPr>
        <w:t>（一）主要经验及做法</w:t>
      </w:r>
      <w:bookmarkEnd w:id="633"/>
    </w:p>
    <w:p w14:paraId="59FEEAE6">
      <w:pPr>
        <w:ind w:firstLine="420" w:firstLineChars="200"/>
      </w:pPr>
      <w:r>
        <w:rPr>
          <w:rFonts w:hint="eastAsia"/>
        </w:rPr>
        <w:t>1.公共体育设施进一步完善</w:t>
      </w:r>
    </w:p>
    <w:p w14:paraId="59F28DEB">
      <w:pPr>
        <w:ind w:firstLine="420" w:firstLineChars="200"/>
      </w:pPr>
      <w:r>
        <w:rPr>
          <w:rFonts w:hint="eastAsia"/>
        </w:rPr>
        <w:t>首先，根据《莆田市人民政府办公室关于印发莆田市全民健身实施计划（2016-2020年）的通知》（莆政办[2016]172号）等文件，2020年度莆田市级投入全民健身场地设施建设资金660万元，建设多功能运动场6个、笼式篮球场2个、室外健身路径84套、室外乒乓球桌110台，将全民健身场地设施向未覆盖村居、城市人口聚集点、乡村振兴（美丽乡村）试点村镇等地延伸，实现全市人均体育场地面积2.14平方米，超额完成“十三五”规划的人均体育场地面积2.0平方米的目标。其次，根据莆田市“党建+”社区邻里中心标准化、规范化建设要求，在17个试点社区高标准推进“党建+”社区邻里中心建设。结合场地实际情况，全市首套智能健身路径落地荔城区镇海街道阔口社区，全面打造开放、集约、共享的社区邻里“一刻钟”服务圈，满足人民群众日益增长的美好生活需要。</w:t>
      </w:r>
    </w:p>
    <w:p w14:paraId="36CB01D7">
      <w:pPr>
        <w:ind w:firstLine="420" w:firstLineChars="200"/>
      </w:pPr>
      <w:r>
        <w:rPr>
          <w:rFonts w:hint="eastAsia"/>
        </w:rPr>
        <w:t>2.聚焦“活动促消费”目标，激发群众体育赛事活力</w:t>
      </w:r>
    </w:p>
    <w:p w14:paraId="26E25DE3">
      <w:pPr>
        <w:ind w:firstLine="420" w:firstLineChars="200"/>
      </w:pPr>
      <w:r>
        <w:rPr>
          <w:rFonts w:hint="eastAsia"/>
        </w:rPr>
        <w:t>结合疫情防控形势，引导区域内群众逐步恢复开展群众体育赛事活动，2020年举办全民健身运动会比赛项目25个。以全民健身日、中秋国庆长假、元旦等节日为契机，莆田市体育局策划开展市直机关干部八段锦教学、“健康中国，美丽莆田”广场舞大赛、联发迎新健身跑等活动。为进一步打造“一县（区）一品牌”，莆田市体育局组织举办“园区杯”企业篮球邀请赛、第四届“妈祖杯”羽毛球挑战赛、首届搏击健身娱乐赛、超能儿童越野挑战赛、车中宝篮球联赛等形式多样的群众体育赛事活动近千场，在丰富人民群众体育文化生活的同时，带动企业向“互联网+体育服务”消费新模式转变。</w:t>
      </w:r>
    </w:p>
    <w:p w14:paraId="3AC875BC">
      <w:pPr>
        <w:ind w:firstLine="420" w:firstLineChars="200"/>
      </w:pPr>
      <w:r>
        <w:rPr>
          <w:rFonts w:hint="eastAsia"/>
        </w:rPr>
        <w:t>3.多举措引导市民室内健身</w:t>
      </w:r>
    </w:p>
    <w:p w14:paraId="54C0636D">
      <w:pPr>
        <w:ind w:firstLine="420" w:firstLineChars="200"/>
      </w:pPr>
      <w:r>
        <w:rPr>
          <w:rFonts w:hint="eastAsia"/>
        </w:rPr>
        <w:t>疫情发生以来，莆田市体育局发出暂停聚集性体育活动的通知，倡议市民居家科学健身，启动“宅家战疫，运动打卡”活动，要求全市各级体育部门、健身机构、社会体育组织召集社会体育指导员、专业教练、健身达人加入体育战“疫”志愿者队伍。通过西瓜视频、抖音等平台，开设居家健身公开课直播，免费教授市民居家科学健身方法，介绍室内运动技巧，引导市民以强健的身体和良好的心态对抗疫情。在电视栏目《爱尚运动》上推出《居家健身一起动起来》特别节目，在莆田体育微信公众号向市民推荐正确的健身方法，并以“网上下基层”的服务方式，开播瘦身、瑜伽、太极拳等直播公益课程，推送亲子操、佳木斯舞等健身示范短视频，供市民选择。至2020年12月31日社会体育指导员人数已达8090人。</w:t>
      </w:r>
    </w:p>
    <w:p w14:paraId="3083AD94">
      <w:pPr>
        <w:ind w:firstLine="420" w:firstLineChars="200"/>
      </w:pPr>
      <w:bookmarkStart w:id="634" w:name="_Toc6120"/>
      <w:r>
        <w:rPr>
          <w:rFonts w:hint="eastAsia"/>
        </w:rPr>
        <w:t>（二）存在的问题</w:t>
      </w:r>
      <w:bookmarkEnd w:id="634"/>
    </w:p>
    <w:p w14:paraId="01334AEF">
      <w:pPr>
        <w:ind w:firstLine="420" w:firstLineChars="200"/>
      </w:pPr>
      <w:r>
        <w:rPr>
          <w:rFonts w:hint="eastAsia"/>
        </w:rPr>
        <w:t>1.绩效指标体系有待完善</w:t>
      </w:r>
    </w:p>
    <w:p w14:paraId="51D5E0E0">
      <w:pPr>
        <w:ind w:firstLine="420" w:firstLineChars="200"/>
      </w:pPr>
      <w:r>
        <w:rPr>
          <w:rFonts w:hint="eastAsia"/>
        </w:rPr>
        <w:t>首先，根据《关于下达2020年市级体育专项经费的通知》（莆财教[2020]139号）和《关于下达2020年市级体育专项经费的通知》（莆财教[2020]177号），群众体育项目2020年年初预算安排为858万元，预算调整为803万元，实际到位金额800.80万元，项目实际支出金额764.981万元，预算实际执行率为96%，结余35.819万元财政已全部收回，实际支出与预算目标存在一定偏差。其次，绩效考评指标体系有待进一步改善。绩效考评指标体系中的部分特色指标，存在统计难度大，不具备可操性的问题。比如《专项资金绩效目标表》中社会效益目标：营造群众参与全民健身氛围，绩效标准是参与群众体育赛事活动达到5000人次，这个指标虽然可以量化，但是实际数据的统计工作难度较大，不适合作为绩效指标进行考核。</w:t>
      </w:r>
    </w:p>
    <w:p w14:paraId="3E137DB5">
      <w:pPr>
        <w:ind w:firstLine="420" w:firstLineChars="200"/>
      </w:pPr>
      <w:r>
        <w:rPr>
          <w:rFonts w:hint="eastAsia"/>
        </w:rPr>
        <w:t>2.全民健身意识不强，有待进一步提高</w:t>
      </w:r>
    </w:p>
    <w:p w14:paraId="5776ACED">
      <w:pPr>
        <w:ind w:firstLine="420" w:firstLineChars="200"/>
      </w:pPr>
      <w:r>
        <w:rPr>
          <w:rFonts w:hint="eastAsia"/>
        </w:rPr>
        <w:t>世界卫生组织界定，健康不但是没有身体缺陷和疾患，还要有完整的心理、生理和社会适应能力，健康不仅仅是不生病，还包括正常的心理、生理、精神状态和对社会的适应性。健康是人人追求的崇高目标，也是国家实现现代化的基本保证，因此正确引导群众建立积极健康的全民健身意识显得尤为重要，应该通过各种宣传模式，不断增强群众全民健身意识的紧迫感和责任感。但莆田市全民健身意识宣传范围和力度还不够，特别是农村，部分群众对全民健身还不了解，不热情，参与程度不高。</w:t>
      </w:r>
    </w:p>
    <w:p w14:paraId="60F5B1AF">
      <w:pPr>
        <w:ind w:firstLine="420" w:firstLineChars="200"/>
      </w:pPr>
      <w:r>
        <w:rPr>
          <w:rFonts w:hint="eastAsia"/>
        </w:rPr>
        <w:t>3.部分小区存在健身器材老化或损坏现象</w:t>
      </w:r>
    </w:p>
    <w:p w14:paraId="135142AF">
      <w:pPr>
        <w:ind w:firstLine="420" w:firstLineChars="200"/>
      </w:pPr>
      <w:r>
        <w:rPr>
          <w:rFonts w:hint="eastAsia"/>
        </w:rPr>
        <w:t>绩效评价组经过实地调研发现，存在部分健身器材老化，健身器材不全面，健身场地面积较小等问题。比如，不少健身器材有不同程度的脱漆情况，尤其是梅花桩、秋千的铁索、座椅、休闲荡椅等器材。有些健身器材虽然被拆下，但地面还遗落着一些拆下来的螺丝。部分漫步机的扶手旋转处有松动迹象，跷跷板也存在松动情况。骑马机的部分零件被拆卸走，座位下的钢管处锈迹斑斑，连接口脱落，有铁皮稍翘起。健跑机的滚轮，被底下的草和泥土顶住，无法转动。另外，可能由于踩踏多的缘故，健身器材安装区域，草地上只剩下泥土，有的直接成为了小坑洞，老人和小孩很容易扭到脚。</w:t>
      </w:r>
    </w:p>
    <w:p w14:paraId="794D5C84">
      <w:pPr>
        <w:ind w:firstLine="420" w:firstLineChars="200"/>
      </w:pPr>
      <w:bookmarkStart w:id="635" w:name="_Toc12630"/>
      <w:r>
        <w:rPr>
          <w:rFonts w:hint="eastAsia"/>
        </w:rPr>
        <w:t>（三）相关建议</w:t>
      </w:r>
      <w:bookmarkEnd w:id="635"/>
    </w:p>
    <w:p w14:paraId="638609A1">
      <w:pPr>
        <w:ind w:firstLine="420" w:firstLineChars="200"/>
      </w:pPr>
      <w:r>
        <w:rPr>
          <w:rFonts w:hint="eastAsia"/>
        </w:rPr>
        <w:t>1.提高项目资金预算准确性，确保绩效指标的可行性</w:t>
      </w:r>
    </w:p>
    <w:p w14:paraId="5354C9CF">
      <w:pPr>
        <w:ind w:firstLine="420" w:firstLineChars="200"/>
      </w:pPr>
      <w:r>
        <w:rPr>
          <w:rFonts w:hint="eastAsia"/>
        </w:rPr>
        <w:t>实际支出与预算目标存在偏差，主要有以下三个原因：（1）由于预算需提前申报，目标任务设置的合理性较差；（2）部分需组队参加的赛事活动，因疫情等相关原因取消；（3）部分赛事举办，采用打包对外公开招标方式，成本比年初预算节省。建议根据年度工作计划和上级部门年度安排，合理设置预算和预算目标值，进一步提高资金使用率，切实提高预算管理水平。并建议市财政局加强对各部门预算绩效管理业务的培训指导，推动全市预算绩效管理水平不断提升。</w:t>
      </w:r>
    </w:p>
    <w:p w14:paraId="46B407CE">
      <w:pPr>
        <w:ind w:firstLine="420" w:firstLineChars="200"/>
      </w:pPr>
      <w:r>
        <w:rPr>
          <w:rFonts w:hint="eastAsia"/>
        </w:rPr>
        <w:t>2.进一步加大全民健身工作宣传力度</w:t>
      </w:r>
    </w:p>
    <w:p w14:paraId="079F2178">
      <w:pPr>
        <w:ind w:firstLine="420" w:firstLineChars="200"/>
      </w:pPr>
      <w:r>
        <w:rPr>
          <w:rFonts w:hint="eastAsia"/>
        </w:rPr>
        <w:t>坚持群众体育与竞技体育的协调发展，坚持主题活动与舆论宣传并重，利用和创造各种契机，不断改进和创新宣传方式，普及全民健身知识。通过报纸、刊物、电视、广播、网络、科普读物以及健身场地周边的宣传栏等宣传媒介和信息渠道，宣传体育知识、健身知识、养生知识等。举办各种体育辅导班，吸引群众参加培训，提高科学健身水平，提升群众科学健身素养，倡导健康文明的生活方式。真正营造全民健身舆论氛围，进一步促进群众体育社会化、科学化、法制化、生活化和普遍化。</w:t>
      </w:r>
    </w:p>
    <w:p w14:paraId="57C1C35F">
      <w:pPr>
        <w:ind w:firstLine="420" w:firstLineChars="200"/>
      </w:pPr>
      <w:r>
        <w:rPr>
          <w:rFonts w:hint="eastAsia"/>
        </w:rPr>
        <w:t>3.建议定期对健身器材进行有效维护</w:t>
      </w:r>
    </w:p>
    <w:p w14:paraId="44D7EF76">
      <w:pPr>
        <w:ind w:firstLine="420" w:firstLineChars="200"/>
      </w:pPr>
      <w:r>
        <w:rPr>
          <w:rFonts w:hint="eastAsia"/>
        </w:rPr>
        <w:t>建议体育局指导相关单位做好以下三方面内容：（1）定期对健身器材进行清洁和消毒。小区健身器材属于公共设施，很多人触碰，尤其疫情期间，十分容易遭受污染，因此定期清洁和消毒是十分必要的。（2）应对各站点健身器材进行定期检修和日常维护。健身器材一般放置在户外，风吹日晒容易产生安全隐患，应定期进行安全检查和日常维护。（3）对超过安全使用寿命的健身器材应及时进行报废，更换新的器材，以保证群众的使用安全。</w:t>
      </w:r>
    </w:p>
    <w:p w14:paraId="6E9AF8FD">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0EFFAAA4">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CC130AF">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65346B85">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3F6475AB">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BFDE321">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7441B6A3">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385A02BB">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852EF5E">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00ED5E4A">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B3CB4DC">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0BEAE735">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612B2B8F">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84F5688">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317795C2">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D3ED273">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EE29EFA">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6008044C">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B3596D7">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FB2AB5A">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04958C5F">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3C961211">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B23277B">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EA2DC67">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4372FDD0">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ABD1184">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291D4B93">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3B480A73">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09B2A305">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A8E889E">
      <w:pPr>
        <w:pStyle w:val="2"/>
        <w:jc w:val="center"/>
      </w:pPr>
      <w:bookmarkStart w:id="636" w:name="_Toc15802_WPSOffice_Level1"/>
      <w:bookmarkStart w:id="637" w:name="_Toc8486"/>
      <w:r>
        <w:rPr>
          <w:rFonts w:hint="eastAsia"/>
        </w:rPr>
        <w:t>2020年城乡居民基本医疗保险基金</w:t>
      </w:r>
      <w:bookmarkEnd w:id="636"/>
      <w:bookmarkStart w:id="638" w:name="_Toc32489_WPSOffice_Level1"/>
      <w:bookmarkStart w:id="639" w:name="_Toc31815_WPSOffice_Level1"/>
      <w:r>
        <w:rPr>
          <w:rFonts w:hint="eastAsia"/>
        </w:rPr>
        <w:t>绩效评价报告</w:t>
      </w:r>
      <w:bookmarkEnd w:id="637"/>
      <w:bookmarkEnd w:id="638"/>
      <w:bookmarkEnd w:id="639"/>
    </w:p>
    <w:p w14:paraId="02751A98">
      <w:pPr>
        <w:pStyle w:val="16"/>
      </w:pPr>
    </w:p>
    <w:p w14:paraId="3A571B0A">
      <w:pPr>
        <w:ind w:firstLine="420" w:firstLineChars="200"/>
      </w:pPr>
      <w:r>
        <w:rPr>
          <w:rFonts w:hint="eastAsia"/>
        </w:rPr>
        <w:t>城乡居民基本医疗保险是整合城镇居民基本医疗保险（简称城镇居民医保）和新型农村合作医疗（简称新农合）两项制度，建立统一的城乡居民基本医疗保险（简称城乡居民医保）制度。</w:t>
      </w:r>
    </w:p>
    <w:p w14:paraId="48B6B0C2">
      <w:pPr>
        <w:ind w:firstLine="420" w:firstLineChars="200"/>
        <w:outlineLvl w:val="0"/>
      </w:pPr>
      <w:bookmarkStart w:id="640" w:name="_Toc22384_WPSOffice_Level1"/>
      <w:bookmarkStart w:id="641" w:name="_Toc1572"/>
      <w:bookmarkStart w:id="642" w:name="_Toc8762_WPSOffice_Level1"/>
      <w:r>
        <w:rPr>
          <w:rFonts w:hint="eastAsia"/>
        </w:rPr>
        <w:t>一、项目基本情况</w:t>
      </w:r>
      <w:bookmarkEnd w:id="640"/>
      <w:bookmarkEnd w:id="641"/>
      <w:bookmarkEnd w:id="642"/>
      <w:bookmarkStart w:id="643" w:name="_Toc31815_WPSOffice_Level2"/>
      <w:bookmarkStart w:id="644" w:name="_Toc32489_WPSOffice_Level2"/>
    </w:p>
    <w:p w14:paraId="0F4B9355">
      <w:pPr>
        <w:ind w:firstLine="420" w:firstLineChars="200"/>
      </w:pPr>
      <w:r>
        <w:rPr>
          <w:rFonts w:hint="eastAsia"/>
        </w:rPr>
        <w:t>（一）项目单位基本情况</w:t>
      </w:r>
      <w:bookmarkEnd w:id="643"/>
      <w:bookmarkEnd w:id="644"/>
    </w:p>
    <w:p w14:paraId="4887CD23">
      <w:pPr>
        <w:ind w:firstLine="420" w:firstLineChars="200"/>
      </w:pPr>
      <w:r>
        <w:rPr>
          <w:rFonts w:hint="eastAsia"/>
        </w:rPr>
        <w:t>根据中共莆田市委机构编制委员会《莆田市医疗保障管理局主要职责内设机构和人员编制规定》（莆委编〔2016〕8号）和《中共莆田市委编制委员会办公室关于规范调整莆田市医疗保障局所属事业单位机构编制有关事项的批复》（莆委编办〔2021〕60）精神，将我市、县（区、管委会）两级城镇职工医疗保险、城镇居民医疗保险、新农合医疗保险经办机构进行整合，组建莆田市医疗保障基金中心（简称“市医保中心”），为市政府所属公益一类事业单位，委托市医保局管理，机构规格为相当副处级，经费财政核拨。主要职责是：</w:t>
      </w:r>
    </w:p>
    <w:p w14:paraId="7EDF4D01">
      <w:pPr>
        <w:ind w:firstLine="420" w:firstLineChars="200"/>
      </w:pPr>
      <w:r>
        <w:rPr>
          <w:rFonts w:hint="eastAsia"/>
        </w:rPr>
        <w:t>1.执行国家、省、市职工基本医疗保险、城乡居民基本医疗保险、生育保险、医疗救助等医疗保障法律、法规、政策规定。  　　</w:t>
      </w:r>
    </w:p>
    <w:p w14:paraId="5C90FFB8">
      <w:pPr>
        <w:ind w:firstLine="420" w:firstLineChars="200"/>
      </w:pPr>
      <w:r>
        <w:rPr>
          <w:rFonts w:hint="eastAsia"/>
        </w:rPr>
        <w:t>2.负责全市医疗保障基金预决算和支付，财务和统计报表的编制工作。</w:t>
      </w:r>
    </w:p>
    <w:p w14:paraId="67CAF00E">
      <w:pPr>
        <w:ind w:firstLine="420" w:firstLineChars="200"/>
      </w:pPr>
      <w:r>
        <w:rPr>
          <w:rFonts w:hint="eastAsia"/>
        </w:rPr>
        <w:t xml:space="preserve">3.负责药品、医用耗材采购的事务性、技术性、辅助性工作，执行统一的药品、医用耗材价格政策，承担重点监控品种的动态监测及超常预警分析等工作。  </w:t>
      </w:r>
    </w:p>
    <w:p w14:paraId="2CAD211B">
      <w:pPr>
        <w:ind w:firstLine="420" w:firstLineChars="200"/>
      </w:pPr>
      <w:r>
        <w:rPr>
          <w:rFonts w:hint="eastAsia"/>
        </w:rPr>
        <w:t>4.负责基本医疗保险、生育保险参保登记、相关待遇核定等业务经办:承办医疗救助、公务员医疗补助及离休干部医疗费用核销等业务。  　</w:t>
      </w:r>
    </w:p>
    <w:p w14:paraId="4C8DFBEB">
      <w:pPr>
        <w:ind w:firstLine="420" w:firstLineChars="200"/>
      </w:pPr>
      <w:r>
        <w:rPr>
          <w:rFonts w:hint="eastAsia"/>
        </w:rPr>
        <w:t xml:space="preserve">5.负责全市定点医药机构协议履约服务等经办工作。 </w:t>
      </w:r>
    </w:p>
    <w:p w14:paraId="34628032">
      <w:pPr>
        <w:ind w:firstLine="420" w:firstLineChars="200"/>
      </w:pPr>
      <w:r>
        <w:rPr>
          <w:rFonts w:hint="eastAsia"/>
        </w:rPr>
        <w:t>6.负责全市医疗保障信息系统运行、维护、升级等技术工作。  　</w:t>
      </w:r>
    </w:p>
    <w:p w14:paraId="33EB0E8D">
      <w:pPr>
        <w:ind w:firstLine="420" w:firstLineChars="200"/>
      </w:pPr>
      <w:r>
        <w:rPr>
          <w:rFonts w:hint="eastAsia"/>
        </w:rPr>
        <w:t>7.负责基本医疗保险与职工补充医疗保险的衔接协调、补充医疗保险的招投标及日常的事务性工作。  　　</w:t>
      </w:r>
    </w:p>
    <w:p w14:paraId="4BC3723B">
      <w:pPr>
        <w:ind w:firstLine="420" w:firstLineChars="200"/>
      </w:pPr>
      <w:r>
        <w:rPr>
          <w:rFonts w:hint="eastAsia"/>
        </w:rPr>
        <w:t xml:space="preserve">8.负责向用人单位和个人提供其缴费和享受医疗保障待遇记录、咨询等相关服务。  </w:t>
      </w:r>
    </w:p>
    <w:p w14:paraId="00EBAAEA">
      <w:pPr>
        <w:ind w:firstLine="420" w:firstLineChars="200"/>
      </w:pPr>
      <w:r>
        <w:rPr>
          <w:rFonts w:hint="eastAsia"/>
        </w:rPr>
        <w:t>9.完成市医疗保障局交办的其他事务性工作。</w:t>
      </w:r>
    </w:p>
    <w:p w14:paraId="01BEBAFF">
      <w:pPr>
        <w:ind w:firstLine="420" w:firstLineChars="200"/>
      </w:pPr>
      <w:bookmarkStart w:id="645" w:name="_Toc8762_WPSOffice_Level2"/>
      <w:bookmarkStart w:id="646" w:name="_Toc22384_WPSOffice_Level2"/>
      <w:r>
        <w:rPr>
          <w:rFonts w:hint="eastAsia"/>
        </w:rPr>
        <w:t>（二）项目概况</w:t>
      </w:r>
      <w:bookmarkEnd w:id="645"/>
      <w:bookmarkEnd w:id="646"/>
    </w:p>
    <w:p w14:paraId="36807C5F">
      <w:pPr>
        <w:ind w:firstLine="420" w:firstLineChars="200"/>
      </w:pPr>
      <w:r>
        <w:rPr>
          <w:rFonts w:hint="eastAsia"/>
        </w:rPr>
        <w:t>1.项目的实施依据</w:t>
      </w:r>
    </w:p>
    <w:p w14:paraId="46A4FDF8">
      <w:pPr>
        <w:ind w:firstLine="420" w:firstLineChars="200"/>
      </w:pPr>
      <w:r>
        <w:rPr>
          <w:rFonts w:hint="eastAsia"/>
        </w:rPr>
        <w:t>根据《莆田市财政局 莆田市医疗保障管理局关于印发莆田市城乡居民基本医疗保险统筹管理实施方案的通知》（莆医〔2017〕6号）和《国家税务局莆田市税务局 莆田市财政局 莆田市医疗保障局 关于做好2020年度莆田市城乡居民基本医疗保险参保缴费的通知》（莆税发〔2019〕56号）等文件精神，进一步规范城乡居民基本医疗保险基金的管理使用，促进莆田市城乡居民医疗保险事业和谐健康发展。</w:t>
      </w:r>
    </w:p>
    <w:p w14:paraId="3E656770">
      <w:pPr>
        <w:ind w:firstLine="420" w:firstLineChars="200"/>
      </w:pPr>
      <w:r>
        <w:rPr>
          <w:rFonts w:hint="eastAsia"/>
        </w:rPr>
        <w:t>2.项目的基本性质</w:t>
      </w:r>
    </w:p>
    <w:p w14:paraId="47BF052B">
      <w:pPr>
        <w:ind w:firstLine="420" w:firstLineChars="200"/>
      </w:pPr>
      <w:r>
        <w:rPr>
          <w:rFonts w:hint="eastAsia"/>
        </w:rPr>
        <w:t>2020年莆田市城乡居民医保执行统一的政府补助和个人缴费相结合的筹资方式和缴费标准，执行统一的保障待遇。</w:t>
      </w:r>
    </w:p>
    <w:p w14:paraId="4B30364A">
      <w:pPr>
        <w:ind w:firstLine="420" w:firstLineChars="200"/>
      </w:pPr>
      <w:r>
        <w:rPr>
          <w:rFonts w:hint="eastAsia"/>
        </w:rPr>
        <w:t>（1）城乡居民医保参保对象：城乡居民医保参保对象为本市行政区域内未参加职工基本医疗保险的城乡居民：一是具有本市户籍的城镇居民、农村居民；二是在本市就读的大、中专院校学生，中、小学阶段的学生；三是宗教活动场所的宗教教职人员；四是武警莆田支队官兵；五是持有本市居住证（有效期内）的未稳定就业人员；六是持有本市居住证或外国人居留许可（有效期内）的境外人员。</w:t>
      </w:r>
    </w:p>
    <w:p w14:paraId="3F2F3717">
      <w:pPr>
        <w:ind w:firstLine="420" w:firstLineChars="200"/>
      </w:pPr>
      <w:r>
        <w:rPr>
          <w:rFonts w:hint="eastAsia"/>
        </w:rPr>
        <w:t>（2）城乡居民医保筹资标准：2020年个人缴费标准为250元/人，各级财政对城乡居民基本医疗的补助标准为550元/人。</w:t>
      </w:r>
    </w:p>
    <w:p w14:paraId="32D29A59">
      <w:pPr>
        <w:ind w:firstLine="420" w:firstLineChars="200"/>
      </w:pPr>
      <w:r>
        <w:rPr>
          <w:rFonts w:hint="eastAsia"/>
        </w:rPr>
        <w:t>（3）医保待遇享受期限：2020年1月1日至2020年12月31日。</w:t>
      </w:r>
    </w:p>
    <w:p w14:paraId="5F62EB36">
      <w:pPr>
        <w:ind w:firstLine="420" w:firstLineChars="200"/>
      </w:pPr>
      <w:r>
        <w:rPr>
          <w:rFonts w:hint="eastAsia"/>
        </w:rPr>
        <w:t>3.项目立项的依据</w:t>
      </w:r>
    </w:p>
    <w:p w14:paraId="7C54A412">
      <w:pPr>
        <w:ind w:firstLine="420" w:firstLineChars="200"/>
      </w:pPr>
      <w:r>
        <w:rPr>
          <w:rFonts w:hint="eastAsia"/>
        </w:rPr>
        <w:t>城乡居民医疗保险基金为延续性项目，是党中央、国务院为解决农村居民看病就医问题而建立的一项基本医疗保障制度，其目的是从制度上为农民提供基本医疗保障，以大病统筹为主，重点解决农民患大病而出现的因病致贫、因病返贫问题；引导农民进行保理的健康投资，提高农民的健康水平，保理利用农村卫生资源，促进农村卫生事业发展；促进城乡协调发展，推进社会主义新农村建设。城乡居民医疗保险基金是社会医疗保险的组成部分，是以政府补助为主一种筹资方式，主要用于支付参保居民的住院和门诊费用，为参保居民提供医疗资金保障。</w:t>
      </w:r>
    </w:p>
    <w:p w14:paraId="721624FE">
      <w:pPr>
        <w:ind w:firstLine="420" w:firstLineChars="200"/>
      </w:pPr>
      <w:bookmarkStart w:id="647" w:name="_Toc21412_WPSOffice_Level2"/>
      <w:bookmarkStart w:id="648" w:name="_Toc12315_WPSOffice_Level2"/>
      <w:r>
        <w:rPr>
          <w:rFonts w:hint="eastAsia"/>
        </w:rPr>
        <w:t>（三）项目申报的可行性、必要性及其论证过程</w:t>
      </w:r>
      <w:bookmarkEnd w:id="647"/>
      <w:bookmarkEnd w:id="648"/>
    </w:p>
    <w:p w14:paraId="004362D1">
      <w:pPr>
        <w:ind w:firstLine="420" w:firstLineChars="200"/>
      </w:pPr>
      <w:r>
        <w:rPr>
          <w:rFonts w:hint="eastAsia"/>
        </w:rPr>
        <w:t>对城乡居民基本医保进行财政补助是健全社会保障体系的重要方面，能够减轻参保城乡居民医疗负担，让城乡居民应保尽保，项目资金安排可行。</w:t>
      </w:r>
    </w:p>
    <w:p w14:paraId="2D601790">
      <w:pPr>
        <w:ind w:firstLine="420" w:firstLineChars="200"/>
      </w:pPr>
      <w:r>
        <w:rPr>
          <w:rFonts w:hint="eastAsia"/>
        </w:rPr>
        <w:t>项目资金管理严格参照《福建省城乡居民基本医疗保险财政补助资金管理暂行办法》（闽财社〔2017〕41号执行；业务管理严格参照《莆田市财政局 莆田市医疗保障管理局关于印发莆田市城乡居民基本医疗保险统筹管理实施方案的通知（莆医〔2017〕6号）》和依据《国家税务局莆田市税务局 莆田市财政局 莆田市医疗保障局关于做好2020年度莆田市城乡居民基本医疗保险参保缴费的通知》莆税发〔2019〕56号）《莆田市医疗保障局 莆田市财政局 关于调整城乡居民基本医疗保险报销待遇的通知》（莆医保综〔2019〕116号执行， 项目申报与立项具备必要性和合理可行性。</w:t>
      </w:r>
    </w:p>
    <w:p w14:paraId="3D1E7E65">
      <w:pPr>
        <w:ind w:firstLine="420" w:firstLineChars="200"/>
      </w:pPr>
      <w:bookmarkStart w:id="649" w:name="_Toc6687_WPSOffice_Level2"/>
      <w:bookmarkStart w:id="650" w:name="_Toc15802_WPSOffice_Level2"/>
      <w:r>
        <w:rPr>
          <w:rFonts w:hint="eastAsia"/>
        </w:rPr>
        <w:t>（四）项目绩效总目标及阶段性目标情况</w:t>
      </w:r>
      <w:bookmarkEnd w:id="649"/>
      <w:bookmarkEnd w:id="650"/>
    </w:p>
    <w:p w14:paraId="495C3689">
      <w:pPr>
        <w:ind w:firstLine="420" w:firstLineChars="200"/>
      </w:pPr>
      <w:r>
        <w:rPr>
          <w:rFonts w:hint="eastAsia"/>
        </w:rPr>
        <w:t>项目绩效总体目标：按照“收支平衡、略有结余”的原则，实行市级统筹、专款专用、收支分开管理。</w:t>
      </w:r>
    </w:p>
    <w:p w14:paraId="7AF5AD06">
      <w:pPr>
        <w:ind w:firstLine="420" w:firstLineChars="200"/>
      </w:pPr>
      <w:r>
        <w:rPr>
          <w:rFonts w:hint="eastAsia"/>
        </w:rPr>
        <w:t>阶段性目标：及时收缴参保居民个人缴费收入，提高居民参保率。</w:t>
      </w:r>
    </w:p>
    <w:p w14:paraId="55547402">
      <w:pPr>
        <w:ind w:firstLine="420" w:firstLineChars="200"/>
      </w:pPr>
      <w:bookmarkStart w:id="651" w:name="_Toc3022_WPSOffice_Level2"/>
      <w:bookmarkStart w:id="652" w:name="_Toc28698_WPSOffice_Level2"/>
      <w:r>
        <w:rPr>
          <w:rFonts w:hint="eastAsia"/>
        </w:rPr>
        <w:t>（五）项目预期投入情况</w:t>
      </w:r>
      <w:bookmarkEnd w:id="651"/>
      <w:bookmarkEnd w:id="652"/>
    </w:p>
    <w:p w14:paraId="068B92B9">
      <w:pPr>
        <w:ind w:firstLine="420" w:firstLineChars="200"/>
      </w:pPr>
      <w:r>
        <w:rPr>
          <w:rFonts w:hint="eastAsia"/>
        </w:rPr>
        <w:t>2020年莆田市城乡居民医保执行统一的个人缴费和财政补助相结合的筹资方式和缴费标准，执行统一的保障待遇，其中居民个人缴费标准每人每年250元，按照近三年实际参保人数平均增长率进行预算，2020年的参保人数预计为2988930人，按照250元/人的参保标准，测算出2020年度个人缴费金额为74723万元，实际2020年度个人缴费金额到位73412万元。</w:t>
      </w:r>
      <w:r>
        <w:rPr>
          <w:rFonts w:hint="eastAsia"/>
        </w:rPr>
        <w:tab/>
      </w:r>
    </w:p>
    <w:p w14:paraId="693F5F19">
      <w:pPr>
        <w:ind w:firstLine="420" w:firstLineChars="200"/>
      </w:pPr>
      <w:bookmarkStart w:id="653" w:name="_Toc8662_WPSOffice_Level2"/>
      <w:bookmarkStart w:id="654" w:name="_Toc9900_WPSOffice_Level2"/>
      <w:r>
        <w:rPr>
          <w:rFonts w:hint="eastAsia"/>
        </w:rPr>
        <w:t>（六）预期主要的经济、政治和社会效益</w:t>
      </w:r>
      <w:bookmarkEnd w:id="653"/>
      <w:bookmarkEnd w:id="654"/>
    </w:p>
    <w:p w14:paraId="12AE8D98">
      <w:pPr>
        <w:ind w:firstLine="420" w:firstLineChars="200"/>
      </w:pPr>
      <w:r>
        <w:rPr>
          <w:rFonts w:hint="eastAsia"/>
        </w:rPr>
        <w:t>通过城乡居民基本医疗保险基金支出项目，提高城乡居民的医疗待遇水平，减轻城乡居民看病压力，保障城乡居民医保基金的可持续性，同时，进一步提高参保人员的满意度，增强人民群众幸福感。</w:t>
      </w:r>
    </w:p>
    <w:p w14:paraId="48BF68FB">
      <w:pPr>
        <w:ind w:firstLine="420" w:firstLineChars="200"/>
        <w:outlineLvl w:val="0"/>
      </w:pPr>
      <w:bookmarkStart w:id="655" w:name="_Toc12315_WPSOffice_Level1"/>
      <w:bookmarkStart w:id="656" w:name="_Toc16095"/>
      <w:bookmarkStart w:id="657" w:name="_Toc21412_WPSOffice_Level1"/>
      <w:r>
        <w:rPr>
          <w:rFonts w:hint="eastAsia"/>
        </w:rPr>
        <w:t>二、项目实施基本情况</w:t>
      </w:r>
      <w:bookmarkEnd w:id="655"/>
      <w:bookmarkEnd w:id="656"/>
      <w:bookmarkEnd w:id="657"/>
      <w:r>
        <w:rPr>
          <w:rFonts w:hint="eastAsia"/>
        </w:rPr>
        <w:t xml:space="preserve">   </w:t>
      </w:r>
    </w:p>
    <w:p w14:paraId="67CB2CBD">
      <w:pPr>
        <w:ind w:firstLine="420" w:firstLineChars="200"/>
      </w:pPr>
      <w:bookmarkStart w:id="658" w:name="_Toc18672_WPSOffice_Level2"/>
      <w:bookmarkStart w:id="659" w:name="_Toc8649_WPSOffice_Level2"/>
      <w:r>
        <w:rPr>
          <w:rFonts w:hint="eastAsia"/>
        </w:rPr>
        <w:t>（一）项目组织管理情况</w:t>
      </w:r>
      <w:bookmarkEnd w:id="658"/>
      <w:bookmarkEnd w:id="659"/>
    </w:p>
    <w:p w14:paraId="34656218">
      <w:pPr>
        <w:ind w:firstLine="420" w:firstLineChars="200"/>
      </w:pPr>
      <w:r>
        <w:rPr>
          <w:rFonts w:hint="eastAsia"/>
        </w:rPr>
        <w:t>严格按照《福建省城乡居民基本医疗保险财政补助资金管理暂行办法》（闽财社〔2017〕41号）、《莆田市财政局莆田市医保局关于印发莆田市城乡居民基本医疗保险统筹管理实施方案的通知》（莆医〔2017〕6号）、《国家税务总局莆田市税务局 莆田市财政局 莆田市医疗保障局 关于做好2020年度莆田市城乡居民基本医疗保险参保缴费的通知》（莆税发〔2019〕56号）等文件精神，在2020年度相继出台《莆田市医疗保障局关于进一步调整城乡居民医保住院报销待遇的通知》（莆医保基金〔2020〕195号）等文件，进一步规范城乡居民医疗保险基金的管理和使用，提高使用效益。</w:t>
      </w:r>
    </w:p>
    <w:p w14:paraId="5A450B05">
      <w:pPr>
        <w:ind w:firstLine="420" w:firstLineChars="200"/>
      </w:pPr>
      <w:bookmarkStart w:id="660" w:name="_Toc17142_WPSOffice_Level2"/>
      <w:bookmarkStart w:id="661" w:name="_Toc4593_WPSOffice_Level2"/>
      <w:r>
        <w:rPr>
          <w:rFonts w:hint="eastAsia"/>
        </w:rPr>
        <w:t>（二）项目资金使用情况</w:t>
      </w:r>
      <w:bookmarkEnd w:id="660"/>
      <w:bookmarkEnd w:id="661"/>
    </w:p>
    <w:p w14:paraId="5D08A052">
      <w:pPr>
        <w:ind w:firstLine="420" w:firstLineChars="200"/>
      </w:pPr>
      <w:bookmarkStart w:id="662" w:name="fi_xm_year1"/>
      <w:bookmarkEnd w:id="662"/>
      <w:r>
        <w:rPr>
          <w:rFonts w:hint="eastAsia"/>
        </w:rPr>
        <w:t>2020年度城乡居民基本医疗基金保险基金支出预算安排74723万元，其中保费收入74723万元，资金使用合法合规。</w:t>
      </w:r>
    </w:p>
    <w:p w14:paraId="1FFCD835">
      <w:pPr>
        <w:ind w:firstLine="420" w:firstLineChars="200"/>
      </w:pPr>
      <w:r>
        <w:rPr>
          <w:rFonts w:hint="eastAsia"/>
        </w:rPr>
        <w:t>2020年度基本医疗统筹基金报销总金额220421.53万元，其中，普通门诊报销1590765人次，总报销2669.81万元，特殊门诊报销2339653人次，总报销54087.29万元，住院报销355758人次，总报销112342.57万元；大病保险费支出51321.86万元。（注：所支出的资金均来源于居民个人医保缴费收入、省市区财政补助以及其利息。）</w:t>
      </w:r>
    </w:p>
    <w:p w14:paraId="1A391501">
      <w:pPr>
        <w:ind w:firstLine="420" w:firstLineChars="200"/>
      </w:pPr>
      <w:bookmarkStart w:id="663" w:name="_Toc8998_WPSOffice_Level2"/>
      <w:bookmarkStart w:id="664" w:name="_Toc17953_WPSOffice_Level2"/>
      <w:r>
        <w:rPr>
          <w:rFonts w:hint="eastAsia"/>
        </w:rPr>
        <w:t>（三）项目计划实施内容</w:t>
      </w:r>
      <w:bookmarkEnd w:id="663"/>
      <w:bookmarkEnd w:id="664"/>
    </w:p>
    <w:p w14:paraId="0EE4074E">
      <w:pPr>
        <w:ind w:firstLine="420" w:firstLineChars="200"/>
      </w:pPr>
      <w:r>
        <w:rPr>
          <w:rFonts w:hint="eastAsia"/>
        </w:rPr>
        <w:t>项目用途和主要内容：城乡居民基本医疗保险是最大的民生实事，使广大城乡老年人和因患病的困难群体的生活得到应有的保障，使老年人及患病家族的生活质量得到应有的保证。</w:t>
      </w:r>
    </w:p>
    <w:p w14:paraId="4552361D">
      <w:pPr>
        <w:ind w:firstLine="420" w:firstLineChars="200"/>
      </w:pPr>
      <w:r>
        <w:rPr>
          <w:rFonts w:hint="eastAsia"/>
        </w:rPr>
        <w:t>项目涉及范围：全市范围内城乡居民基本医疗保险参保人员和依法享受城乡居民基本医疗保险待遇的人员。</w:t>
      </w:r>
    </w:p>
    <w:p w14:paraId="59E5CD7A">
      <w:pPr>
        <w:ind w:firstLine="420" w:firstLineChars="200"/>
      </w:pPr>
      <w:r>
        <w:rPr>
          <w:rFonts w:hint="eastAsia"/>
        </w:rPr>
        <w:t>项目起止时间：2020年01月01日至2020年12月31日。</w:t>
      </w:r>
    </w:p>
    <w:p w14:paraId="036FD206">
      <w:pPr>
        <w:ind w:firstLine="420" w:firstLineChars="200"/>
      </w:pPr>
      <w:r>
        <w:rPr>
          <w:rFonts w:hint="eastAsia"/>
        </w:rPr>
        <w:t>制度措施：</w:t>
      </w:r>
    </w:p>
    <w:p w14:paraId="4CBD96A2">
      <w:pPr>
        <w:ind w:firstLine="420" w:firstLineChars="200"/>
      </w:pPr>
      <w:r>
        <w:rPr>
          <w:rFonts w:hint="eastAsia"/>
        </w:rPr>
        <w:t>1.落实各项医保基础制度。坚持“保基本、可持续”原则，加快建设以基本医疗保险为主体、医疗救助为托底、补充医疗保险等共同发展的医疗保障制度体系，完善筹资运行机制和制度间的政策衔接。</w:t>
      </w:r>
    </w:p>
    <w:p w14:paraId="201200E4">
      <w:pPr>
        <w:ind w:firstLine="420" w:firstLineChars="200"/>
      </w:pPr>
      <w:r>
        <w:rPr>
          <w:rFonts w:hint="eastAsia"/>
        </w:rPr>
        <w:t>2.落实医保待遇清单制度。全面落实国家新版医保药品目录。对照国家医保待遇清单，全面梳理医保待遇政策，确保政策衔接和平稳过渡。完善落实城乡居民高血压、糖尿病门诊用药保障机制。</w:t>
      </w:r>
    </w:p>
    <w:p w14:paraId="5CE8A923">
      <w:pPr>
        <w:ind w:firstLine="420" w:firstLineChars="200"/>
      </w:pPr>
      <w:r>
        <w:rPr>
          <w:rFonts w:hint="eastAsia"/>
        </w:rPr>
        <w:t>3.完成医疗保障扶贫任务。实施医疗保障扶贫三年行动，健全重特大疾病医疗保险和救助制度，落实精准扶贫医疗叠加保险政策。</w:t>
      </w:r>
    </w:p>
    <w:p w14:paraId="1D24DACE">
      <w:pPr>
        <w:ind w:firstLine="420" w:firstLineChars="200"/>
      </w:pPr>
      <w:r>
        <w:rPr>
          <w:rFonts w:hint="eastAsia"/>
        </w:rPr>
        <w:t>4.推进医保基金筹资和运行。持续巩固医保参保覆盖面，确保应保尽保、应收尽收。在基本实现参保全覆盖的基础上重点杜绝重复参保，做实参保基础数据，夯实缴费基数。做好医保基金年度预算、决算和基金报表编制工作，规范基金运行管理。</w:t>
      </w:r>
    </w:p>
    <w:p w14:paraId="49D115FB">
      <w:pPr>
        <w:ind w:firstLine="420" w:firstLineChars="200"/>
        <w:outlineLvl w:val="0"/>
      </w:pPr>
      <w:bookmarkStart w:id="665" w:name="_Toc6687_WPSOffice_Level1"/>
      <w:bookmarkStart w:id="666" w:name="_Toc3002"/>
      <w:bookmarkStart w:id="667" w:name="_Toc3022_WPSOffice_Level1"/>
      <w:r>
        <w:rPr>
          <w:rFonts w:hint="eastAsia"/>
        </w:rPr>
        <w:t>三、项目绩效分析</w:t>
      </w:r>
      <w:bookmarkEnd w:id="665"/>
      <w:bookmarkEnd w:id="666"/>
      <w:bookmarkEnd w:id="667"/>
    </w:p>
    <w:p w14:paraId="5B426EA1">
      <w:pPr>
        <w:ind w:firstLine="420" w:firstLineChars="200"/>
      </w:pPr>
      <w:bookmarkStart w:id="668" w:name="_Toc28122_WPSOffice_Level2"/>
      <w:bookmarkStart w:id="669" w:name="_Toc30060_WPSOffice_Level2"/>
      <w:r>
        <w:rPr>
          <w:rFonts w:hint="eastAsia"/>
        </w:rPr>
        <w:t>（一）项目绩效评价工作开展情况</w:t>
      </w:r>
      <w:bookmarkEnd w:id="668"/>
      <w:bookmarkEnd w:id="669"/>
    </w:p>
    <w:p w14:paraId="61027431">
      <w:pPr>
        <w:ind w:firstLine="420" w:firstLineChars="200"/>
      </w:pPr>
      <w:r>
        <w:rPr>
          <w:rFonts w:hint="eastAsia"/>
        </w:rPr>
        <w:t>根据设计的绩效评价指标体系，采用查看资料、成本效益分析法等评价方法，通过收集相关材料报表、分析有关数据等方式，对2020年城乡居民基本医疗保险基金支出项目绩效进行全面科学评价。</w:t>
      </w:r>
    </w:p>
    <w:p w14:paraId="1C810984">
      <w:pPr>
        <w:ind w:firstLine="420" w:firstLineChars="200"/>
      </w:pPr>
      <w:bookmarkStart w:id="670" w:name="_Toc5167_WPSOffice_Level2"/>
      <w:bookmarkStart w:id="671" w:name="_Toc11288_WPSOffice_Level2"/>
      <w:r>
        <w:rPr>
          <w:rFonts w:hint="eastAsia"/>
        </w:rPr>
        <w:t>（二）项目绩效分析</w:t>
      </w:r>
      <w:bookmarkEnd w:id="670"/>
      <w:bookmarkEnd w:id="671"/>
    </w:p>
    <w:p w14:paraId="4B13B6FC">
      <w:pPr>
        <w:ind w:firstLine="420" w:firstLineChars="200"/>
      </w:pPr>
      <w:r>
        <w:rPr>
          <w:rFonts w:hint="eastAsia"/>
        </w:rPr>
        <w:t>经评价，满分100分，最终得分</w:t>
      </w:r>
      <w:bookmarkStart w:id="672" w:name="fi_zb_zdf"/>
      <w:bookmarkEnd w:id="672"/>
      <w:r>
        <w:rPr>
          <w:rFonts w:hint="eastAsia"/>
        </w:rPr>
        <w:t>91.75分，评价等级为</w:t>
      </w:r>
      <w:bookmarkStart w:id="673" w:name="fi_zb_pjdj"/>
      <w:bookmarkEnd w:id="673"/>
      <w:r>
        <w:rPr>
          <w:rFonts w:hint="eastAsia"/>
        </w:rPr>
        <w:t>优。具体评价如下：</w:t>
      </w:r>
    </w:p>
    <w:p w14:paraId="5EE1BF07">
      <w:pPr>
        <w:ind w:firstLine="420" w:firstLineChars="200"/>
      </w:pPr>
      <w:r>
        <w:rPr>
          <w:rFonts w:hint="eastAsia"/>
        </w:rPr>
        <w:t>1.项目决策</w:t>
      </w:r>
    </w:p>
    <w:p w14:paraId="5FBB0717">
      <w:pPr>
        <w:ind w:firstLine="420" w:firstLineChars="200"/>
      </w:pPr>
      <w:r>
        <w:rPr>
          <w:rFonts w:hint="eastAsia"/>
        </w:rPr>
        <w:t>项目决策。（满分10分，最终得分10分）其中：</w:t>
      </w:r>
    </w:p>
    <w:p w14:paraId="5139AFC9">
      <w:pPr>
        <w:ind w:firstLine="420" w:firstLineChars="200"/>
      </w:pPr>
      <w:r>
        <w:rPr>
          <w:rFonts w:hint="eastAsia"/>
        </w:rPr>
        <w:t>（1）政策相关性。（满分5分，实际得分5分）</w:t>
      </w:r>
    </w:p>
    <w:p w14:paraId="2E757ACD">
      <w:pPr>
        <w:ind w:firstLine="420" w:firstLineChars="200"/>
      </w:pPr>
      <w:r>
        <w:rPr>
          <w:rFonts w:hint="eastAsia"/>
        </w:rPr>
        <w:t>宏观政策相关性（得2分）：该项目在组织管理、财务管理、信息管理、账户管理、基金控费以及基金安全监管等方面都能严格遵守相关制度，能贯彻落实医疗保障的重点政策和切实加强医疗保障基金的监督管理，在2020年度所出台的《莆田市医疗保障局关于调整城乡居民医保普通门诊报销待遇的通知》（莆医保基金〔2020〕66号）、《莆田市医疗保障局关于调整我市城乡居民基本医疗保险门诊特殊病种保险待遇的通知》（莆医保基金〔2020〕103号）等文件符合《福建省医疗保障局 福建省财政厅 国家税务局福建省税务局关于做好2020年城乡居民基本医疗保障工作的通知》（莆医保〔2020〕68号）精神，并能结合我市实际情况，提高城乡居民基本医疗保险筹资标准，完善城乡居民基本医疗保险待遇保障机制。</w:t>
      </w:r>
    </w:p>
    <w:p w14:paraId="55029696">
      <w:pPr>
        <w:ind w:firstLine="420" w:firstLineChars="200"/>
      </w:pPr>
      <w:r>
        <w:rPr>
          <w:rFonts w:hint="eastAsia"/>
        </w:rPr>
        <w:t>部门职责相关性（得3分）：其中，莆田市医疗保障基金中心目前内设信息科、财务科、医保定点协议科、医保履约服务科、医保待遇科、参保登记服务科等机构，各部门职能明确，与莆田市医疗保障局的工作规划和工作重点相关（2分）；医保、财务部门设置有会计、出纳、审核、业务管理等人员，岗位职责明确，能保证履行居民基本医保政策职责（1分）。</w:t>
      </w:r>
    </w:p>
    <w:p w14:paraId="52302EBE">
      <w:pPr>
        <w:ind w:firstLine="420" w:firstLineChars="200"/>
      </w:pPr>
      <w:r>
        <w:rPr>
          <w:rFonts w:hint="eastAsia"/>
        </w:rPr>
        <w:t>（2）程序规范性。（满分5分，实际得分5分）</w:t>
      </w:r>
    </w:p>
    <w:p w14:paraId="24487207">
      <w:pPr>
        <w:ind w:firstLine="420" w:firstLineChars="200"/>
      </w:pPr>
      <w:r>
        <w:rPr>
          <w:rFonts w:hint="eastAsia"/>
        </w:rPr>
        <w:t>绩效目标规范性（得2分）：基金预算能够按规定编制预算目标（1分）；且预算绩效目标涵盖项目产出和效果（1分）。</w:t>
      </w:r>
    </w:p>
    <w:p w14:paraId="2B9930AA">
      <w:pPr>
        <w:ind w:firstLine="420" w:firstLineChars="200"/>
      </w:pPr>
      <w:r>
        <w:rPr>
          <w:rFonts w:hint="eastAsia"/>
        </w:rPr>
        <w:t>资金分配规范性（得3分）：医保中心在年度终了前（10月份）能够按照财政局规定的表式、时间和编制要求，根据2020年度基金执行情况和下年度应收基金收支的相关因素，编制下年度基金预算。</w:t>
      </w:r>
    </w:p>
    <w:p w14:paraId="68539A0E">
      <w:pPr>
        <w:ind w:firstLine="420" w:firstLineChars="200"/>
      </w:pPr>
      <w:r>
        <w:rPr>
          <w:rFonts w:hint="eastAsia"/>
        </w:rPr>
        <w:t>2.项目管理</w:t>
      </w:r>
    </w:p>
    <w:p w14:paraId="1C1AE606">
      <w:pPr>
        <w:ind w:firstLine="420" w:firstLineChars="200"/>
      </w:pPr>
      <w:r>
        <w:rPr>
          <w:rFonts w:hint="eastAsia"/>
        </w:rPr>
        <w:t>项目管理。（满分35分，最终得分30.5分）</w:t>
      </w:r>
    </w:p>
    <w:p w14:paraId="0CE34902">
      <w:pPr>
        <w:ind w:firstLine="420" w:firstLineChars="200"/>
      </w:pPr>
      <w:r>
        <w:rPr>
          <w:rFonts w:hint="eastAsia"/>
        </w:rPr>
        <w:t>（1）资金落实。（满分6分，实际得分6分）</w:t>
      </w:r>
    </w:p>
    <w:p w14:paraId="21F53ABC">
      <w:pPr>
        <w:ind w:firstLine="420" w:firstLineChars="200"/>
      </w:pPr>
      <w:r>
        <w:rPr>
          <w:rFonts w:hint="eastAsia"/>
        </w:rPr>
        <w:t>本级补助资金到位率（得3分）：2020年度市级财政预算补助资金9539万元，实际到位9539万元。按参保人数结算应到位9386万元，当年全部到位，到位率100%。</w:t>
      </w:r>
    </w:p>
    <w:p w14:paraId="26AE40BB">
      <w:pPr>
        <w:ind w:firstLine="420" w:firstLineChars="200"/>
      </w:pPr>
      <w:r>
        <w:rPr>
          <w:rFonts w:hint="eastAsia"/>
        </w:rPr>
        <w:t>补助资金到位及时率（得3分）：2020年度市级财政补助资金按照政策要求及时拨付到位。到位及时率100%。</w:t>
      </w:r>
    </w:p>
    <w:p w14:paraId="5E780939">
      <w:pPr>
        <w:ind w:firstLine="420" w:firstLineChars="200"/>
      </w:pPr>
      <w:r>
        <w:rPr>
          <w:rFonts w:hint="eastAsia"/>
        </w:rPr>
        <w:t>（2）业务管理。（满分10分，实际得分9.5分）</w:t>
      </w:r>
    </w:p>
    <w:p w14:paraId="55F3D215">
      <w:pPr>
        <w:ind w:firstLine="420" w:firstLineChars="200"/>
      </w:pPr>
      <w:r>
        <w:rPr>
          <w:rFonts w:hint="eastAsia"/>
        </w:rPr>
        <w:t>管理办法（得2分）：为进一步推进医保管理体制改革，提高基金使用效率和保障水平，根据《中共福建省委办公厅 福建省人民政府办公厅印发&lt;试行&gt;的通知》（闽委办发〔2016〕44号）文件精神（1分），依据《福建省城乡居民基本医疗保险财政补助资金管理暂行办法》，结合本市实际，制定莆田市城乡居民基本医疗保险统筹实施方案（《莆田市财政局 莆田市医疗保障局关于印发莆田市城乡居民基本医疗保险统筹管理实施方案的通知》）（莆医保基金〔2017〕6号）、《莆田市医疗保障局关于调整我市城乡居民基本医疗保险门诊特殊病种报销待遇的通知》（莆医保基金〔2020〕103号）、《莆田市医疗保障局关于调整我市门诊特殊病种定点医疗机 构管理规定的通知》（莆医保基金〔2021〕34号）（1分）</w:t>
      </w:r>
    </w:p>
    <w:p w14:paraId="1E9FE803">
      <w:pPr>
        <w:ind w:firstLine="420" w:firstLineChars="200"/>
      </w:pPr>
      <w:r>
        <w:rPr>
          <w:rFonts w:hint="eastAsia"/>
        </w:rPr>
        <w:t>宣传公示（得1.5分）：医保中心有通过市医保局网站、“莆田医疗保障”微信公众号、莆田电视台“话说医保”“医保近距离”对外宣传医保政策及参保人员政策，但仍然存在参保对象，尤其是农村地区的参保人员对基本医疗政策和报销政策不是很清楚的情况。（0.5分）基金收支的执行情况、参保人员待遇政策及享受情况有按照政策规定进行办理及公示（1分）。</w:t>
      </w:r>
    </w:p>
    <w:p w14:paraId="13AB68E3">
      <w:pPr>
        <w:ind w:firstLine="420" w:firstLineChars="200"/>
      </w:pPr>
      <w:r>
        <w:rPr>
          <w:rFonts w:hint="eastAsia"/>
        </w:rPr>
        <w:t>参保登记（得1分）：上一年已参加我市城乡居民医保并在医保系统有效参保登记的参保人员，无需重新办理城乡居民医保参保登记（由医保部门默认续保登记），参保人员按税务部门缴费渠道缴纳本年度城乡居民医保费。由于各种原因未在医保系统有效登记（包括在税务缴费时查询不到缴费数据）的人员（免缴人员除外）和首次参加我市城乡居民医保或参保信息发生变更的人员，按以下方式办理参保登记：通过关注“莆田医疗保障”微信公众号、下载莆田惠民宝APP办理参保登记。</w:t>
      </w:r>
    </w:p>
    <w:p w14:paraId="74EAE352">
      <w:pPr>
        <w:ind w:firstLine="420" w:firstLineChars="200"/>
      </w:pPr>
      <w:r>
        <w:rPr>
          <w:rFonts w:hint="eastAsia"/>
        </w:rPr>
        <w:t>定点管理（得1分）：一是对定点医疗机构和定点药店实行年度协议管理。每年度签订《莆田市医保定点医疗机构服务协议》、《莆田市医保定点零售药店服务协议》。二是对定点医疗机构和定点零售药店实行《福建省医疗保障领域信用管理暂行办法》，实行信用评价管理。三是建立动态准入和退出机制。《莆田市医疗保障局转发福建省医疗保障局关于印发医疗保障定点医药机构评估细则（试行）的通知》(莆医保基金〔2021〕82号）文件规定，申请医保定点的医药机构每月可向市或县（区）行政服务中心医保经办窗口（福建省网上办事大厅）提出书面申请，经考核、公示、会议研究通过后纳入医保定点服务协议。依据机构申请或因机构违约行为予办理中止、终止（解除）协议。</w:t>
      </w:r>
    </w:p>
    <w:p w14:paraId="7407ADEC">
      <w:pPr>
        <w:ind w:firstLine="420" w:firstLineChars="200"/>
      </w:pPr>
      <w:r>
        <w:rPr>
          <w:rFonts w:hint="eastAsia"/>
        </w:rPr>
        <w:t>财务核算（得2分）：根据《社会保险基金财务制度》（财社〔2017〕144号）、《社会保险基金会计制度》，参照《福建省城乡居民基本医疗保险财政补助资金管理办法》（财社〔2017〕41号）等相关资金管理办法对医保基金的各项收入和支出实行专账核算、专项管理，专款专用，没有发生财务核算违规问题。</w:t>
      </w:r>
    </w:p>
    <w:p w14:paraId="35368D81">
      <w:pPr>
        <w:ind w:firstLine="420" w:firstLineChars="200"/>
      </w:pPr>
      <w:r>
        <w:rPr>
          <w:rFonts w:hint="eastAsia"/>
        </w:rPr>
        <w:t>信息管理（得2分）：有建立城乡居民医疗保险信息系统，加强医疗费用事前、事中、事后监控和基金监督（1分）；“互联网+”医疗保险便民服务模式运用于闽政通、惠民宝、微信公众号、自助机等，向广大参保群众提供高效便捷的“掌上办、网上办、自助办、电话办、邮寄办”等渠道办理医保各项业务（1分）。</w:t>
      </w:r>
    </w:p>
    <w:p w14:paraId="6D63C8DC">
      <w:pPr>
        <w:ind w:firstLine="420" w:firstLineChars="200"/>
      </w:pPr>
      <w:r>
        <w:rPr>
          <w:rFonts w:hint="eastAsia"/>
        </w:rPr>
        <w:t>（3）基金管理。（满分19分，实际得分15分）</w:t>
      </w:r>
    </w:p>
    <w:p w14:paraId="4BAA8D2A">
      <w:pPr>
        <w:ind w:firstLine="420" w:firstLineChars="200"/>
      </w:pPr>
      <w:r>
        <w:rPr>
          <w:rFonts w:hint="eastAsia"/>
        </w:rPr>
        <w:t>账户管理（得2分）：按照福建省城乡居民基本医疗保险财政补助资金管理暂行办法（财社〔2017〕41号）医保中心定期向莆田市财政局报送基本医疗保险资金使用计划，莆田市财政局对莆田市医保中心报送的基金使用计划进行审核后，及时将基本医疗保险基金拨付至城乡居民基本医疗保险基金专账，并做好相关信息的公开，收入户除向财政专户划转收入外，没有发生其他支付业务；收入户月末无余额；支出户除接受财政专户拨付资金和该账户利息收入外，不存在其他收入业务；支出户除向定点医疗机构结算医疗费用、向参保居民支付医疗费用和向财政专户划拨该账户利息收入外，没有发生其他支付业务。</w:t>
      </w:r>
    </w:p>
    <w:p w14:paraId="742C6E02">
      <w:pPr>
        <w:ind w:firstLine="420" w:firstLineChars="200"/>
      </w:pPr>
      <w:r>
        <w:rPr>
          <w:rFonts w:hint="eastAsia"/>
        </w:rPr>
        <w:t>基金控费（得3分）：实行按照以总额预算为基础，门诊按人头付费，住院按病种、按床日付费等多种方式相结合；出台控费办法：（《莆田市医疗保障局 莆田市财政局关于进一步深化定点医疗机构医保支付方式改革的通知》（莆医保综〔2019〕108号）、《莆田市医疗保障管理局  莆田市财政局关于进一步深化基本医疗保险支付制度改革实施方案（试行）的通知》莆医综〔2017〕14号，并采取措施。</w:t>
      </w:r>
    </w:p>
    <w:p w14:paraId="604826F1">
      <w:pPr>
        <w:ind w:firstLine="420" w:firstLineChars="200"/>
      </w:pPr>
      <w:r>
        <w:rPr>
          <w:rFonts w:hint="eastAsia"/>
        </w:rPr>
        <w:t>基金统筹（得4分）：有统一的普通门诊统筹暂行办法，《莆田市财政局莆田市医保局关于印发莆田市城乡居民基本医疗保险统筹管理实施方案的通知》（莆医〔2017〕6号）、 《莆田市医疗保障局关于调整城乡居民医保普通门诊报销待遇的通知》（莆医保基金〔2020〕66号），报销比例：村卫生所（社区卫生服务站）普通门诊不设起付线，按照50％予以报销，单次报销封顶线调整为30元，每人年封顶线调整为80元（包含在乡镇卫生院、社区卫生服务中心普通门诊年封顶线400元内），符合政策要求。</w:t>
      </w:r>
    </w:p>
    <w:p w14:paraId="7B1E889B">
      <w:pPr>
        <w:ind w:firstLine="420" w:firstLineChars="200"/>
      </w:pPr>
      <w:r>
        <w:rPr>
          <w:rFonts w:hint="eastAsia"/>
        </w:rPr>
        <w:t>基金安全监管（得6分）：</w:t>
      </w:r>
    </w:p>
    <w:p w14:paraId="317493A0">
      <w:pPr>
        <w:ind w:firstLine="420" w:firstLineChars="200"/>
      </w:pPr>
      <w:r>
        <w:rPr>
          <w:rFonts w:hint="eastAsia"/>
        </w:rPr>
        <w:t>①参保登记、缴费基数申报及人员变更等业务在医保驻行政服务中心窗口办理。医保驻行政服务中心窗口委托城乡居民服务中心承办。业务经办流程严格按照《莆田市医疗保险和生育保险业务经办标准化规程》中规定收集材料和办理（1分）。</w:t>
      </w:r>
    </w:p>
    <w:p w14:paraId="02DCD9B3">
      <w:pPr>
        <w:ind w:firstLine="420" w:firstLineChars="200"/>
      </w:pPr>
      <w:r>
        <w:rPr>
          <w:rFonts w:hint="eastAsia"/>
        </w:rPr>
        <w:t>②每月每个季度进行医保基金运行情况分析，形成《莆田市医疗保障基金运行情况分析报告》，对医疗费用偏离预算指标或者预付指标较大的定点医疗机构开展规范医保基金使用等专项稽核工作。每年进行日常实地稽查全覆盖2次，每月进行全覆盖智能稽核。根据省中心疑点数据针对性现场核查（1分）。</w:t>
      </w:r>
    </w:p>
    <w:p w14:paraId="36EC58C4">
      <w:pPr>
        <w:ind w:firstLine="420" w:firstLineChars="200"/>
      </w:pPr>
      <w:r>
        <w:rPr>
          <w:rFonts w:hint="eastAsia"/>
        </w:rPr>
        <w:t>③有建立内控制度和定期对账制度，监控稽核与经办的业务、财务、信息互为不相容岗位且其工作人员没有相互兼任（1分）。</w:t>
      </w:r>
    </w:p>
    <w:p w14:paraId="4A97D1B6">
      <w:pPr>
        <w:ind w:firstLine="420" w:firstLineChars="200"/>
      </w:pPr>
      <w:r>
        <w:rPr>
          <w:rFonts w:hint="eastAsia"/>
        </w:rPr>
        <w:t>④市医保局每年组织开展打击欺诈骗保行为专项行动，各医保分局与各分中心稽核人员组成检查小组，各县区交叉检查的方式进行，但力度还远远不够（酌情给1分）。</w:t>
      </w:r>
    </w:p>
    <w:p w14:paraId="63584966">
      <w:pPr>
        <w:ind w:firstLine="420" w:firstLineChars="200"/>
      </w:pPr>
      <w:r>
        <w:rPr>
          <w:rFonts w:hint="eastAsia"/>
        </w:rPr>
        <w:t>⑤目前《医疗保障基金使用监督管理条例》已经开始施行，条例明确规定了欺诈骗保行为的惩处方法。稽核过程中一旦发现定点医药机构存在欺诈骗保行为，移送市医保局依照条例规定予以惩处（1分）。</w:t>
      </w:r>
    </w:p>
    <w:p w14:paraId="21986FBB">
      <w:pPr>
        <w:ind w:firstLine="420" w:firstLineChars="200"/>
      </w:pPr>
      <w:r>
        <w:rPr>
          <w:rFonts w:hint="eastAsia"/>
        </w:rPr>
        <w:t>⑥对相关部门、经办机构及其工作人员、定点医药机构及其工作人员、参保人员及救助对象依法依规追究责任（1分）。</w:t>
      </w:r>
    </w:p>
    <w:p w14:paraId="3CA43586">
      <w:pPr>
        <w:ind w:firstLine="420" w:firstLineChars="200"/>
      </w:pPr>
      <w:r>
        <w:rPr>
          <w:rFonts w:hint="eastAsia"/>
        </w:rPr>
        <w:t>对于全市定点医疗机构住院病历的抽查方面，每月能够通过的智能稽核系统，按照稽核规则进行全覆盖的核查。稽核工作从量上是到位的。</w:t>
      </w:r>
    </w:p>
    <w:p w14:paraId="190D1053">
      <w:pPr>
        <w:ind w:firstLine="420" w:firstLineChars="200"/>
      </w:pPr>
      <w:r>
        <w:rPr>
          <w:rFonts w:hint="eastAsia"/>
        </w:rPr>
        <w:t>3.项目产出</w:t>
      </w:r>
    </w:p>
    <w:p w14:paraId="0220DFCA">
      <w:pPr>
        <w:ind w:firstLine="420" w:firstLineChars="200"/>
      </w:pPr>
      <w:r>
        <w:rPr>
          <w:rFonts w:hint="eastAsia"/>
        </w:rPr>
        <w:t>项目产出。（满分20分，最终得分17.5分）</w:t>
      </w:r>
    </w:p>
    <w:p w14:paraId="54A33E06">
      <w:pPr>
        <w:ind w:firstLine="420" w:firstLineChars="200"/>
      </w:pPr>
      <w:r>
        <w:rPr>
          <w:rFonts w:hint="eastAsia"/>
        </w:rPr>
        <w:t>（1）产出数量。（满分14分，实际得分12.5分）</w:t>
      </w:r>
    </w:p>
    <w:p w14:paraId="431B2570">
      <w:pPr>
        <w:ind w:firstLine="420" w:firstLineChars="200"/>
      </w:pPr>
      <w:r>
        <w:rPr>
          <w:rFonts w:hint="eastAsia"/>
        </w:rPr>
        <w:t>居民综合参保率（得3.5分）：以常住人口数为基数计算的基本医保综合参保率是111.1%，但以户籍人口数为基数计算的基本医保综合参保率是88.94%。按考核标准扣0.5分。</w:t>
      </w:r>
    </w:p>
    <w:p w14:paraId="27357D81">
      <w:pPr>
        <w:ind w:firstLine="420" w:firstLineChars="200"/>
      </w:pPr>
      <w:r>
        <w:rPr>
          <w:rFonts w:hint="eastAsia"/>
        </w:rPr>
        <w:t>财政参保补助标准（得3分）：各级财政实际补助标准达到政策规定的补助标准。</w:t>
      </w:r>
    </w:p>
    <w:p w14:paraId="2048F6FF">
      <w:pPr>
        <w:ind w:firstLine="420" w:firstLineChars="200"/>
      </w:pPr>
      <w:r>
        <w:rPr>
          <w:rFonts w:hint="eastAsia"/>
        </w:rPr>
        <w:t>表1：各级财政实际补助标准（单位：元）</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1300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130" w:type="dxa"/>
            <w:vAlign w:val="center"/>
          </w:tcPr>
          <w:p w14:paraId="41D57524">
            <w:r>
              <w:rPr>
                <w:rFonts w:hint="eastAsia"/>
              </w:rPr>
              <w:t>县区</w:t>
            </w:r>
          </w:p>
        </w:tc>
        <w:tc>
          <w:tcPr>
            <w:tcW w:w="2130" w:type="dxa"/>
            <w:vAlign w:val="center"/>
          </w:tcPr>
          <w:p w14:paraId="21954075">
            <w:r>
              <w:rPr>
                <w:rFonts w:hint="eastAsia"/>
              </w:rPr>
              <w:t>省级</w:t>
            </w:r>
          </w:p>
        </w:tc>
        <w:tc>
          <w:tcPr>
            <w:tcW w:w="2131" w:type="dxa"/>
            <w:vAlign w:val="center"/>
          </w:tcPr>
          <w:p w14:paraId="3044913B">
            <w:r>
              <w:rPr>
                <w:rFonts w:hint="eastAsia"/>
              </w:rPr>
              <w:t>市级</w:t>
            </w:r>
          </w:p>
        </w:tc>
        <w:tc>
          <w:tcPr>
            <w:tcW w:w="2131" w:type="dxa"/>
            <w:vAlign w:val="center"/>
          </w:tcPr>
          <w:p w14:paraId="2ECCE1A0">
            <w:r>
              <w:rPr>
                <w:rFonts w:hint="eastAsia"/>
              </w:rPr>
              <w:t>区级</w:t>
            </w:r>
          </w:p>
        </w:tc>
      </w:tr>
      <w:tr w14:paraId="04EC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30" w:type="dxa"/>
            <w:vAlign w:val="center"/>
          </w:tcPr>
          <w:p w14:paraId="50A05078">
            <w:r>
              <w:rPr>
                <w:rFonts w:hint="eastAsia"/>
              </w:rPr>
              <w:t>大学生</w:t>
            </w:r>
          </w:p>
        </w:tc>
        <w:tc>
          <w:tcPr>
            <w:tcW w:w="2130" w:type="dxa"/>
            <w:vAlign w:val="center"/>
          </w:tcPr>
          <w:p w14:paraId="1D390E4B">
            <w:r>
              <w:rPr>
                <w:rFonts w:hint="eastAsia"/>
              </w:rPr>
              <w:t>330</w:t>
            </w:r>
          </w:p>
        </w:tc>
        <w:tc>
          <w:tcPr>
            <w:tcW w:w="2131" w:type="dxa"/>
            <w:vAlign w:val="center"/>
          </w:tcPr>
          <w:p w14:paraId="5BCFE739">
            <w:r>
              <w:rPr>
                <w:rFonts w:hint="eastAsia"/>
              </w:rPr>
              <w:t>220</w:t>
            </w:r>
          </w:p>
        </w:tc>
        <w:tc>
          <w:tcPr>
            <w:tcW w:w="2131" w:type="dxa"/>
            <w:vAlign w:val="center"/>
          </w:tcPr>
          <w:p w14:paraId="54F6A160">
            <w:r>
              <w:rPr>
                <w:rFonts w:hint="eastAsia"/>
              </w:rPr>
              <w:t>0</w:t>
            </w:r>
          </w:p>
        </w:tc>
      </w:tr>
      <w:tr w14:paraId="323E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30" w:type="dxa"/>
            <w:vAlign w:val="center"/>
          </w:tcPr>
          <w:p w14:paraId="495776D2">
            <w:r>
              <w:rPr>
                <w:rFonts w:hint="eastAsia"/>
              </w:rPr>
              <w:t>荔城区</w:t>
            </w:r>
          </w:p>
        </w:tc>
        <w:tc>
          <w:tcPr>
            <w:tcW w:w="2130" w:type="dxa"/>
            <w:vAlign w:val="center"/>
          </w:tcPr>
          <w:p w14:paraId="3F572085">
            <w:r>
              <w:rPr>
                <w:rFonts w:hint="eastAsia"/>
              </w:rPr>
              <w:t>330</w:t>
            </w:r>
          </w:p>
        </w:tc>
        <w:tc>
          <w:tcPr>
            <w:tcW w:w="2131" w:type="dxa"/>
            <w:vAlign w:val="center"/>
          </w:tcPr>
          <w:p w14:paraId="401F5A16">
            <w:r>
              <w:rPr>
                <w:rFonts w:hint="eastAsia"/>
              </w:rPr>
              <w:t>35.4</w:t>
            </w:r>
          </w:p>
        </w:tc>
        <w:tc>
          <w:tcPr>
            <w:tcW w:w="2131" w:type="dxa"/>
            <w:vAlign w:val="center"/>
          </w:tcPr>
          <w:p w14:paraId="6495779C">
            <w:r>
              <w:rPr>
                <w:rFonts w:hint="eastAsia"/>
              </w:rPr>
              <w:t>184.6</w:t>
            </w:r>
          </w:p>
        </w:tc>
      </w:tr>
      <w:tr w14:paraId="7579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30" w:type="dxa"/>
            <w:vAlign w:val="center"/>
          </w:tcPr>
          <w:p w14:paraId="2192CBDB">
            <w:r>
              <w:rPr>
                <w:rFonts w:hint="eastAsia"/>
              </w:rPr>
              <w:t>城厢区</w:t>
            </w:r>
          </w:p>
        </w:tc>
        <w:tc>
          <w:tcPr>
            <w:tcW w:w="2130" w:type="dxa"/>
            <w:vAlign w:val="center"/>
          </w:tcPr>
          <w:p w14:paraId="47ADFC34">
            <w:r>
              <w:rPr>
                <w:rFonts w:hint="eastAsia"/>
              </w:rPr>
              <w:t>330</w:t>
            </w:r>
          </w:p>
        </w:tc>
        <w:tc>
          <w:tcPr>
            <w:tcW w:w="2131" w:type="dxa"/>
            <w:vAlign w:val="center"/>
          </w:tcPr>
          <w:p w14:paraId="0FF92CE7">
            <w:r>
              <w:rPr>
                <w:rFonts w:hint="eastAsia"/>
              </w:rPr>
              <w:t>46</w:t>
            </w:r>
          </w:p>
        </w:tc>
        <w:tc>
          <w:tcPr>
            <w:tcW w:w="2131" w:type="dxa"/>
            <w:vAlign w:val="center"/>
          </w:tcPr>
          <w:p w14:paraId="118BB2FE">
            <w:r>
              <w:rPr>
                <w:rFonts w:hint="eastAsia"/>
              </w:rPr>
              <w:t>174</w:t>
            </w:r>
          </w:p>
        </w:tc>
      </w:tr>
      <w:tr w14:paraId="578F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30" w:type="dxa"/>
            <w:vAlign w:val="center"/>
          </w:tcPr>
          <w:p w14:paraId="6110E698">
            <w:r>
              <w:rPr>
                <w:rFonts w:hint="eastAsia"/>
              </w:rPr>
              <w:t>涵江区</w:t>
            </w:r>
          </w:p>
        </w:tc>
        <w:tc>
          <w:tcPr>
            <w:tcW w:w="2130" w:type="dxa"/>
            <w:vAlign w:val="center"/>
          </w:tcPr>
          <w:p w14:paraId="694FC4D5">
            <w:r>
              <w:rPr>
                <w:rFonts w:hint="eastAsia"/>
              </w:rPr>
              <w:t>330</w:t>
            </w:r>
          </w:p>
        </w:tc>
        <w:tc>
          <w:tcPr>
            <w:tcW w:w="2131" w:type="dxa"/>
            <w:vAlign w:val="center"/>
          </w:tcPr>
          <w:p w14:paraId="0C2641D7">
            <w:r>
              <w:rPr>
                <w:rFonts w:hint="eastAsia"/>
              </w:rPr>
              <w:t>51</w:t>
            </w:r>
          </w:p>
        </w:tc>
        <w:tc>
          <w:tcPr>
            <w:tcW w:w="2131" w:type="dxa"/>
            <w:vAlign w:val="center"/>
          </w:tcPr>
          <w:p w14:paraId="2DCE05C4">
            <w:r>
              <w:rPr>
                <w:rFonts w:hint="eastAsia"/>
              </w:rPr>
              <w:t>169</w:t>
            </w:r>
          </w:p>
        </w:tc>
      </w:tr>
      <w:tr w14:paraId="6DE8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30" w:type="dxa"/>
            <w:vAlign w:val="center"/>
          </w:tcPr>
          <w:p w14:paraId="6BCC172D">
            <w:r>
              <w:rPr>
                <w:rFonts w:hint="eastAsia"/>
              </w:rPr>
              <w:t>秀屿区</w:t>
            </w:r>
          </w:p>
        </w:tc>
        <w:tc>
          <w:tcPr>
            <w:tcW w:w="2130" w:type="dxa"/>
            <w:vAlign w:val="center"/>
          </w:tcPr>
          <w:p w14:paraId="7C79C033">
            <w:r>
              <w:rPr>
                <w:rFonts w:hint="eastAsia"/>
              </w:rPr>
              <w:t>330</w:t>
            </w:r>
          </w:p>
        </w:tc>
        <w:tc>
          <w:tcPr>
            <w:tcW w:w="2131" w:type="dxa"/>
            <w:vAlign w:val="center"/>
          </w:tcPr>
          <w:p w14:paraId="702974CC">
            <w:r>
              <w:rPr>
                <w:rFonts w:hint="eastAsia"/>
              </w:rPr>
              <w:t>44</w:t>
            </w:r>
          </w:p>
        </w:tc>
        <w:tc>
          <w:tcPr>
            <w:tcW w:w="2131" w:type="dxa"/>
            <w:vAlign w:val="center"/>
          </w:tcPr>
          <w:p w14:paraId="74B76C16">
            <w:r>
              <w:rPr>
                <w:rFonts w:hint="eastAsia"/>
              </w:rPr>
              <w:t>176</w:t>
            </w:r>
          </w:p>
        </w:tc>
      </w:tr>
      <w:tr w14:paraId="39DD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30" w:type="dxa"/>
            <w:vAlign w:val="center"/>
          </w:tcPr>
          <w:p w14:paraId="1DFC9405">
            <w:r>
              <w:rPr>
                <w:rFonts w:hint="eastAsia"/>
              </w:rPr>
              <w:t>仙游县</w:t>
            </w:r>
          </w:p>
        </w:tc>
        <w:tc>
          <w:tcPr>
            <w:tcW w:w="2130" w:type="dxa"/>
            <w:vAlign w:val="center"/>
          </w:tcPr>
          <w:p w14:paraId="2179B824">
            <w:r>
              <w:rPr>
                <w:rFonts w:hint="eastAsia"/>
              </w:rPr>
              <w:t>440</w:t>
            </w:r>
          </w:p>
        </w:tc>
        <w:tc>
          <w:tcPr>
            <w:tcW w:w="2131" w:type="dxa"/>
            <w:vAlign w:val="center"/>
          </w:tcPr>
          <w:p w14:paraId="0D729E25">
            <w:r>
              <w:rPr>
                <w:rFonts w:hint="eastAsia"/>
              </w:rPr>
              <w:t>9.6</w:t>
            </w:r>
          </w:p>
        </w:tc>
        <w:tc>
          <w:tcPr>
            <w:tcW w:w="2131" w:type="dxa"/>
            <w:vAlign w:val="center"/>
          </w:tcPr>
          <w:p w14:paraId="41E9C921">
            <w:r>
              <w:rPr>
                <w:rFonts w:hint="eastAsia"/>
              </w:rPr>
              <w:t>100.4</w:t>
            </w:r>
          </w:p>
        </w:tc>
      </w:tr>
      <w:tr w14:paraId="439A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30" w:type="dxa"/>
            <w:vAlign w:val="center"/>
          </w:tcPr>
          <w:p w14:paraId="1D5C071D">
            <w:r>
              <w:rPr>
                <w:rFonts w:hint="eastAsia"/>
              </w:rPr>
              <w:t>湄洲岛</w:t>
            </w:r>
          </w:p>
        </w:tc>
        <w:tc>
          <w:tcPr>
            <w:tcW w:w="2130" w:type="dxa"/>
            <w:vAlign w:val="center"/>
          </w:tcPr>
          <w:p w14:paraId="13E9E4C3">
            <w:r>
              <w:rPr>
                <w:rFonts w:hint="eastAsia"/>
              </w:rPr>
              <w:t>330</w:t>
            </w:r>
          </w:p>
        </w:tc>
        <w:tc>
          <w:tcPr>
            <w:tcW w:w="2131" w:type="dxa"/>
            <w:vAlign w:val="center"/>
          </w:tcPr>
          <w:p w14:paraId="3B82CC95">
            <w:r>
              <w:rPr>
                <w:rFonts w:hint="eastAsia"/>
              </w:rPr>
              <w:t>44</w:t>
            </w:r>
          </w:p>
        </w:tc>
        <w:tc>
          <w:tcPr>
            <w:tcW w:w="2131" w:type="dxa"/>
            <w:vAlign w:val="center"/>
          </w:tcPr>
          <w:p w14:paraId="4EF3D075">
            <w:r>
              <w:rPr>
                <w:rFonts w:hint="eastAsia"/>
              </w:rPr>
              <w:t>176</w:t>
            </w:r>
          </w:p>
        </w:tc>
      </w:tr>
      <w:tr w14:paraId="23ED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30" w:type="dxa"/>
            <w:vAlign w:val="center"/>
          </w:tcPr>
          <w:p w14:paraId="5DAA6AF9">
            <w:r>
              <w:rPr>
                <w:rFonts w:hint="eastAsia"/>
              </w:rPr>
              <w:t>北岸</w:t>
            </w:r>
          </w:p>
        </w:tc>
        <w:tc>
          <w:tcPr>
            <w:tcW w:w="2130" w:type="dxa"/>
            <w:vAlign w:val="center"/>
          </w:tcPr>
          <w:p w14:paraId="77365F5D">
            <w:r>
              <w:rPr>
                <w:rFonts w:hint="eastAsia"/>
              </w:rPr>
              <w:t>330</w:t>
            </w:r>
          </w:p>
        </w:tc>
        <w:tc>
          <w:tcPr>
            <w:tcW w:w="2131" w:type="dxa"/>
            <w:vAlign w:val="center"/>
          </w:tcPr>
          <w:p w14:paraId="1C03E04D">
            <w:r>
              <w:rPr>
                <w:rFonts w:hint="eastAsia"/>
              </w:rPr>
              <w:t>35.4</w:t>
            </w:r>
          </w:p>
        </w:tc>
        <w:tc>
          <w:tcPr>
            <w:tcW w:w="2131" w:type="dxa"/>
            <w:vAlign w:val="center"/>
          </w:tcPr>
          <w:p w14:paraId="1D44A24A">
            <w:r>
              <w:rPr>
                <w:rFonts w:hint="eastAsia"/>
              </w:rPr>
              <w:t>184.6</w:t>
            </w:r>
          </w:p>
        </w:tc>
      </w:tr>
    </w:tbl>
    <w:p w14:paraId="695BEB88">
      <w:pPr>
        <w:ind w:firstLine="420" w:firstLineChars="200"/>
      </w:pPr>
      <w:r>
        <w:rPr>
          <w:rFonts w:hint="eastAsia"/>
        </w:rPr>
        <w:t>财政参保资助标准（得2分）：计生免缴人员以及医疗救助人员的个人参保费由政府资助参保。</w:t>
      </w:r>
    </w:p>
    <w:p w14:paraId="44E82190">
      <w:pPr>
        <w:ind w:firstLine="420" w:firstLineChars="200"/>
      </w:pPr>
      <w:r>
        <w:rPr>
          <w:rFonts w:hint="eastAsia"/>
        </w:rPr>
        <w:t>大病保险基金提取标准（得1分）：2020年确定的大病保费是177.53元，符合本市政策标准。</w:t>
      </w:r>
    </w:p>
    <w:p w14:paraId="0EAE9E73">
      <w:pPr>
        <w:ind w:firstLine="420" w:firstLineChars="200"/>
      </w:pPr>
      <w:r>
        <w:rPr>
          <w:rFonts w:hint="eastAsia"/>
        </w:rPr>
        <w:t>参保居民缴费达标率（得3分）：居民实际缴费标准达到政策规定的标准。</w:t>
      </w:r>
    </w:p>
    <w:p w14:paraId="4C11C68A">
      <w:pPr>
        <w:ind w:firstLine="420" w:firstLineChars="200"/>
      </w:pPr>
      <w:r>
        <w:rPr>
          <w:rFonts w:hint="eastAsia"/>
        </w:rPr>
        <w:t>（2）产出质量。（满分6分，实际得分5分）</w:t>
      </w:r>
    </w:p>
    <w:p w14:paraId="7678B48B">
      <w:pPr>
        <w:ind w:firstLine="420" w:firstLineChars="200"/>
      </w:pPr>
      <w:r>
        <w:rPr>
          <w:rFonts w:hint="eastAsia"/>
        </w:rPr>
        <w:t>当年统筹基金结余率（得3分）：2020年度基金结余率=（6542.59万元÷229057.41万元）×100%=2.86%，结余率小于15%，得满分。</w:t>
      </w:r>
    </w:p>
    <w:p w14:paraId="5B8E934C">
      <w:pPr>
        <w:ind w:firstLine="420" w:firstLineChars="200"/>
      </w:pPr>
      <w:r>
        <w:rPr>
          <w:rFonts w:hint="eastAsia"/>
        </w:rPr>
        <w:t>统筹基金滚存（累计）结余可支付月数（得2分）：累计结余可使用3.56个月。（基金滚存结余可支付月数在6～9个月之间，得3分；基金滚存结余可支付月数在政策要求6个月基础上每减少1个月或在9个月基础上每增加1个月，减0.5分，故而，扣1分）</w:t>
      </w:r>
    </w:p>
    <w:p w14:paraId="3AF9B4D9">
      <w:pPr>
        <w:ind w:firstLine="420" w:firstLineChars="200"/>
      </w:pPr>
      <w:r>
        <w:rPr>
          <w:rFonts w:hint="eastAsia"/>
        </w:rPr>
        <w:t>4.项目效益</w:t>
      </w:r>
    </w:p>
    <w:p w14:paraId="5C20D6D6">
      <w:pPr>
        <w:ind w:firstLine="420" w:firstLineChars="200"/>
      </w:pPr>
      <w:r>
        <w:rPr>
          <w:rFonts w:hint="eastAsia"/>
        </w:rPr>
        <w:t>项目效益。（满分35分，最终得分33.75分）</w:t>
      </w:r>
    </w:p>
    <w:p w14:paraId="277B4EF7">
      <w:pPr>
        <w:ind w:firstLine="420" w:firstLineChars="200"/>
      </w:pPr>
      <w:r>
        <w:rPr>
          <w:rFonts w:hint="eastAsia"/>
        </w:rPr>
        <w:t>（1）门诊保障待遇。（满分15分，实际得分15分）</w:t>
      </w:r>
    </w:p>
    <w:p w14:paraId="0E7E7725">
      <w:pPr>
        <w:ind w:firstLine="420" w:firstLineChars="200"/>
      </w:pPr>
      <w:r>
        <w:rPr>
          <w:rFonts w:hint="eastAsia"/>
        </w:rPr>
        <w:t>普通门诊统筹待遇落实情况（得8分）：普通门诊统筹支付比例符合政策标准（基金支付比例50%左右）。</w:t>
      </w:r>
    </w:p>
    <w:p w14:paraId="4343E7BC">
      <w:pPr>
        <w:ind w:firstLine="420" w:firstLineChars="200"/>
      </w:pPr>
      <w:r>
        <w:rPr>
          <w:rFonts w:hint="eastAsia"/>
        </w:rPr>
        <w:t>特殊门诊统筹待遇落实情况（得7分）：按《莆田市医疗保障局关于调整我市城乡居民基本医疗保险门诊特殊病种报销待遇的通知》（莆医保基金〔2020〕103号）、《莆田市医疗保障局关于调整我市门诊特殊病种定点医疗机构管理规定的通知》（莆医保基金〔2021〕34号）落实，规范和保障了门诊特殊病种患者的基本医疗。</w:t>
      </w:r>
    </w:p>
    <w:p w14:paraId="2C76A8BD">
      <w:pPr>
        <w:ind w:firstLine="420" w:firstLineChars="200"/>
      </w:pPr>
      <w:r>
        <w:rPr>
          <w:rFonts w:hint="eastAsia"/>
        </w:rPr>
        <w:t>（2）住院保障待遇。（满分15分，实际得分15分）</w:t>
      </w:r>
    </w:p>
    <w:p w14:paraId="58E57973">
      <w:pPr>
        <w:ind w:firstLine="420" w:firstLineChars="200"/>
      </w:pPr>
      <w:r>
        <w:rPr>
          <w:rFonts w:hint="eastAsia"/>
        </w:rPr>
        <w:t>参保人政策内住院费用报销比例（得10分）：《莆田市医疗保障局关于进一步调整城乡居民医保住院报销待遇的通知》（莆医保基金〔2020〕195号）规定：城乡居民基本医疗保险参保人员在本市内定点乡镇卫生院、社区卫生服务中心住院治疗的，政策范围内报销比例为90%；在定点精神病专科医疗机构就诊并确定为精神类疾病需住院治疗的，住院医疗费用（包括医保目录外费用，参保人员自行承担的超标床位费除外）不设起付线，报销比例为90%；参保人员危险性评估认定等级为三级以上（含三级）重性精神障碍患者在市内精神病专科医疗机构住院，医疗费用不设起付线，报销比例为95%；在一级医疗机构住院康复治疗医疗费用，政策范围内报销比例为80%；其他一级定点医疗机构或未定级的定点医疗机构住院治疗的，政策范围内报销比例为85%。大病保险起付线和报销比例按原政策规定。（参保人政策内住院费用报销比例≥70%，得10分，每降低1个百分点，减1分，0分为止，故而得满分）</w:t>
      </w:r>
    </w:p>
    <w:p w14:paraId="5BDE707E">
      <w:pPr>
        <w:ind w:firstLine="420" w:firstLineChars="200"/>
      </w:pPr>
      <w:r>
        <w:rPr>
          <w:rFonts w:hint="eastAsia"/>
        </w:rPr>
        <w:t>基层首诊和双向转诊住院费用报销比例（得2分）：有落实基层首诊和双向转诊待遇政策，城乡居民基本医疗保险参保人员基层首诊在本市内定点乡镇卫生院、社区卫生服务中心住院治疗的，政策范围内报销比例为90%；经上级医疗机构转诊进入乡镇级医疗机构联合病房康复的，不设起付线；经上级医疗机构转诊到县（区）级（二级）医疗机构联合病房康复的，降低起付标准。（《莆田市医疗保障局关于进一步调整城乡居民医保住院报销待遇的通知》（莆医保基金〔2020〕195号）、《关于进一步推进联合病房试点工作的通知》（莆卫医政〔2020〕87号）；为进一步推进分级诊疗，推动公立医院改革向纵深发展，完善上下联动、双向转诊、急慢分治分工协作机制，健全“小病在社区、大病进医院、康复回社区”医疗服务模式，市医保局在全省率先从医保政策上支持联合病房建设，呈现出双向转诊更顺畅，人民群众就医更便捷，医疗费用更优惠，就医获得感再提升的良好局面。经上级医疗机构转诊进入乡镇级医疗机构联合病房康复的，不设起付线；经上级医疗机构转诊到县（区）级（二级）医疗机构联合病房康复的，降低起付标准。</w:t>
      </w:r>
    </w:p>
    <w:p w14:paraId="148EDC8B">
      <w:pPr>
        <w:ind w:firstLine="420" w:firstLineChars="200"/>
      </w:pPr>
      <w:r>
        <w:rPr>
          <w:rFonts w:hint="eastAsia"/>
        </w:rPr>
        <w:t>一站式即时报销覆盖率（得3分）：全市所有定点医疗机构全部实行了一站式即时报销，一站式即时报销覆盖率为100%，得满分。</w:t>
      </w:r>
    </w:p>
    <w:p w14:paraId="2E64EF01">
      <w:pPr>
        <w:ind w:firstLine="420" w:firstLineChars="200"/>
      </w:pPr>
      <w:r>
        <w:rPr>
          <w:rFonts w:hint="eastAsia"/>
        </w:rPr>
        <w:t>（3）受益群体满意度。（满分5分，实际得分3.75分）</w:t>
      </w:r>
    </w:p>
    <w:p w14:paraId="2899EFAA">
      <w:pPr>
        <w:ind w:firstLine="420" w:firstLineChars="200"/>
      </w:pPr>
      <w:r>
        <w:rPr>
          <w:rFonts w:hint="eastAsia"/>
        </w:rPr>
        <w:t>因省级政务好差评系统属于医保服务后的即时评价，且用户评价人数较多，为308293人，效度和信度较高，所以可以作为满意度的主要参考依据。根据省级政务好差评系统，满意度为97.5%，按评分标准计算扣1.25分。</w:t>
      </w:r>
    </w:p>
    <w:p w14:paraId="4122F903">
      <w:pPr>
        <w:ind w:firstLine="420" w:firstLineChars="200"/>
      </w:pPr>
      <w:r>
        <w:rPr>
          <w:rFonts w:hint="eastAsia"/>
        </w:rPr>
        <w:t>综上所述，通过上述对2020年度莆田市城乡居民基本医疗保险基金项目的绩效评价指标体系的逐项分析，4个一级指标得分情况如下：项目决策：满分10分，得10分；项目管理：满分35分，得30.5分；项目产出：满分20分，得17.5分；项目效益：满分35分，得33.75分，总计得分：91.75，评价等级为优。</w:t>
      </w:r>
      <w:r>
        <w:t>评价指标体系及具体得分情况详见附件</w:t>
      </w:r>
      <w:r>
        <w:rPr>
          <w:rFonts w:hint="eastAsia"/>
        </w:rPr>
        <w:t>1： 2020年度城乡居民基本医疗保险资金绩效评价指标体系及得分情况。</w:t>
      </w:r>
    </w:p>
    <w:p w14:paraId="09B3B39A">
      <w:pPr>
        <w:ind w:firstLine="420" w:firstLineChars="200"/>
        <w:outlineLvl w:val="0"/>
      </w:pPr>
      <w:bookmarkStart w:id="674" w:name="_Toc9900_WPSOffice_Level1"/>
      <w:bookmarkStart w:id="675" w:name="_Toc30062"/>
      <w:bookmarkStart w:id="676" w:name="_Toc28698_WPSOffice_Level1"/>
      <w:r>
        <w:t>四、项目主要成效</w:t>
      </w:r>
      <w:bookmarkEnd w:id="674"/>
      <w:bookmarkEnd w:id="675"/>
      <w:bookmarkEnd w:id="676"/>
    </w:p>
    <w:p w14:paraId="2A320941">
      <w:pPr>
        <w:ind w:firstLine="420" w:firstLineChars="200"/>
      </w:pPr>
      <w:r>
        <w:rPr>
          <w:rFonts w:hint="eastAsia"/>
        </w:rPr>
        <w:t>严格按照省市相关要求执行城乡居民基本医疗保障政策，做到应保尽保，与计划目标相一致，切实减轻了参保群众就医负担，对医疗机构执行情况监管到位，资金管理严格按相关文件规定执行，基本实现了2020年城乡居民基本医疗保险民生工程绩效考核目标。项目主要成效具体表现在以下几个方面：</w:t>
      </w:r>
    </w:p>
    <w:p w14:paraId="53C68989">
      <w:pPr>
        <w:ind w:firstLine="420" w:firstLineChars="200"/>
      </w:pPr>
      <w:bookmarkStart w:id="677" w:name="_Toc29984_WPSOffice_Level2"/>
      <w:r>
        <w:rPr>
          <w:rFonts w:hint="eastAsia"/>
        </w:rPr>
        <w:t>（一）一窗受理，集成服务</w:t>
      </w:r>
      <w:bookmarkEnd w:id="677"/>
    </w:p>
    <w:p w14:paraId="7840FB7D">
      <w:pPr>
        <w:ind w:firstLine="420" w:firstLineChars="200"/>
      </w:pPr>
      <w:r>
        <w:rPr>
          <w:rFonts w:hint="eastAsia"/>
        </w:rPr>
        <w:t>全省首家实行全市医保业务跨层级、跨区域“一窗通办、集成服务”，全省唯一一家设立医保服务平台968112，第一时间办理医保咨询、投诉举报等业务。全市医保窗口首批实行周末轮班及工作日中午错时服务办事制度，不断档为群众开放所有医保服务事项，并开始“医保咨询”专窗，为群众、企业提供一站式的政策咨询和线上业务指导办理服务；同步实行延时服务，上班期间没有办完的业务，工作人员坚持办完再下班，竭力为群众提供人性化便民服务。</w:t>
      </w:r>
    </w:p>
    <w:p w14:paraId="65125C02">
      <w:pPr>
        <w:ind w:firstLine="420" w:firstLineChars="200"/>
      </w:pPr>
      <w:bookmarkStart w:id="678" w:name="_Toc4399_WPSOffice_Level2"/>
      <w:r>
        <w:rPr>
          <w:rFonts w:hint="eastAsia"/>
        </w:rPr>
        <w:t>（二）服务关口前移</w:t>
      </w:r>
      <w:bookmarkEnd w:id="678"/>
    </w:p>
    <w:p w14:paraId="5B30D44D">
      <w:pPr>
        <w:ind w:firstLine="420" w:firstLineChars="200"/>
      </w:pPr>
      <w:r>
        <w:rPr>
          <w:rFonts w:hint="eastAsia"/>
        </w:rPr>
        <w:t>医保服务横向到医院、纵向到乡村，在全市16家人流量大的医院设立驻医院医保服务站，并将医保服务窗口延伸到白沙、钟山、南日等11个边远山区、海岛乡镇和全市833个村卫生所。</w:t>
      </w:r>
    </w:p>
    <w:p w14:paraId="261C404C">
      <w:pPr>
        <w:ind w:firstLine="420" w:firstLineChars="200"/>
      </w:pPr>
      <w:bookmarkStart w:id="679" w:name="_Toc4169_WPSOffice_Level2"/>
      <w:r>
        <w:rPr>
          <w:rFonts w:hint="eastAsia"/>
        </w:rPr>
        <w:t>（三）推进“互联网+服务”</w:t>
      </w:r>
      <w:bookmarkEnd w:id="679"/>
    </w:p>
    <w:p w14:paraId="076FEBA5">
      <w:pPr>
        <w:ind w:firstLine="420" w:firstLineChars="200"/>
      </w:pPr>
      <w:r>
        <w:rPr>
          <w:rFonts w:hint="eastAsia"/>
        </w:rPr>
        <w:t>全面推进网上办事大厅和电子证照应用，并在“闽政通”、“莆田惠民宝”APP、“莆田医疗保障”微信公众号等手机平台上线医保业务，推广医保电子凭证使用，实现医保业务网上办、掌上办，让群众办事“最多跑一趟”甚至“一趟都不用跑”全市现有170家定点医疗机构、340家定点零售药店实现“无卡扫码”的移动支付。</w:t>
      </w:r>
    </w:p>
    <w:p w14:paraId="7920C40C">
      <w:pPr>
        <w:ind w:firstLine="420" w:firstLineChars="200"/>
      </w:pPr>
      <w:bookmarkStart w:id="680" w:name="_Toc10583_WPSOffice_Level2"/>
      <w:r>
        <w:rPr>
          <w:rFonts w:hint="eastAsia"/>
        </w:rPr>
        <w:t>（四）省内异地联网定点医药机构就医和购药刷卡直接结算</w:t>
      </w:r>
      <w:bookmarkEnd w:id="680"/>
    </w:p>
    <w:p w14:paraId="05A1B9FD">
      <w:pPr>
        <w:ind w:firstLine="420" w:firstLineChars="200"/>
      </w:pPr>
      <w:r>
        <w:rPr>
          <w:rFonts w:hint="eastAsia"/>
        </w:rPr>
        <w:t>同时扩大跨省异地就医直接结算范围，莆田已有86家医院接入跨省异地就医结算平台，极大方便了异地安置退休人员、异地长期居中人员、常驻异地工作人员、异地转诊人员等参保人员。</w:t>
      </w:r>
    </w:p>
    <w:p w14:paraId="440D4D9B">
      <w:pPr>
        <w:ind w:firstLine="420" w:firstLineChars="200"/>
        <w:outlineLvl w:val="0"/>
      </w:pPr>
      <w:bookmarkStart w:id="681" w:name="_Toc26424"/>
      <w:bookmarkStart w:id="682" w:name="_Toc8662_WPSOffice_Level1"/>
      <w:bookmarkStart w:id="683" w:name="_Toc18672_WPSOffice_Level1"/>
      <w:r>
        <w:rPr>
          <w:rFonts w:hint="eastAsia"/>
        </w:rPr>
        <w:t>五、存在问题</w:t>
      </w:r>
      <w:bookmarkEnd w:id="681"/>
      <w:bookmarkEnd w:id="682"/>
      <w:bookmarkEnd w:id="683"/>
    </w:p>
    <w:p w14:paraId="5C47472D">
      <w:pPr>
        <w:ind w:firstLine="420" w:firstLineChars="200"/>
      </w:pPr>
      <w:bookmarkStart w:id="684" w:name="_Toc10886_WPSOffice_Level2"/>
      <w:bookmarkStart w:id="685" w:name="_Toc524_WPSOffice_Level2"/>
      <w:r>
        <w:rPr>
          <w:rFonts w:hint="eastAsia"/>
        </w:rPr>
        <w:t>（一）政策宣传力度不够</w:t>
      </w:r>
      <w:bookmarkEnd w:id="684"/>
      <w:bookmarkEnd w:id="685"/>
    </w:p>
    <w:p w14:paraId="15C7ED56">
      <w:pPr>
        <w:ind w:firstLine="420" w:firstLineChars="200"/>
      </w:pPr>
      <w:r>
        <w:rPr>
          <w:rFonts w:hint="eastAsia"/>
        </w:rPr>
        <w:t>仍然存在部分居民参保对象对基本医保政策不是很清楚，新出台的补助政策未能及时宣传到位，增加群众不必要的医疗费用报销负担。</w:t>
      </w:r>
    </w:p>
    <w:p w14:paraId="50B17696">
      <w:pPr>
        <w:ind w:firstLine="420" w:firstLineChars="200"/>
      </w:pPr>
      <w:bookmarkStart w:id="686" w:name="_Toc21408_WPSOffice_Level2"/>
      <w:bookmarkStart w:id="687" w:name="_Toc9655_WPSOffice_Level2"/>
      <w:r>
        <w:rPr>
          <w:rFonts w:hint="eastAsia"/>
        </w:rPr>
        <w:t>（二）基金收支压力大</w:t>
      </w:r>
      <w:bookmarkEnd w:id="686"/>
      <w:bookmarkEnd w:id="687"/>
    </w:p>
    <w:p w14:paraId="08AE505D">
      <w:pPr>
        <w:ind w:firstLine="420" w:firstLineChars="200"/>
      </w:pPr>
      <w:r>
        <w:rPr>
          <w:rFonts w:hint="eastAsia"/>
        </w:rPr>
        <w:t>受经济下行影响，参保人员出现部分流失，加上外来和外出人员流动性大，参保意识较差，参加医疗保险不够积极，导致参保扩面压力较大，2019年参保人数2959965人，2020年降至2925216人，人数有所降低。同时受经济形势影响，医保基金征收压力逐年增大，而医保基金的支出增幅也愈加突出，年度结余率偏低。城镇职工和城乡居民的医疗总费用同比都有所增长，尤其是城乡居民医疗总费用的增长更加明显。这里有新设备、新技术的应用、新型健康服务组织形式增加、城镇化进程加快、人口老龄化、慢性病患病率增长等客观因素，更有定点医药机构管理不严、过度医疗、诱导医疗甚至虚假医疗欺诈骗保等主观因素的影响。</w:t>
      </w:r>
    </w:p>
    <w:p w14:paraId="5200AFE1">
      <w:pPr>
        <w:ind w:firstLine="420" w:firstLineChars="200"/>
      </w:pPr>
      <w:bookmarkStart w:id="688" w:name="_Toc23888_WPSOffice_Level2"/>
      <w:r>
        <w:rPr>
          <w:rFonts w:hint="eastAsia"/>
        </w:rPr>
        <w:t>（三）基金监管有待加强</w:t>
      </w:r>
      <w:bookmarkEnd w:id="688"/>
    </w:p>
    <w:p w14:paraId="21D3931F">
      <w:pPr>
        <w:ind w:firstLine="420" w:firstLineChars="200"/>
      </w:pPr>
      <w:r>
        <w:rPr>
          <w:rFonts w:hint="eastAsia"/>
        </w:rPr>
        <w:t>在医院基金监管力度持续加强的情况下，仍有部分定点医疗机构通过挂床住院、诱导住院、虚构医疗服务、串换药品、耗材和诊疗项目、伪造医疗文书票据、盗刷社保卡等行为骗取医保基金，既加重了群众的经济负担，也直接影响医保基金的安全。</w:t>
      </w:r>
    </w:p>
    <w:p w14:paraId="15950012">
      <w:pPr>
        <w:ind w:firstLine="420" w:firstLineChars="200"/>
      </w:pPr>
      <w:r>
        <w:rPr>
          <w:rFonts w:hint="eastAsia"/>
        </w:rPr>
        <w:t>目前全市医保中心的稽核人员的力量明显不足，同时稽核人员的医学专业背景严重缺乏，也严重影响到稽核效果。</w:t>
      </w:r>
    </w:p>
    <w:p w14:paraId="7A410373">
      <w:pPr>
        <w:ind w:firstLine="420" w:firstLineChars="200"/>
      </w:pPr>
      <w:bookmarkStart w:id="689" w:name="_Toc19195_WPSOffice_Level2"/>
      <w:bookmarkStart w:id="690" w:name="_Toc20599_WPSOffice_Level2"/>
      <w:r>
        <w:rPr>
          <w:rFonts w:hint="eastAsia"/>
        </w:rPr>
        <w:t>（四）业务预算编制水平不够</w:t>
      </w:r>
      <w:bookmarkEnd w:id="689"/>
      <w:bookmarkEnd w:id="690"/>
    </w:p>
    <w:p w14:paraId="06B02FEC">
      <w:pPr>
        <w:ind w:firstLine="420" w:firstLineChars="200"/>
      </w:pPr>
      <w:r>
        <w:rPr>
          <w:rFonts w:hint="eastAsia"/>
        </w:rPr>
        <w:t>当年基金滚存结余目标值设定为大于0，使得系统无法计算目标完成比例，该项目无法识别应得分数，导致最终成绩偏低需手动加上。</w:t>
      </w:r>
      <w:bookmarkStart w:id="691" w:name="_Toc8649_WPSOffice_Level1"/>
      <w:bookmarkStart w:id="692" w:name="_Toc17142_WPSOffice_Level1"/>
    </w:p>
    <w:p w14:paraId="7803600D">
      <w:pPr>
        <w:ind w:firstLine="420" w:firstLineChars="200"/>
        <w:outlineLvl w:val="0"/>
      </w:pPr>
      <w:bookmarkStart w:id="693" w:name="_Toc26142"/>
      <w:r>
        <w:rPr>
          <w:rFonts w:hint="eastAsia"/>
        </w:rPr>
        <w:t>六、相关建议</w:t>
      </w:r>
      <w:bookmarkEnd w:id="691"/>
      <w:bookmarkEnd w:id="692"/>
      <w:bookmarkEnd w:id="693"/>
    </w:p>
    <w:p w14:paraId="7DC5DAE6">
      <w:pPr>
        <w:ind w:firstLine="420" w:firstLineChars="200"/>
      </w:pPr>
      <w:bookmarkStart w:id="694" w:name="_Toc14256_WPSOffice_Level2"/>
      <w:bookmarkStart w:id="695" w:name="_Toc10447_WPSOffice_Level2"/>
      <w:r>
        <w:rPr>
          <w:rFonts w:hint="eastAsia"/>
        </w:rPr>
        <w:t>（一</w:t>
      </w:r>
      <w:bookmarkEnd w:id="694"/>
      <w:r>
        <w:rPr>
          <w:rFonts w:hint="eastAsia"/>
        </w:rPr>
        <w:t>）加强政策宣传引导</w:t>
      </w:r>
      <w:bookmarkEnd w:id="695"/>
    </w:p>
    <w:p w14:paraId="4377BC8F">
      <w:pPr>
        <w:ind w:firstLine="420" w:firstLineChars="200"/>
      </w:pPr>
      <w:r>
        <w:rPr>
          <w:rFonts w:hint="eastAsia"/>
        </w:rPr>
        <w:t>加强医保局门户网站、微信公众号、莆田市广播电视财经频道“话说医保”专栏等原有的宣传形式上，积极探索新的有针对性的宣传形式，比如通过医保服务窗口、驻院医保服务站、帮扶干部走村入户等方式，开展“面对面”式的政策宣传，合理引导城乡居民及时参保、报销意识，进一步扩大城乡居民医疗保险的覆盖面。同时医疗保障部门要做好与社会各界常态化沟通机制，加强部门间信息共享，创新宣传方式，做好宣传引导和舆情监测，合理引导预期，做好风险应对，不断提高城乡居民基本医疗保障水平。</w:t>
      </w:r>
    </w:p>
    <w:p w14:paraId="347500FA">
      <w:pPr>
        <w:ind w:firstLine="420" w:firstLineChars="200"/>
      </w:pPr>
      <w:bookmarkStart w:id="696" w:name="_Toc8971_WPSOffice_Level2"/>
      <w:bookmarkStart w:id="697" w:name="_Toc21355_WPSOffice_Level2"/>
      <w:r>
        <w:rPr>
          <w:rFonts w:hint="eastAsia"/>
        </w:rPr>
        <w:t>（二）深化医保支付制度改革</w:t>
      </w:r>
      <w:bookmarkEnd w:id="696"/>
    </w:p>
    <w:p w14:paraId="08BD3348">
      <w:pPr>
        <w:ind w:firstLine="420" w:firstLineChars="200"/>
      </w:pPr>
      <w:r>
        <w:rPr>
          <w:rFonts w:hint="eastAsia"/>
        </w:rPr>
        <w:t>进一步发挥医保支付对医疗服务行为、引导医疗资源配置的经济杠杆作用，强化医保定点医疗机构内部管理，控制医疗费用不合理增长。推进区域点数总额预算法和按病种分值付费试点工作，探索按疾病诊断相关分组付费体系。完善医保基金总额预算、总额预付制度。根据医保基金运行情况，完善医保支付方式，确保医保基金运行安全，更好地维护人民群众的切身利益。</w:t>
      </w:r>
    </w:p>
    <w:p w14:paraId="77DFE974">
      <w:pPr>
        <w:ind w:firstLine="420" w:firstLineChars="200"/>
      </w:pPr>
      <w:bookmarkStart w:id="698" w:name="_Toc8313_WPSOffice_Level2"/>
      <w:r>
        <w:rPr>
          <w:rFonts w:hint="eastAsia"/>
        </w:rPr>
        <w:t>（三）</w:t>
      </w:r>
      <w:bookmarkEnd w:id="697"/>
      <w:r>
        <w:rPr>
          <w:rFonts w:hint="eastAsia"/>
        </w:rPr>
        <w:t>强化医保基金监督检查</w:t>
      </w:r>
      <w:bookmarkEnd w:id="698"/>
    </w:p>
    <w:p w14:paraId="6984391D">
      <w:pPr>
        <w:ind w:firstLine="420" w:firstLineChars="200"/>
      </w:pPr>
      <w:r>
        <w:rPr>
          <w:rFonts w:hint="eastAsia"/>
        </w:rPr>
        <w:t xml:space="preserve">全面开展医保智能监控，推动监管转向事前事中事后并重。持续打击欺诈骗保行为，重点治理不规范医疗服务收费和门诊特殊病种欺诈骗保行为，减少医保基金“跑冒滴漏”，构建长效稽核机制。优化医疗保障监管制度，规范医疗保障执法办案程序。实现监督检查全覆盖，综合运用智能监控、突击检查、第三方审查等方式，每年组织专门力量，对全市定点医药机构进程抽查。针对不同监管对象多发、高发的违规行为特点以及每年发生的热点、难点等问题，开展有针对性的重点专项检查。推进医疗保障信用体系建设。将定点医疗机构、定点药店、药品耗材供应和配送企业、医保医师（药师）纳入医疗保障基金监管信用体系管理，实行“失信黑名单”制度。 </w:t>
      </w:r>
    </w:p>
    <w:p w14:paraId="228B1A07">
      <w:pPr>
        <w:ind w:firstLine="420" w:firstLineChars="200"/>
      </w:pPr>
      <w:r>
        <w:rPr>
          <w:rFonts w:hint="eastAsia"/>
        </w:rPr>
        <w:t>与此同时，需要扩大稽核队伍，最好是多吸纳有医学或药学专业背景的稽核人才。</w:t>
      </w:r>
    </w:p>
    <w:p w14:paraId="5F4B0063">
      <w:pPr>
        <w:ind w:firstLine="420" w:firstLineChars="200"/>
      </w:pPr>
      <w:bookmarkStart w:id="699" w:name="_Toc29463_WPSOffice_Level2"/>
      <w:bookmarkStart w:id="700" w:name="_Toc16891_WPSOffice_Level2"/>
      <w:r>
        <w:rPr>
          <w:rFonts w:hint="eastAsia"/>
        </w:rPr>
        <w:t>（四）提高业务预算编制水平</w:t>
      </w:r>
      <w:bookmarkEnd w:id="699"/>
      <w:bookmarkEnd w:id="700"/>
    </w:p>
    <w:p w14:paraId="095124C6">
      <w:pPr>
        <w:ind w:firstLine="420" w:firstLineChars="200"/>
      </w:pPr>
      <w:r>
        <w:rPr>
          <w:rFonts w:hint="eastAsia"/>
        </w:rPr>
        <w:t>精准设定年度指标值，提高业务预算编制水平。积极与业务科室沟通，加强预算管理、提高预算编制科学性和精细化，更合理的测算所需资金，合理把握资金收支规模，优化支出结构，科学安排各项支出，以提高资金的预算完成率。</w:t>
      </w:r>
    </w:p>
    <w:p w14:paraId="52AA927B">
      <w:pPr>
        <w:sectPr>
          <w:footerReference r:id="rId4" w:type="default"/>
          <w:pgSz w:w="11906" w:h="16838"/>
          <w:pgMar w:top="1134" w:right="1134" w:bottom="1134" w:left="1418" w:header="851" w:footer="992" w:gutter="0"/>
          <w:cols w:space="720" w:num="1"/>
          <w:docGrid w:type="lines" w:linePitch="326" w:charSpace="0"/>
        </w:sectPr>
      </w:pPr>
    </w:p>
    <w:p w14:paraId="03938006">
      <w:pPr>
        <w:pStyle w:val="2"/>
        <w:jc w:val="center"/>
      </w:pPr>
      <w:bookmarkStart w:id="701" w:name="_Toc2506"/>
    </w:p>
    <w:p w14:paraId="58189972">
      <w:pPr>
        <w:pStyle w:val="2"/>
        <w:jc w:val="center"/>
      </w:pPr>
      <w:r>
        <w:rPr>
          <w:rFonts w:hint="eastAsia"/>
        </w:rPr>
        <w:t>2020年木兰溪防洪工程及配套（含安全生态水系建设）项目绩效评价报告</w:t>
      </w:r>
      <w:bookmarkEnd w:id="701"/>
    </w:p>
    <w:p w14:paraId="144BFCD1">
      <w:pPr>
        <w:pStyle w:val="16"/>
        <w:ind w:left="0" w:leftChars="0" w:firstLine="0" w:firstLineChars="0"/>
        <w:rPr>
          <w:rFonts w:ascii="Times New Roman" w:hAnsi="Times New Roman" w:eastAsia="宋体" w:cs="Times New Roman"/>
          <w:sz w:val="24"/>
        </w:rPr>
      </w:pPr>
    </w:p>
    <w:p w14:paraId="32516022">
      <w:pPr>
        <w:ind w:firstLine="420" w:firstLineChars="200"/>
      </w:pPr>
      <w:r>
        <w:rPr>
          <w:rFonts w:hint="eastAsia"/>
        </w:rPr>
        <w:t>莆田学院财政绩效管理研究中心受福建省莆田市财政局委托，对莆田市2020年木兰溪防洪工程及配套项目（含安全生态水系建设）开展绩效评价。接受委托后，根据《关于全面实施预算绩效管理的实施意见》（莆委发〔2019）2号）和《项目支出绩效评价管理办法》（莆财绩（2020）2号）等文件要求，研究中心成立对2020年木兰溪防洪工程及配套项目（含安全生态水系建设）绩效评价课题组，对2020年木兰溪防洪工程及配套项目（含安全生态水系建设）资金的实施情况进行评价。2021年6月至8月，课题组在市财政局和市木兰溪防洪工程建设管理处的大力支持下，莆田学院财政绩效管理研究中心对项目所覆盖的华亭段工程、白塘段工程、宁海闸导流工程的进行了实地调研，同时通过问卷方式对华亭段和白塘段周边居民进行满意度调查。在结合了实际情况、实地调研、数据收集、整理、汇总、综合分析的基础上，按照设立的评价指标、标准、权数、方法及程序实施绩效评价，分析项目资金的实施效果和存在的问题并提出了对策建议。评价报告遵循“科学性、规范性、客观性和公正性”的原则，评价结论不含委托方任何观点。评价报告如下：</w:t>
      </w:r>
    </w:p>
    <w:p w14:paraId="6695B796">
      <w:pPr>
        <w:ind w:firstLine="420" w:firstLineChars="200"/>
      </w:pPr>
      <w:bookmarkStart w:id="702" w:name="_Toc20568"/>
      <w:r>
        <w:rPr>
          <w:rFonts w:hint="eastAsia"/>
        </w:rPr>
        <w:t>项目基本情况</w:t>
      </w:r>
      <w:bookmarkEnd w:id="702"/>
    </w:p>
    <w:p w14:paraId="4F842210">
      <w:pPr>
        <w:ind w:firstLine="420" w:firstLineChars="200"/>
        <w:outlineLvl w:val="0"/>
      </w:pPr>
      <w:bookmarkStart w:id="703" w:name="_Toc9752"/>
      <w:bookmarkStart w:id="704" w:name="_Toc21972"/>
      <w:r>
        <w:rPr>
          <w:rFonts w:hint="eastAsia"/>
        </w:rPr>
        <w:t>（一）项目概况</w:t>
      </w:r>
      <w:bookmarkEnd w:id="703"/>
      <w:bookmarkEnd w:id="704"/>
    </w:p>
    <w:p w14:paraId="7DB57005">
      <w:pPr>
        <w:ind w:firstLine="420" w:firstLineChars="200"/>
      </w:pPr>
      <w:r>
        <w:rPr>
          <w:rFonts w:hint="eastAsia"/>
        </w:rPr>
        <w:t>为了进一步完善我市城乡灾害应急避难场所建设，确保灾区人民群众的生命财产安全。根据《关于莆田市木兰溪郑坂段防洪工程初步设计的批复》（闽计农经[2003]102号）、《关于莆田市木兰溪霞林段防洪工程初步设计的批复》（闽发改农业[2007]745号）、《关于木兰溪下游三期荔涵段防洪工程初步设计的批复》（闽发改农业[2010]251号）、《关于木兰溪防洪工程华林段初步设计的批复》（莆发改[2013]237号）、《关于木兰溪防洪工程华亭段（城厢区）初步设计的批复》（闽发改网农业[2015]150号）、《关于木兰溪防洪工程白塘段初步设计的批复的通知》（莆发改[2017]341号)、《关于木兰溪左岸绿道项目建议书可行性研究报告》（莆发改审[2015]53号）、《关于木兰溪城区景观试验段工程可行性研究报告的批复》（莆发改审[2015]14号）、市政府专题会议纪要[2015]122号、荔发改[2015]102号、市政府专题会议纪要[2017]151号、闽政办[2016]146号，等文件精神，成立木兰溪防洪工程及配套项目（含安全生态水系建设），项目由一系列工程组成。</w:t>
      </w:r>
    </w:p>
    <w:p w14:paraId="498E225D">
      <w:pPr>
        <w:ind w:firstLine="420" w:firstLineChars="200"/>
      </w:pPr>
      <w:r>
        <w:rPr>
          <w:rFonts w:hint="eastAsia"/>
        </w:rPr>
        <w:t>主要包括木兰溪一期、二期、三期荔涵段工程、华林段工程、华亭段工程，正在建设的主体项目为白塘段、宁海闸工程；2012年木兰溪列入国家水利部“三位一体”总规划，项目直接受益莆田市城厢区、荔城区、涵江区，在主体工程建设的基础上，从单一防洪走向生态综合治理和水生态文明建设，又建成景观试验段工程、左岸绿道工程、木兰溪玉湖新城堤岸生态修复提升工程等；自该项目成立以来，结束了主城区不设防的历史，将主城区堤防标准提升至五十年一遇，有效保证了木兰溪沿岸人民群众的生命财产安全，推动了生态文明建设及社会稳定发展。</w:t>
      </w:r>
    </w:p>
    <w:p w14:paraId="37F1D16A">
      <w:pPr>
        <w:ind w:firstLine="420" w:firstLineChars="200"/>
      </w:pPr>
      <w:bookmarkStart w:id="705" w:name="_Toc27867"/>
      <w:bookmarkStart w:id="706" w:name="_Toc140"/>
      <w:bookmarkStart w:id="707" w:name="_Toc3325"/>
      <w:bookmarkStart w:id="708" w:name="_Toc4424"/>
      <w:bookmarkStart w:id="709" w:name="_Toc26533"/>
      <w:bookmarkStart w:id="710" w:name="_Toc31247"/>
      <w:r>
        <w:rPr>
          <w:rFonts w:hint="eastAsia"/>
        </w:rPr>
        <w:t>项目实施情况</w:t>
      </w:r>
      <w:bookmarkEnd w:id="705"/>
      <w:bookmarkEnd w:id="706"/>
      <w:bookmarkEnd w:id="707"/>
      <w:bookmarkEnd w:id="708"/>
      <w:bookmarkEnd w:id="709"/>
      <w:bookmarkEnd w:id="710"/>
    </w:p>
    <w:p w14:paraId="4E133ACC">
      <w:pPr>
        <w:ind w:firstLine="420" w:firstLineChars="200"/>
      </w:pPr>
      <w:r>
        <w:rPr>
          <w:rFonts w:hint="eastAsia"/>
        </w:rPr>
        <w:t>根据主管单位年度工作安排和相关文件精神，2020年木兰溪防洪工程及配套项目（含安全生态水系建设）持续推进防洪工程及生态景观工程建设。目前已完成木兰溪下游防洪二期郑坂段和霞林段、三期荔涵段、华林段、华亭段、左岸绿道项目和木兰溪玉湖新城堤岸生态修复工程建设；白塘段工程C1标段正在施工建设,目前已完成堤防填筑150m、内引港边墙浇筑、闸室闸门制安；C2标段施工单位正在组织进场准备；C3标正在进行预算编制工作；宁海闸导流工程结合江东水闸迁建项目已基本建成，主要建设内容为：主闸室建设及金属结构、设备安置；外引港桩基础、挡墙500米，内引港桩基础80%，挡墙300米。目前正在组织完工验收前准备工作；木兰溪玉湖新城段堤岸生态修复提升工程南岸完成挡墙、园路、绿化等主体工程，北岸工程完成奠基点主广场4500平方米铺装及绿化种植；完成展示馆750平方米主体结构，完成南箕水闸至张镇水闸背水坡绿化种植、旱溪、景观节点工程等。项目于2020年7月24日完工验收；左岸绿道工程已完成工程建设并投入使用，实现了木兰陂至奠基点约8.8公里绿色长廊通道。北渠引水口改造工程于2021年4月通过竣工验收，为莆田主城区动水冲淤、生态补水提供基础条件。</w:t>
      </w:r>
      <w:bookmarkStart w:id="711" w:name="_Toc2254"/>
      <w:bookmarkStart w:id="712" w:name="_Toc2310"/>
      <w:bookmarkStart w:id="713" w:name="_Toc20974"/>
      <w:bookmarkStart w:id="714" w:name="_Toc21513"/>
      <w:bookmarkStart w:id="715" w:name="_Toc7208"/>
    </w:p>
    <w:p w14:paraId="71724483">
      <w:pPr>
        <w:ind w:firstLine="420" w:firstLineChars="200"/>
      </w:pPr>
      <w:bookmarkStart w:id="716" w:name="_Toc31444"/>
      <w:r>
        <w:rPr>
          <w:rFonts w:hint="eastAsia"/>
        </w:rPr>
        <w:t>项目资金使用情况</w:t>
      </w:r>
      <w:bookmarkEnd w:id="711"/>
      <w:bookmarkEnd w:id="712"/>
      <w:bookmarkEnd w:id="713"/>
      <w:bookmarkEnd w:id="714"/>
      <w:bookmarkEnd w:id="715"/>
      <w:bookmarkEnd w:id="716"/>
    </w:p>
    <w:p w14:paraId="68FD0BC2">
      <w:pPr>
        <w:ind w:firstLine="420" w:firstLineChars="200"/>
      </w:pPr>
      <w:r>
        <w:rPr>
          <w:rFonts w:hint="eastAsia"/>
        </w:rPr>
        <w:t>2020年度木兰溪防洪工程及配套项目（含安全生态水系建设）项目支出预算安排27508万元（其中政府性基金预算10708万元，地方专项债券16800万元），实际到位金额18346万元（其中政府性基金预算1546万元，地方专项债券16800万元），资金到位率为66.69%。截止2020年12月31日，项目实际支出11226.59万元，预算执行率为61.19%（其中政府性基金预算执行率100%，地方专项债券执行率57.62%）。（详见表1、表2、表3）</w:t>
      </w:r>
    </w:p>
    <w:p w14:paraId="5BD2CF5D">
      <w:pPr>
        <w:ind w:firstLine="420" w:firstLineChars="200"/>
      </w:pPr>
      <w:r>
        <w:rPr>
          <w:rFonts w:hint="eastAsia"/>
        </w:rPr>
        <w:t>表1  2020年木兰溪防洪工程及配套项目（含安全生态水系建设）专项资金执行情况表</w:t>
      </w:r>
    </w:p>
    <w:tbl>
      <w:tblPr>
        <w:tblStyle w:val="17"/>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1757"/>
        <w:gridCol w:w="1614"/>
        <w:gridCol w:w="1530"/>
        <w:gridCol w:w="1791"/>
      </w:tblGrid>
      <w:tr w14:paraId="67EA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1" w:type="dxa"/>
            <w:gridSpan w:val="5"/>
            <w:tcBorders>
              <w:top w:val="nil"/>
              <w:left w:val="nil"/>
              <w:bottom w:val="single" w:color="auto" w:sz="4" w:space="0"/>
              <w:right w:val="nil"/>
            </w:tcBorders>
            <w:vAlign w:val="center"/>
          </w:tcPr>
          <w:p w14:paraId="6EB3419E">
            <w:r>
              <w:rPr>
                <w:rFonts w:hint="eastAsia"/>
              </w:rPr>
              <w:t>单位：万元</w:t>
            </w:r>
          </w:p>
        </w:tc>
      </w:tr>
      <w:tr w14:paraId="5DFB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9" w:type="dxa"/>
            <w:tcBorders>
              <w:top w:val="single" w:color="auto" w:sz="4" w:space="0"/>
            </w:tcBorders>
            <w:vAlign w:val="center"/>
          </w:tcPr>
          <w:p w14:paraId="52094907">
            <w:r>
              <w:rPr>
                <w:rFonts w:hint="eastAsia"/>
              </w:rPr>
              <w:t>项目名称</w:t>
            </w:r>
          </w:p>
        </w:tc>
        <w:tc>
          <w:tcPr>
            <w:tcW w:w="1757" w:type="dxa"/>
            <w:tcBorders>
              <w:top w:val="single" w:color="auto" w:sz="4" w:space="0"/>
            </w:tcBorders>
            <w:vAlign w:val="center"/>
          </w:tcPr>
          <w:p w14:paraId="44AEFB88">
            <w:r>
              <w:rPr>
                <w:rFonts w:hint="eastAsia"/>
              </w:rPr>
              <w:t>2020年预算规模</w:t>
            </w:r>
          </w:p>
        </w:tc>
        <w:tc>
          <w:tcPr>
            <w:tcW w:w="1614" w:type="dxa"/>
            <w:tcBorders>
              <w:top w:val="single" w:color="auto" w:sz="4" w:space="0"/>
            </w:tcBorders>
            <w:vAlign w:val="center"/>
          </w:tcPr>
          <w:p w14:paraId="27012820">
            <w:r>
              <w:rPr>
                <w:rFonts w:hint="eastAsia"/>
              </w:rPr>
              <w:t>实际到位金额</w:t>
            </w:r>
          </w:p>
        </w:tc>
        <w:tc>
          <w:tcPr>
            <w:tcW w:w="1530" w:type="dxa"/>
            <w:tcBorders>
              <w:top w:val="single" w:color="auto" w:sz="4" w:space="0"/>
            </w:tcBorders>
            <w:vAlign w:val="center"/>
          </w:tcPr>
          <w:p w14:paraId="7AAB2038">
            <w:r>
              <w:rPr>
                <w:rFonts w:hint="eastAsia"/>
              </w:rPr>
              <w:t>实际支出金额</w:t>
            </w:r>
          </w:p>
        </w:tc>
        <w:tc>
          <w:tcPr>
            <w:tcW w:w="1791" w:type="dxa"/>
            <w:tcBorders>
              <w:top w:val="single" w:color="auto" w:sz="4" w:space="0"/>
            </w:tcBorders>
            <w:vAlign w:val="center"/>
          </w:tcPr>
          <w:p w14:paraId="6B10D801">
            <w:r>
              <w:rPr>
                <w:rFonts w:hint="eastAsia"/>
              </w:rPr>
              <w:t>预算执行率（%）</w:t>
            </w:r>
          </w:p>
        </w:tc>
      </w:tr>
      <w:tr w14:paraId="7A12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9" w:type="dxa"/>
            <w:vAlign w:val="center"/>
          </w:tcPr>
          <w:p w14:paraId="0C53C506">
            <w:r>
              <w:rPr>
                <w:rFonts w:hint="eastAsia"/>
              </w:rPr>
              <w:t>木兰溪防洪工程及配套项目</w:t>
            </w:r>
          </w:p>
        </w:tc>
        <w:tc>
          <w:tcPr>
            <w:tcW w:w="1757" w:type="dxa"/>
            <w:vAlign w:val="center"/>
          </w:tcPr>
          <w:p w14:paraId="42C8FD00">
            <w:r>
              <w:rPr>
                <w:rFonts w:hint="eastAsia"/>
              </w:rPr>
              <w:t>10708</w:t>
            </w:r>
          </w:p>
        </w:tc>
        <w:tc>
          <w:tcPr>
            <w:tcW w:w="1614" w:type="dxa"/>
            <w:vAlign w:val="center"/>
          </w:tcPr>
          <w:p w14:paraId="56AC3E59">
            <w:r>
              <w:rPr>
                <w:rFonts w:hint="eastAsia"/>
              </w:rPr>
              <w:t>1546</w:t>
            </w:r>
          </w:p>
        </w:tc>
        <w:tc>
          <w:tcPr>
            <w:tcW w:w="1530" w:type="dxa"/>
            <w:vAlign w:val="center"/>
          </w:tcPr>
          <w:p w14:paraId="532BBB7B">
            <w:r>
              <w:rPr>
                <w:rFonts w:hint="eastAsia"/>
              </w:rPr>
              <w:t>1546</w:t>
            </w:r>
          </w:p>
        </w:tc>
        <w:tc>
          <w:tcPr>
            <w:tcW w:w="1791" w:type="dxa"/>
            <w:vAlign w:val="center"/>
          </w:tcPr>
          <w:p w14:paraId="2E038C9A">
            <w:r>
              <w:rPr>
                <w:rFonts w:hint="eastAsia"/>
              </w:rPr>
              <w:t>100</w:t>
            </w:r>
          </w:p>
        </w:tc>
      </w:tr>
      <w:tr w14:paraId="5B33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9" w:type="dxa"/>
            <w:vAlign w:val="center"/>
          </w:tcPr>
          <w:p w14:paraId="27B1CC2E">
            <w:r>
              <w:rPr>
                <w:rFonts w:hint="eastAsia"/>
              </w:rPr>
              <w:t>木兰溪防洪生态治理工程（地方专项债券）</w:t>
            </w:r>
          </w:p>
        </w:tc>
        <w:tc>
          <w:tcPr>
            <w:tcW w:w="1757" w:type="dxa"/>
            <w:vAlign w:val="center"/>
          </w:tcPr>
          <w:p w14:paraId="01BFF2CD">
            <w:r>
              <w:rPr>
                <w:rFonts w:hint="eastAsia"/>
              </w:rPr>
              <w:t>16800</w:t>
            </w:r>
          </w:p>
        </w:tc>
        <w:tc>
          <w:tcPr>
            <w:tcW w:w="1614" w:type="dxa"/>
            <w:vAlign w:val="center"/>
          </w:tcPr>
          <w:p w14:paraId="027AB7AA">
            <w:r>
              <w:rPr>
                <w:rFonts w:hint="eastAsia"/>
              </w:rPr>
              <w:t>16800</w:t>
            </w:r>
          </w:p>
        </w:tc>
        <w:tc>
          <w:tcPr>
            <w:tcW w:w="1530" w:type="dxa"/>
            <w:vAlign w:val="center"/>
          </w:tcPr>
          <w:p w14:paraId="357E63D7">
            <w:r>
              <w:rPr>
                <w:rFonts w:hint="eastAsia"/>
              </w:rPr>
              <w:t>9680.59</w:t>
            </w:r>
          </w:p>
        </w:tc>
        <w:tc>
          <w:tcPr>
            <w:tcW w:w="1791" w:type="dxa"/>
            <w:vAlign w:val="center"/>
          </w:tcPr>
          <w:p w14:paraId="5CCED580">
            <w:r>
              <w:rPr>
                <w:rFonts w:hint="eastAsia"/>
              </w:rPr>
              <w:t>57.62</w:t>
            </w:r>
          </w:p>
        </w:tc>
      </w:tr>
      <w:tr w14:paraId="7D50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9" w:type="dxa"/>
            <w:vAlign w:val="center"/>
          </w:tcPr>
          <w:p w14:paraId="65AE22EF">
            <w:r>
              <w:rPr>
                <w:rFonts w:hint="eastAsia"/>
              </w:rPr>
              <w:t>合计</w:t>
            </w:r>
          </w:p>
        </w:tc>
        <w:tc>
          <w:tcPr>
            <w:tcW w:w="1757" w:type="dxa"/>
            <w:vAlign w:val="center"/>
          </w:tcPr>
          <w:p w14:paraId="032F3B69">
            <w:r>
              <w:rPr>
                <w:rFonts w:hint="eastAsia"/>
              </w:rPr>
              <w:t>27508</w:t>
            </w:r>
          </w:p>
        </w:tc>
        <w:tc>
          <w:tcPr>
            <w:tcW w:w="1614" w:type="dxa"/>
            <w:vAlign w:val="center"/>
          </w:tcPr>
          <w:p w14:paraId="0A02B4ED">
            <w:r>
              <w:rPr>
                <w:rFonts w:hint="eastAsia"/>
              </w:rPr>
              <w:t>18346</w:t>
            </w:r>
          </w:p>
        </w:tc>
        <w:tc>
          <w:tcPr>
            <w:tcW w:w="1530" w:type="dxa"/>
            <w:vAlign w:val="center"/>
          </w:tcPr>
          <w:p w14:paraId="781EC6CB">
            <w:r>
              <w:rPr>
                <w:rFonts w:hint="eastAsia"/>
              </w:rPr>
              <w:t>11226.59</w:t>
            </w:r>
          </w:p>
        </w:tc>
        <w:tc>
          <w:tcPr>
            <w:tcW w:w="1791" w:type="dxa"/>
            <w:vAlign w:val="center"/>
          </w:tcPr>
          <w:p w14:paraId="3E82858E">
            <w:r>
              <w:rPr>
                <w:rFonts w:hint="eastAsia"/>
              </w:rPr>
              <w:t>61.19</w:t>
            </w:r>
          </w:p>
        </w:tc>
      </w:tr>
    </w:tbl>
    <w:p w14:paraId="1D6DFA52">
      <w:pPr>
        <w:ind w:firstLine="420" w:firstLineChars="200"/>
      </w:pPr>
      <w:bookmarkStart w:id="717" w:name="_Toc8286"/>
      <w:bookmarkStart w:id="718" w:name="_Toc21304"/>
      <w:bookmarkStart w:id="719" w:name="_Toc9668"/>
      <w:bookmarkStart w:id="720" w:name="_Toc1479"/>
      <w:bookmarkStart w:id="721" w:name="_Toc3511"/>
      <w:r>
        <w:rPr>
          <w:rFonts w:hint="eastAsia"/>
        </w:rPr>
        <w:t>表2  2020年木兰溪防洪工程及配套项目资金使用情况（1546万元）</w:t>
      </w:r>
    </w:p>
    <w:tbl>
      <w:tblPr>
        <w:tblStyle w:val="17"/>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5888"/>
        <w:gridCol w:w="1431"/>
      </w:tblGrid>
      <w:tr w14:paraId="7BA1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tcBorders>
              <w:top w:val="single" w:color="auto" w:sz="4" w:space="0"/>
            </w:tcBorders>
            <w:vAlign w:val="center"/>
          </w:tcPr>
          <w:p w14:paraId="70F8ACCA">
            <w:r>
              <w:rPr>
                <w:rFonts w:hint="eastAsia"/>
              </w:rPr>
              <w:t>文号</w:t>
            </w:r>
          </w:p>
        </w:tc>
        <w:tc>
          <w:tcPr>
            <w:tcW w:w="5888" w:type="dxa"/>
            <w:tcBorders>
              <w:top w:val="single" w:color="auto" w:sz="4" w:space="0"/>
            </w:tcBorders>
            <w:vAlign w:val="center"/>
          </w:tcPr>
          <w:p w14:paraId="2A37BD34">
            <w:r>
              <w:rPr>
                <w:rFonts w:hint="eastAsia"/>
              </w:rPr>
              <w:t>资金用途</w:t>
            </w:r>
          </w:p>
        </w:tc>
        <w:tc>
          <w:tcPr>
            <w:tcW w:w="1431" w:type="dxa"/>
            <w:tcBorders>
              <w:top w:val="single" w:color="auto" w:sz="4" w:space="0"/>
            </w:tcBorders>
            <w:vAlign w:val="center"/>
          </w:tcPr>
          <w:p w14:paraId="6CB13035">
            <w:r>
              <w:rPr>
                <w:rFonts w:hint="eastAsia"/>
              </w:rPr>
              <w:t>资金支出（元）</w:t>
            </w:r>
          </w:p>
        </w:tc>
      </w:tr>
      <w:tr w14:paraId="371A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4E4E7C1D">
            <w:r>
              <w:rPr>
                <w:rFonts w:hint="eastAsia"/>
              </w:rPr>
              <w:t>莆财农表［2020］19号</w:t>
            </w:r>
          </w:p>
        </w:tc>
        <w:tc>
          <w:tcPr>
            <w:tcW w:w="5888" w:type="dxa"/>
            <w:vAlign w:val="center"/>
          </w:tcPr>
          <w:p w14:paraId="54A30933">
            <w:r>
              <w:rPr>
                <w:rFonts w:hint="eastAsia"/>
              </w:rPr>
              <w:t>宁海闸导流工程结合江东水闸迁建项目监理费</w:t>
            </w:r>
          </w:p>
        </w:tc>
        <w:tc>
          <w:tcPr>
            <w:tcW w:w="1431" w:type="dxa"/>
            <w:vAlign w:val="center"/>
          </w:tcPr>
          <w:p w14:paraId="6DFDCFAB">
            <w:r>
              <w:rPr>
                <w:rFonts w:hint="eastAsia"/>
              </w:rPr>
              <w:t>260,000.00</w:t>
            </w:r>
          </w:p>
        </w:tc>
      </w:tr>
      <w:tr w14:paraId="7630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5ACE732A">
            <w:r>
              <w:rPr>
                <w:rFonts w:hint="eastAsia"/>
              </w:rPr>
              <w:t>莆财农表［2020］19号</w:t>
            </w:r>
          </w:p>
        </w:tc>
        <w:tc>
          <w:tcPr>
            <w:tcW w:w="5888" w:type="dxa"/>
            <w:vAlign w:val="center"/>
          </w:tcPr>
          <w:p w14:paraId="2844D744">
            <w:r>
              <w:rPr>
                <w:rFonts w:hint="eastAsia"/>
              </w:rPr>
              <w:t>木兰溪2020年水闸汛前检修项目5月份工程款</w:t>
            </w:r>
          </w:p>
        </w:tc>
        <w:tc>
          <w:tcPr>
            <w:tcW w:w="1431" w:type="dxa"/>
            <w:vAlign w:val="center"/>
          </w:tcPr>
          <w:p w14:paraId="00410E69">
            <w:r>
              <w:rPr>
                <w:rFonts w:hint="eastAsia"/>
              </w:rPr>
              <w:t>160,982.00</w:t>
            </w:r>
          </w:p>
        </w:tc>
      </w:tr>
      <w:tr w14:paraId="24B7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57F06679">
            <w:r>
              <w:rPr>
                <w:rFonts w:hint="eastAsia"/>
              </w:rPr>
              <w:t>莆财农表［2020］19号</w:t>
            </w:r>
          </w:p>
        </w:tc>
        <w:tc>
          <w:tcPr>
            <w:tcW w:w="5888" w:type="dxa"/>
            <w:vAlign w:val="center"/>
          </w:tcPr>
          <w:p w14:paraId="6ABCE7E3">
            <w:r>
              <w:rPr>
                <w:rFonts w:hint="eastAsia"/>
              </w:rPr>
              <w:t>木兰溪防洪工程华林段监理平行检测费</w:t>
            </w:r>
          </w:p>
        </w:tc>
        <w:tc>
          <w:tcPr>
            <w:tcW w:w="1431" w:type="dxa"/>
            <w:vAlign w:val="center"/>
          </w:tcPr>
          <w:p w14:paraId="28C7006C">
            <w:r>
              <w:rPr>
                <w:rFonts w:hint="eastAsia"/>
              </w:rPr>
              <w:t>63,211.95</w:t>
            </w:r>
          </w:p>
        </w:tc>
      </w:tr>
      <w:tr w14:paraId="57A8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68F1CF4E">
            <w:r>
              <w:rPr>
                <w:rFonts w:hint="eastAsia"/>
              </w:rPr>
              <w:t>莆财农表［2020］19号</w:t>
            </w:r>
          </w:p>
        </w:tc>
        <w:tc>
          <w:tcPr>
            <w:tcW w:w="5888" w:type="dxa"/>
            <w:vAlign w:val="center"/>
          </w:tcPr>
          <w:p w14:paraId="37C06B26">
            <w:r>
              <w:rPr>
                <w:rFonts w:hint="eastAsia"/>
              </w:rPr>
              <w:t>北渠引水口改造工程（暗涵部分）监理费</w:t>
            </w:r>
          </w:p>
        </w:tc>
        <w:tc>
          <w:tcPr>
            <w:tcW w:w="1431" w:type="dxa"/>
            <w:vAlign w:val="center"/>
          </w:tcPr>
          <w:p w14:paraId="34E6C06A">
            <w:r>
              <w:rPr>
                <w:rFonts w:hint="eastAsia"/>
              </w:rPr>
              <w:t>20,000.00</w:t>
            </w:r>
          </w:p>
        </w:tc>
      </w:tr>
      <w:tr w14:paraId="1B10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275154B1">
            <w:r>
              <w:rPr>
                <w:rFonts w:hint="eastAsia"/>
              </w:rPr>
              <w:t>莆财农表［2020］19号</w:t>
            </w:r>
          </w:p>
        </w:tc>
        <w:tc>
          <w:tcPr>
            <w:tcW w:w="5888" w:type="dxa"/>
            <w:vAlign w:val="center"/>
          </w:tcPr>
          <w:p w14:paraId="346100B3">
            <w:r>
              <w:rPr>
                <w:rFonts w:hint="eastAsia"/>
              </w:rPr>
              <w:t>北渠引水口改造工程2020年3月份工程款</w:t>
            </w:r>
          </w:p>
        </w:tc>
        <w:tc>
          <w:tcPr>
            <w:tcW w:w="1431" w:type="dxa"/>
            <w:vAlign w:val="center"/>
          </w:tcPr>
          <w:p w14:paraId="3ECA9691">
            <w:r>
              <w:rPr>
                <w:rFonts w:hint="eastAsia"/>
              </w:rPr>
              <w:t>422,000.00</w:t>
            </w:r>
          </w:p>
        </w:tc>
      </w:tr>
      <w:tr w14:paraId="61FC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06A5B0CB">
            <w:r>
              <w:rPr>
                <w:rFonts w:hint="eastAsia"/>
              </w:rPr>
              <w:t>莆财农表［2020］19号</w:t>
            </w:r>
          </w:p>
        </w:tc>
        <w:tc>
          <w:tcPr>
            <w:tcW w:w="5888" w:type="dxa"/>
            <w:vAlign w:val="center"/>
          </w:tcPr>
          <w:p w14:paraId="1445929E">
            <w:r>
              <w:rPr>
                <w:rFonts w:hint="eastAsia"/>
              </w:rPr>
              <w:t>木兰溪防洪工程白塘段监测费</w:t>
            </w:r>
          </w:p>
        </w:tc>
        <w:tc>
          <w:tcPr>
            <w:tcW w:w="1431" w:type="dxa"/>
            <w:vAlign w:val="center"/>
          </w:tcPr>
          <w:p w14:paraId="24976495">
            <w:r>
              <w:rPr>
                <w:rFonts w:hint="eastAsia"/>
              </w:rPr>
              <w:t>20,000.00</w:t>
            </w:r>
          </w:p>
        </w:tc>
      </w:tr>
      <w:tr w14:paraId="6D6D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7ED6FA27">
            <w:r>
              <w:rPr>
                <w:rFonts w:hint="eastAsia"/>
              </w:rPr>
              <w:t>莆财农表［2020］19号</w:t>
            </w:r>
          </w:p>
        </w:tc>
        <w:tc>
          <w:tcPr>
            <w:tcW w:w="5888" w:type="dxa"/>
            <w:vAlign w:val="center"/>
          </w:tcPr>
          <w:p w14:paraId="58FB4809">
            <w:r>
              <w:rPr>
                <w:rFonts w:hint="eastAsia"/>
              </w:rPr>
              <w:t>荔涵段C4标桥兜工程2019.6~12月工程款</w:t>
            </w:r>
          </w:p>
        </w:tc>
        <w:tc>
          <w:tcPr>
            <w:tcW w:w="1431" w:type="dxa"/>
            <w:vAlign w:val="center"/>
          </w:tcPr>
          <w:p w14:paraId="146704A1">
            <w:r>
              <w:rPr>
                <w:rFonts w:hint="eastAsia"/>
              </w:rPr>
              <w:t>300,000.00</w:t>
            </w:r>
          </w:p>
        </w:tc>
      </w:tr>
      <w:tr w14:paraId="782B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6325BB4B">
            <w:r>
              <w:rPr>
                <w:rFonts w:hint="eastAsia"/>
              </w:rPr>
              <w:t>莆财农表［2020］19号</w:t>
            </w:r>
          </w:p>
        </w:tc>
        <w:tc>
          <w:tcPr>
            <w:tcW w:w="5888" w:type="dxa"/>
            <w:vAlign w:val="center"/>
          </w:tcPr>
          <w:p w14:paraId="56C1A3A9">
            <w:r>
              <w:rPr>
                <w:rFonts w:hint="eastAsia"/>
              </w:rPr>
              <w:t>宁海闸导流工程结合江东水闸迁建项目2019年9~12月工程款</w:t>
            </w:r>
          </w:p>
        </w:tc>
        <w:tc>
          <w:tcPr>
            <w:tcW w:w="1431" w:type="dxa"/>
            <w:vAlign w:val="center"/>
          </w:tcPr>
          <w:p w14:paraId="4FE7FD00">
            <w:r>
              <w:rPr>
                <w:rFonts w:hint="eastAsia"/>
              </w:rPr>
              <w:t>1,500,000.00</w:t>
            </w:r>
          </w:p>
        </w:tc>
      </w:tr>
      <w:tr w14:paraId="6B21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5877A701">
            <w:r>
              <w:rPr>
                <w:rFonts w:hint="eastAsia"/>
              </w:rPr>
              <w:t>莆财农表［2020］19号</w:t>
            </w:r>
          </w:p>
        </w:tc>
        <w:tc>
          <w:tcPr>
            <w:tcW w:w="5888" w:type="dxa"/>
            <w:vAlign w:val="center"/>
          </w:tcPr>
          <w:p w14:paraId="21B6327B">
            <w:r>
              <w:rPr>
                <w:rFonts w:hint="eastAsia"/>
              </w:rPr>
              <w:t>宁海闸导流工程结合江东水闸迁建项目2019年5~8月工程余款</w:t>
            </w:r>
          </w:p>
        </w:tc>
        <w:tc>
          <w:tcPr>
            <w:tcW w:w="1431" w:type="dxa"/>
            <w:vAlign w:val="center"/>
          </w:tcPr>
          <w:p w14:paraId="232F5AE3">
            <w:r>
              <w:rPr>
                <w:rFonts w:hint="eastAsia"/>
              </w:rPr>
              <w:t>500,000.00</w:t>
            </w:r>
          </w:p>
        </w:tc>
      </w:tr>
      <w:tr w14:paraId="4E72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3B68DA97">
            <w:r>
              <w:rPr>
                <w:rFonts w:hint="eastAsia"/>
              </w:rPr>
              <w:t>莆财农表［2020］19号</w:t>
            </w:r>
          </w:p>
        </w:tc>
        <w:tc>
          <w:tcPr>
            <w:tcW w:w="5888" w:type="dxa"/>
            <w:vAlign w:val="center"/>
          </w:tcPr>
          <w:p w14:paraId="0B7FD964">
            <w:r>
              <w:rPr>
                <w:rFonts w:hint="eastAsia"/>
              </w:rPr>
              <w:t>退还木兰溪樟林水闸工程质保金</w:t>
            </w:r>
          </w:p>
        </w:tc>
        <w:tc>
          <w:tcPr>
            <w:tcW w:w="1431" w:type="dxa"/>
            <w:vAlign w:val="center"/>
          </w:tcPr>
          <w:p w14:paraId="0EF800FF">
            <w:r>
              <w:rPr>
                <w:rFonts w:hint="eastAsia"/>
              </w:rPr>
              <w:t>223,881.00</w:t>
            </w:r>
          </w:p>
        </w:tc>
      </w:tr>
      <w:tr w14:paraId="038E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59FF6482">
            <w:r>
              <w:rPr>
                <w:rFonts w:hint="eastAsia"/>
              </w:rPr>
              <w:t>莆财农表［2020］19号</w:t>
            </w:r>
          </w:p>
        </w:tc>
        <w:tc>
          <w:tcPr>
            <w:tcW w:w="5888" w:type="dxa"/>
            <w:vAlign w:val="center"/>
          </w:tcPr>
          <w:p w14:paraId="59CEE9E6">
            <w:r>
              <w:rPr>
                <w:rFonts w:hint="eastAsia"/>
              </w:rPr>
              <w:t>退还木兰溪荔涵段防洪工程C4标桥兜工程履约保证金</w:t>
            </w:r>
          </w:p>
        </w:tc>
        <w:tc>
          <w:tcPr>
            <w:tcW w:w="1431" w:type="dxa"/>
            <w:vAlign w:val="center"/>
          </w:tcPr>
          <w:p w14:paraId="1C028C5E">
            <w:r>
              <w:rPr>
                <w:rFonts w:hint="eastAsia"/>
              </w:rPr>
              <w:t>1,153,847.30</w:t>
            </w:r>
          </w:p>
        </w:tc>
      </w:tr>
      <w:tr w14:paraId="51BC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2417192A">
            <w:r>
              <w:rPr>
                <w:rFonts w:hint="eastAsia"/>
              </w:rPr>
              <w:t>莆财农表［2020］19号</w:t>
            </w:r>
          </w:p>
        </w:tc>
        <w:tc>
          <w:tcPr>
            <w:tcW w:w="5888" w:type="dxa"/>
            <w:vAlign w:val="center"/>
          </w:tcPr>
          <w:p w14:paraId="2DA06A3C">
            <w:r>
              <w:rPr>
                <w:rFonts w:hint="eastAsia"/>
              </w:rPr>
              <w:t>木兰溪城区景观试验段（一期工程）2019年12月工程款</w:t>
            </w:r>
          </w:p>
        </w:tc>
        <w:tc>
          <w:tcPr>
            <w:tcW w:w="1431" w:type="dxa"/>
            <w:vAlign w:val="center"/>
          </w:tcPr>
          <w:p w14:paraId="4CA086B7">
            <w:r>
              <w:rPr>
                <w:rFonts w:hint="eastAsia"/>
              </w:rPr>
              <w:t>1,000,000.00</w:t>
            </w:r>
          </w:p>
        </w:tc>
      </w:tr>
      <w:tr w14:paraId="3039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37C17A36">
            <w:r>
              <w:rPr>
                <w:rFonts w:hint="eastAsia"/>
              </w:rPr>
              <w:t>莆财农表［2020］19号</w:t>
            </w:r>
          </w:p>
        </w:tc>
        <w:tc>
          <w:tcPr>
            <w:tcW w:w="5888" w:type="dxa"/>
            <w:vAlign w:val="center"/>
          </w:tcPr>
          <w:p w14:paraId="38A8ABC1">
            <w:r>
              <w:rPr>
                <w:rFonts w:hint="eastAsia"/>
              </w:rPr>
              <w:t>木兰溪三期荔涵段防洪工程C3标工程尾款</w:t>
            </w:r>
          </w:p>
        </w:tc>
        <w:tc>
          <w:tcPr>
            <w:tcW w:w="1431" w:type="dxa"/>
            <w:vAlign w:val="center"/>
          </w:tcPr>
          <w:p w14:paraId="6DD25FA4">
            <w:r>
              <w:rPr>
                <w:rFonts w:hint="eastAsia"/>
              </w:rPr>
              <w:t>600,000.00</w:t>
            </w:r>
          </w:p>
        </w:tc>
      </w:tr>
      <w:tr w14:paraId="0C84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1D3EF705">
            <w:r>
              <w:rPr>
                <w:rFonts w:hint="eastAsia"/>
              </w:rPr>
              <w:t>莆财农表［2020］19号</w:t>
            </w:r>
          </w:p>
        </w:tc>
        <w:tc>
          <w:tcPr>
            <w:tcW w:w="5888" w:type="dxa"/>
            <w:vAlign w:val="center"/>
          </w:tcPr>
          <w:p w14:paraId="10DF8059">
            <w:r>
              <w:rPr>
                <w:rFonts w:hint="eastAsia"/>
              </w:rPr>
              <w:t>木兰溪华亭段变低压更换电杆改造</w:t>
            </w:r>
          </w:p>
        </w:tc>
        <w:tc>
          <w:tcPr>
            <w:tcW w:w="1431" w:type="dxa"/>
            <w:vAlign w:val="center"/>
          </w:tcPr>
          <w:p w14:paraId="49B021CB">
            <w:r>
              <w:rPr>
                <w:rFonts w:hint="eastAsia"/>
              </w:rPr>
              <w:t>9,876.00</w:t>
            </w:r>
          </w:p>
        </w:tc>
      </w:tr>
      <w:tr w14:paraId="402C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4280FF08">
            <w:r>
              <w:rPr>
                <w:rFonts w:hint="eastAsia"/>
              </w:rPr>
              <w:t>莆财农表［2020］19号</w:t>
            </w:r>
          </w:p>
        </w:tc>
        <w:tc>
          <w:tcPr>
            <w:tcW w:w="5888" w:type="dxa"/>
            <w:vAlign w:val="center"/>
          </w:tcPr>
          <w:p w14:paraId="13997D3E">
            <w:r>
              <w:rPr>
                <w:rFonts w:hint="eastAsia"/>
              </w:rPr>
              <w:t>木兰溪左岸绿道工程（二期）绿化养护工程款（2020年4~5月）</w:t>
            </w:r>
          </w:p>
        </w:tc>
        <w:tc>
          <w:tcPr>
            <w:tcW w:w="1431" w:type="dxa"/>
            <w:vAlign w:val="center"/>
          </w:tcPr>
          <w:p w14:paraId="7EFD138D">
            <w:r>
              <w:rPr>
                <w:rFonts w:hint="eastAsia"/>
              </w:rPr>
              <w:t>60,230.00</w:t>
            </w:r>
          </w:p>
        </w:tc>
      </w:tr>
      <w:tr w14:paraId="202C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0645634E">
            <w:r>
              <w:rPr>
                <w:rFonts w:hint="eastAsia"/>
              </w:rPr>
              <w:t>莆财农表［2020］19号</w:t>
            </w:r>
          </w:p>
        </w:tc>
        <w:tc>
          <w:tcPr>
            <w:tcW w:w="5888" w:type="dxa"/>
            <w:vAlign w:val="center"/>
          </w:tcPr>
          <w:p w14:paraId="5D4A49E3">
            <w:r>
              <w:rPr>
                <w:rFonts w:hint="eastAsia"/>
              </w:rPr>
              <w:t>木兰溪景观试验段绿化修复及提升工程款（2020年6月）</w:t>
            </w:r>
          </w:p>
        </w:tc>
        <w:tc>
          <w:tcPr>
            <w:tcW w:w="1431" w:type="dxa"/>
            <w:vAlign w:val="center"/>
          </w:tcPr>
          <w:p w14:paraId="37D90479">
            <w:r>
              <w:rPr>
                <w:rFonts w:hint="eastAsia"/>
              </w:rPr>
              <w:t>354,709.80</w:t>
            </w:r>
          </w:p>
        </w:tc>
      </w:tr>
      <w:tr w14:paraId="3E50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22D9ED90">
            <w:r>
              <w:rPr>
                <w:rFonts w:hint="eastAsia"/>
              </w:rPr>
              <w:t>莆财农表［2020］19号</w:t>
            </w:r>
          </w:p>
        </w:tc>
        <w:tc>
          <w:tcPr>
            <w:tcW w:w="5888" w:type="dxa"/>
            <w:vAlign w:val="center"/>
          </w:tcPr>
          <w:p w14:paraId="0BF7A746">
            <w:r>
              <w:rPr>
                <w:rFonts w:hint="eastAsia"/>
              </w:rPr>
              <w:t>木兰溪绿道工程一期管理房勘察设计费</w:t>
            </w:r>
          </w:p>
        </w:tc>
        <w:tc>
          <w:tcPr>
            <w:tcW w:w="1431" w:type="dxa"/>
            <w:vAlign w:val="center"/>
          </w:tcPr>
          <w:p w14:paraId="365F0839">
            <w:r>
              <w:rPr>
                <w:rFonts w:hint="eastAsia"/>
              </w:rPr>
              <w:t>90,297.00</w:t>
            </w:r>
          </w:p>
        </w:tc>
      </w:tr>
      <w:tr w14:paraId="4CCC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06C40FCC">
            <w:r>
              <w:rPr>
                <w:rFonts w:hint="eastAsia"/>
              </w:rPr>
              <w:t>莆财农表［2020］19号</w:t>
            </w:r>
          </w:p>
        </w:tc>
        <w:tc>
          <w:tcPr>
            <w:tcW w:w="5888" w:type="dxa"/>
            <w:vAlign w:val="center"/>
          </w:tcPr>
          <w:p w14:paraId="158C7586">
            <w:r>
              <w:rPr>
                <w:rFonts w:hint="eastAsia"/>
              </w:rPr>
              <w:t>木兰溪防洪工程白塘段勘察设计费</w:t>
            </w:r>
          </w:p>
        </w:tc>
        <w:tc>
          <w:tcPr>
            <w:tcW w:w="1431" w:type="dxa"/>
            <w:vAlign w:val="center"/>
          </w:tcPr>
          <w:p w14:paraId="43BC146B">
            <w:r>
              <w:rPr>
                <w:rFonts w:hint="eastAsia"/>
              </w:rPr>
              <w:t>294,799.99</w:t>
            </w:r>
          </w:p>
        </w:tc>
      </w:tr>
      <w:tr w14:paraId="10A3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705E91E5">
            <w:r>
              <w:rPr>
                <w:rFonts w:hint="eastAsia"/>
              </w:rPr>
              <w:t>莆财农表［2020］19号</w:t>
            </w:r>
          </w:p>
        </w:tc>
        <w:tc>
          <w:tcPr>
            <w:tcW w:w="5888" w:type="dxa"/>
            <w:vAlign w:val="center"/>
          </w:tcPr>
          <w:p w14:paraId="5F7CC67C">
            <w:r>
              <w:rPr>
                <w:rFonts w:hint="eastAsia"/>
              </w:rPr>
              <w:t>木兰溪左岸绿道工程2020年3~4月绿化养护费</w:t>
            </w:r>
          </w:p>
        </w:tc>
        <w:tc>
          <w:tcPr>
            <w:tcW w:w="1431" w:type="dxa"/>
            <w:vAlign w:val="center"/>
          </w:tcPr>
          <w:p w14:paraId="583FFFF8">
            <w:r>
              <w:rPr>
                <w:rFonts w:hint="eastAsia"/>
              </w:rPr>
              <w:t>80,000.00</w:t>
            </w:r>
          </w:p>
        </w:tc>
      </w:tr>
      <w:tr w14:paraId="6362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2223F558">
            <w:r>
              <w:rPr>
                <w:rFonts w:hint="eastAsia"/>
              </w:rPr>
              <w:t>莆财农表［2020］19号</w:t>
            </w:r>
          </w:p>
        </w:tc>
        <w:tc>
          <w:tcPr>
            <w:tcW w:w="5888" w:type="dxa"/>
            <w:vAlign w:val="center"/>
          </w:tcPr>
          <w:p w14:paraId="59A76EDD">
            <w:r>
              <w:rPr>
                <w:rFonts w:hint="eastAsia"/>
              </w:rPr>
              <w:t>木兰溪左岸绿道工程（木兰陂景观提升 ）2019年12月工程款</w:t>
            </w:r>
          </w:p>
        </w:tc>
        <w:tc>
          <w:tcPr>
            <w:tcW w:w="1431" w:type="dxa"/>
            <w:vAlign w:val="center"/>
          </w:tcPr>
          <w:p w14:paraId="7AD45BD2">
            <w:r>
              <w:rPr>
                <w:rFonts w:hint="eastAsia"/>
              </w:rPr>
              <w:t>600,000.00</w:t>
            </w:r>
          </w:p>
        </w:tc>
      </w:tr>
      <w:tr w14:paraId="426E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45C51EA9">
            <w:r>
              <w:rPr>
                <w:rFonts w:hint="eastAsia"/>
              </w:rPr>
              <w:t>莆财农表［2020］19号</w:t>
            </w:r>
          </w:p>
        </w:tc>
        <w:tc>
          <w:tcPr>
            <w:tcW w:w="5888" w:type="dxa"/>
            <w:vAlign w:val="center"/>
          </w:tcPr>
          <w:p w14:paraId="27C00AC4">
            <w:r>
              <w:rPr>
                <w:rFonts w:hint="eastAsia"/>
              </w:rPr>
              <w:t>木兰溪白塘段防洪工程临时电杆应急抢修电力工程款</w:t>
            </w:r>
          </w:p>
        </w:tc>
        <w:tc>
          <w:tcPr>
            <w:tcW w:w="1431" w:type="dxa"/>
            <w:vAlign w:val="center"/>
          </w:tcPr>
          <w:p w14:paraId="494B801A">
            <w:r>
              <w:rPr>
                <w:rFonts w:hint="eastAsia"/>
              </w:rPr>
              <w:t>3,859.00</w:t>
            </w:r>
          </w:p>
        </w:tc>
      </w:tr>
      <w:tr w14:paraId="6626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10C68113">
            <w:r>
              <w:rPr>
                <w:rFonts w:hint="eastAsia"/>
              </w:rPr>
              <w:t>莆财农表［2020］19号</w:t>
            </w:r>
          </w:p>
        </w:tc>
        <w:tc>
          <w:tcPr>
            <w:tcW w:w="5888" w:type="dxa"/>
            <w:vAlign w:val="center"/>
          </w:tcPr>
          <w:p w14:paraId="5DAD7B8D">
            <w:r>
              <w:rPr>
                <w:rFonts w:hint="eastAsia"/>
              </w:rPr>
              <w:t>莆田市木兰溪三期荔涵段C1标土工材料退还质保金</w:t>
            </w:r>
          </w:p>
        </w:tc>
        <w:tc>
          <w:tcPr>
            <w:tcW w:w="1431" w:type="dxa"/>
            <w:vAlign w:val="center"/>
          </w:tcPr>
          <w:p w14:paraId="76115692">
            <w:r>
              <w:rPr>
                <w:rFonts w:hint="eastAsia"/>
              </w:rPr>
              <w:t>288,765.73</w:t>
            </w:r>
          </w:p>
        </w:tc>
      </w:tr>
      <w:tr w14:paraId="08E2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1B47F1C2">
            <w:r>
              <w:rPr>
                <w:rFonts w:hint="eastAsia"/>
              </w:rPr>
              <w:t>莆财农表［2020］19号</w:t>
            </w:r>
          </w:p>
        </w:tc>
        <w:tc>
          <w:tcPr>
            <w:tcW w:w="5888" w:type="dxa"/>
            <w:vAlign w:val="center"/>
          </w:tcPr>
          <w:p w14:paraId="72CB0263">
            <w:r>
              <w:rPr>
                <w:rFonts w:hint="eastAsia"/>
              </w:rPr>
              <w:t>莆田市木兰溪三期荔涵段C1标土工材料退还质保金</w:t>
            </w:r>
          </w:p>
        </w:tc>
        <w:tc>
          <w:tcPr>
            <w:tcW w:w="1431" w:type="dxa"/>
            <w:vAlign w:val="center"/>
          </w:tcPr>
          <w:p w14:paraId="2BECA8D9">
            <w:r>
              <w:rPr>
                <w:rFonts w:hint="eastAsia"/>
              </w:rPr>
              <w:t>-288,765.73</w:t>
            </w:r>
          </w:p>
        </w:tc>
      </w:tr>
      <w:tr w14:paraId="35A2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204BEE20">
            <w:r>
              <w:rPr>
                <w:rFonts w:hint="eastAsia"/>
              </w:rPr>
              <w:t>莆财农表［2020］19号</w:t>
            </w:r>
          </w:p>
        </w:tc>
        <w:tc>
          <w:tcPr>
            <w:tcW w:w="5888" w:type="dxa"/>
            <w:vAlign w:val="center"/>
          </w:tcPr>
          <w:p w14:paraId="4155E4FF">
            <w:r>
              <w:rPr>
                <w:rFonts w:hint="eastAsia"/>
              </w:rPr>
              <w:t>木兰溪霞林段C1标段工程结算款</w:t>
            </w:r>
          </w:p>
        </w:tc>
        <w:tc>
          <w:tcPr>
            <w:tcW w:w="1431" w:type="dxa"/>
            <w:vAlign w:val="center"/>
          </w:tcPr>
          <w:p w14:paraId="07479F88">
            <w:r>
              <w:rPr>
                <w:rFonts w:hint="eastAsia"/>
              </w:rPr>
              <w:t>300,000.00</w:t>
            </w:r>
          </w:p>
        </w:tc>
      </w:tr>
      <w:tr w14:paraId="658C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3F785DDB">
            <w:r>
              <w:rPr>
                <w:rFonts w:hint="eastAsia"/>
              </w:rPr>
              <w:t>莆财农表［2020］19号</w:t>
            </w:r>
          </w:p>
        </w:tc>
        <w:tc>
          <w:tcPr>
            <w:tcW w:w="5888" w:type="dxa"/>
            <w:vAlign w:val="center"/>
          </w:tcPr>
          <w:p w14:paraId="47DA6816">
            <w:r>
              <w:rPr>
                <w:rFonts w:hint="eastAsia"/>
              </w:rPr>
              <w:t>木兰溪荔涵防洪工程C1标土工材料质保金</w:t>
            </w:r>
          </w:p>
        </w:tc>
        <w:tc>
          <w:tcPr>
            <w:tcW w:w="1431" w:type="dxa"/>
            <w:vAlign w:val="center"/>
          </w:tcPr>
          <w:p w14:paraId="67F78034">
            <w:r>
              <w:rPr>
                <w:rFonts w:hint="eastAsia"/>
              </w:rPr>
              <w:t>288,765.73</w:t>
            </w:r>
          </w:p>
        </w:tc>
      </w:tr>
      <w:tr w14:paraId="55D1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3FF26060">
            <w:r>
              <w:rPr>
                <w:rFonts w:hint="eastAsia"/>
              </w:rPr>
              <w:t>莆财农表［2020］19号</w:t>
            </w:r>
          </w:p>
        </w:tc>
        <w:tc>
          <w:tcPr>
            <w:tcW w:w="5888" w:type="dxa"/>
            <w:vAlign w:val="center"/>
          </w:tcPr>
          <w:p w14:paraId="544F86FC">
            <w:r>
              <w:rPr>
                <w:rFonts w:hint="eastAsia"/>
              </w:rPr>
              <w:t>木兰溪防洪工程2020年水闸配套项目2020年7月份工程款</w:t>
            </w:r>
          </w:p>
        </w:tc>
        <w:tc>
          <w:tcPr>
            <w:tcW w:w="1431" w:type="dxa"/>
            <w:vAlign w:val="center"/>
          </w:tcPr>
          <w:p w14:paraId="7719FB63">
            <w:r>
              <w:rPr>
                <w:rFonts w:hint="eastAsia"/>
              </w:rPr>
              <w:t>234,600.00</w:t>
            </w:r>
          </w:p>
        </w:tc>
      </w:tr>
      <w:tr w14:paraId="3EF9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4D703F68">
            <w:r>
              <w:rPr>
                <w:rFonts w:hint="eastAsia"/>
              </w:rPr>
              <w:t>莆财农表［2020］19号</w:t>
            </w:r>
          </w:p>
        </w:tc>
        <w:tc>
          <w:tcPr>
            <w:tcW w:w="5888" w:type="dxa"/>
            <w:vAlign w:val="center"/>
          </w:tcPr>
          <w:p w14:paraId="4A2F648C">
            <w:r>
              <w:rPr>
                <w:rFonts w:hint="eastAsia"/>
              </w:rPr>
              <w:t>木兰溪三期荔涵段C4标桥兜工程工程进度尾款</w:t>
            </w:r>
          </w:p>
        </w:tc>
        <w:tc>
          <w:tcPr>
            <w:tcW w:w="1431" w:type="dxa"/>
            <w:vAlign w:val="center"/>
          </w:tcPr>
          <w:p w14:paraId="4C3B7A79">
            <w:r>
              <w:rPr>
                <w:rFonts w:hint="eastAsia"/>
              </w:rPr>
              <w:t>700,000.00</w:t>
            </w:r>
          </w:p>
        </w:tc>
      </w:tr>
      <w:tr w14:paraId="10ED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3E96535C">
            <w:r>
              <w:rPr>
                <w:rFonts w:hint="eastAsia"/>
              </w:rPr>
              <w:t>莆财农表［2020］19号</w:t>
            </w:r>
          </w:p>
        </w:tc>
        <w:tc>
          <w:tcPr>
            <w:tcW w:w="5888" w:type="dxa"/>
            <w:vAlign w:val="center"/>
          </w:tcPr>
          <w:p w14:paraId="2DC90707">
            <w:r>
              <w:rPr>
                <w:rFonts w:hint="eastAsia"/>
              </w:rPr>
              <w:t>莆田市宁海闸导流工程结合江东水闸项目2019年9~12月工程款</w:t>
            </w:r>
          </w:p>
        </w:tc>
        <w:tc>
          <w:tcPr>
            <w:tcW w:w="1431" w:type="dxa"/>
            <w:vAlign w:val="center"/>
          </w:tcPr>
          <w:p w14:paraId="2BA2D50A">
            <w:r>
              <w:rPr>
                <w:rFonts w:hint="eastAsia"/>
              </w:rPr>
              <w:t>1,700,000.00</w:t>
            </w:r>
          </w:p>
        </w:tc>
      </w:tr>
      <w:tr w14:paraId="30F4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32876E46">
            <w:r>
              <w:rPr>
                <w:rFonts w:hint="eastAsia"/>
              </w:rPr>
              <w:t>莆财农表［2020］19号</w:t>
            </w:r>
          </w:p>
        </w:tc>
        <w:tc>
          <w:tcPr>
            <w:tcW w:w="5888" w:type="dxa"/>
            <w:vAlign w:val="center"/>
          </w:tcPr>
          <w:p w14:paraId="3BD98C6F">
            <w:r>
              <w:rPr>
                <w:rFonts w:hint="eastAsia"/>
              </w:rPr>
              <w:t>木兰溪城区景观试验段一期改造工程2020年8月结算尾款</w:t>
            </w:r>
          </w:p>
        </w:tc>
        <w:tc>
          <w:tcPr>
            <w:tcW w:w="1431" w:type="dxa"/>
            <w:vAlign w:val="center"/>
          </w:tcPr>
          <w:p w14:paraId="49A90D16">
            <w:r>
              <w:rPr>
                <w:rFonts w:hint="eastAsia"/>
              </w:rPr>
              <w:t>430,000.00</w:t>
            </w:r>
          </w:p>
        </w:tc>
      </w:tr>
      <w:tr w14:paraId="7111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17357DD8">
            <w:r>
              <w:rPr>
                <w:rFonts w:hint="eastAsia"/>
              </w:rPr>
              <w:t>莆财农表［2020］19号</w:t>
            </w:r>
          </w:p>
        </w:tc>
        <w:tc>
          <w:tcPr>
            <w:tcW w:w="5888" w:type="dxa"/>
            <w:vAlign w:val="center"/>
          </w:tcPr>
          <w:p w14:paraId="600DD92B">
            <w:r>
              <w:rPr>
                <w:rFonts w:hint="eastAsia"/>
              </w:rPr>
              <w:t>木兰溪左岸绿道工程(二期)2020年7月工程部分结算款</w:t>
            </w:r>
          </w:p>
        </w:tc>
        <w:tc>
          <w:tcPr>
            <w:tcW w:w="1431" w:type="dxa"/>
            <w:vAlign w:val="center"/>
          </w:tcPr>
          <w:p w14:paraId="4357EB82">
            <w:r>
              <w:rPr>
                <w:rFonts w:hint="eastAsia"/>
              </w:rPr>
              <w:t>1,000,000.00</w:t>
            </w:r>
          </w:p>
        </w:tc>
      </w:tr>
      <w:tr w14:paraId="739D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52E11FE8">
            <w:r>
              <w:rPr>
                <w:rFonts w:hint="eastAsia"/>
              </w:rPr>
              <w:t>莆财农表［2020］19号</w:t>
            </w:r>
          </w:p>
        </w:tc>
        <w:tc>
          <w:tcPr>
            <w:tcW w:w="5888" w:type="dxa"/>
            <w:vAlign w:val="center"/>
          </w:tcPr>
          <w:p w14:paraId="303BCC67">
            <w:r>
              <w:rPr>
                <w:rFonts w:hint="eastAsia"/>
              </w:rPr>
              <w:t>木兰溪城区绿道、景观试验段工程监理费</w:t>
            </w:r>
          </w:p>
        </w:tc>
        <w:tc>
          <w:tcPr>
            <w:tcW w:w="1431" w:type="dxa"/>
            <w:vAlign w:val="center"/>
          </w:tcPr>
          <w:p w14:paraId="3FA23676">
            <w:r>
              <w:rPr>
                <w:rFonts w:hint="eastAsia"/>
              </w:rPr>
              <w:t>270,000.00</w:t>
            </w:r>
          </w:p>
        </w:tc>
      </w:tr>
      <w:tr w14:paraId="6D4E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6FA5B0B3">
            <w:r>
              <w:rPr>
                <w:rFonts w:hint="eastAsia"/>
              </w:rPr>
              <w:t>莆财农表［2020］19号</w:t>
            </w:r>
          </w:p>
        </w:tc>
        <w:tc>
          <w:tcPr>
            <w:tcW w:w="5888" w:type="dxa"/>
            <w:vAlign w:val="center"/>
          </w:tcPr>
          <w:p w14:paraId="44F67AA1">
            <w:r>
              <w:rPr>
                <w:rFonts w:hint="eastAsia"/>
              </w:rPr>
              <w:t>木兰溪景观试验段绿化修复及提升工程预算审核服务费</w:t>
            </w:r>
          </w:p>
        </w:tc>
        <w:tc>
          <w:tcPr>
            <w:tcW w:w="1431" w:type="dxa"/>
            <w:vAlign w:val="center"/>
          </w:tcPr>
          <w:p w14:paraId="43766314">
            <w:r>
              <w:rPr>
                <w:rFonts w:hint="eastAsia"/>
              </w:rPr>
              <w:t>3,384.00</w:t>
            </w:r>
          </w:p>
        </w:tc>
      </w:tr>
      <w:tr w14:paraId="41AE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3556257D">
            <w:r>
              <w:rPr>
                <w:rFonts w:hint="eastAsia"/>
              </w:rPr>
              <w:t>莆财农表［2020］19号</w:t>
            </w:r>
          </w:p>
        </w:tc>
        <w:tc>
          <w:tcPr>
            <w:tcW w:w="5888" w:type="dxa"/>
            <w:vAlign w:val="center"/>
          </w:tcPr>
          <w:p w14:paraId="57FFAF73">
            <w:r>
              <w:rPr>
                <w:rFonts w:hint="eastAsia"/>
              </w:rPr>
              <w:t>木兰溪白塘段防洪工程监理平行检测费用</w:t>
            </w:r>
          </w:p>
        </w:tc>
        <w:tc>
          <w:tcPr>
            <w:tcW w:w="1431" w:type="dxa"/>
            <w:vAlign w:val="center"/>
          </w:tcPr>
          <w:p w14:paraId="77300BFD">
            <w:r>
              <w:rPr>
                <w:rFonts w:hint="eastAsia"/>
              </w:rPr>
              <w:t>14,261.00</w:t>
            </w:r>
          </w:p>
        </w:tc>
      </w:tr>
      <w:tr w14:paraId="4747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13F93919">
            <w:r>
              <w:rPr>
                <w:rFonts w:hint="eastAsia"/>
              </w:rPr>
              <w:t>莆财农表［2020］19号</w:t>
            </w:r>
          </w:p>
        </w:tc>
        <w:tc>
          <w:tcPr>
            <w:tcW w:w="5888" w:type="dxa"/>
            <w:vAlign w:val="center"/>
          </w:tcPr>
          <w:p w14:paraId="388FD35E">
            <w:r>
              <w:rPr>
                <w:rFonts w:hint="eastAsia"/>
              </w:rPr>
              <w:t>木兰溪宁海闸导流工程结合江东水闸迁建项目自来水管迁安装工程费</w:t>
            </w:r>
          </w:p>
        </w:tc>
        <w:tc>
          <w:tcPr>
            <w:tcW w:w="1431" w:type="dxa"/>
            <w:vAlign w:val="center"/>
          </w:tcPr>
          <w:p w14:paraId="682901A0">
            <w:r>
              <w:rPr>
                <w:rFonts w:hint="eastAsia"/>
              </w:rPr>
              <w:t>500,000.00</w:t>
            </w:r>
          </w:p>
        </w:tc>
      </w:tr>
      <w:tr w14:paraId="6381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1B905949">
            <w:r>
              <w:rPr>
                <w:rFonts w:hint="eastAsia"/>
              </w:rPr>
              <w:t>莆财农表［2020］19号</w:t>
            </w:r>
          </w:p>
        </w:tc>
        <w:tc>
          <w:tcPr>
            <w:tcW w:w="5888" w:type="dxa"/>
            <w:vAlign w:val="center"/>
          </w:tcPr>
          <w:p w14:paraId="257352F3">
            <w:r>
              <w:rPr>
                <w:rFonts w:hint="eastAsia"/>
              </w:rPr>
              <w:t>木兰溪霞林段防洪工程部分结算款</w:t>
            </w:r>
          </w:p>
        </w:tc>
        <w:tc>
          <w:tcPr>
            <w:tcW w:w="1431" w:type="dxa"/>
            <w:vAlign w:val="center"/>
          </w:tcPr>
          <w:p w14:paraId="3C290A59">
            <w:r>
              <w:rPr>
                <w:rFonts w:hint="eastAsia"/>
              </w:rPr>
              <w:t>1,000,000.00</w:t>
            </w:r>
          </w:p>
        </w:tc>
      </w:tr>
      <w:tr w14:paraId="4FA6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0706361A">
            <w:r>
              <w:rPr>
                <w:rFonts w:hint="eastAsia"/>
              </w:rPr>
              <w:t>莆财农表［2020］19号</w:t>
            </w:r>
          </w:p>
        </w:tc>
        <w:tc>
          <w:tcPr>
            <w:tcW w:w="5888" w:type="dxa"/>
            <w:vAlign w:val="center"/>
          </w:tcPr>
          <w:p w14:paraId="172E19BE">
            <w:r>
              <w:rPr>
                <w:rFonts w:hint="eastAsia"/>
              </w:rPr>
              <w:t>木兰溪左岸绿道木兰陂景观提升工程2020年5~6月绿化养护工程款</w:t>
            </w:r>
          </w:p>
        </w:tc>
        <w:tc>
          <w:tcPr>
            <w:tcW w:w="1431" w:type="dxa"/>
            <w:vAlign w:val="center"/>
          </w:tcPr>
          <w:p w14:paraId="12B30DA8">
            <w:r>
              <w:rPr>
                <w:rFonts w:hint="eastAsia"/>
              </w:rPr>
              <w:t>79,700.00</w:t>
            </w:r>
          </w:p>
        </w:tc>
      </w:tr>
      <w:tr w14:paraId="1E96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69CA3FE3">
            <w:r>
              <w:rPr>
                <w:rFonts w:hint="eastAsia"/>
              </w:rPr>
              <w:t>莆财农表［2020］19号</w:t>
            </w:r>
          </w:p>
        </w:tc>
        <w:tc>
          <w:tcPr>
            <w:tcW w:w="5888" w:type="dxa"/>
            <w:vAlign w:val="center"/>
          </w:tcPr>
          <w:p w14:paraId="78B33842">
            <w:r>
              <w:rPr>
                <w:rFonts w:hint="eastAsia"/>
              </w:rPr>
              <w:t>木兰溪左岸绿道二期工程2020年6~8月工程款</w:t>
            </w:r>
          </w:p>
        </w:tc>
        <w:tc>
          <w:tcPr>
            <w:tcW w:w="1431" w:type="dxa"/>
            <w:vAlign w:val="center"/>
          </w:tcPr>
          <w:p w14:paraId="7131034D">
            <w:r>
              <w:rPr>
                <w:rFonts w:hint="eastAsia"/>
              </w:rPr>
              <w:t>60,330.00</w:t>
            </w:r>
          </w:p>
        </w:tc>
      </w:tr>
      <w:tr w14:paraId="2E7D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548E0ADD">
            <w:r>
              <w:rPr>
                <w:rFonts w:hint="eastAsia"/>
              </w:rPr>
              <w:t>莆财农表［2020］19号</w:t>
            </w:r>
          </w:p>
        </w:tc>
        <w:tc>
          <w:tcPr>
            <w:tcW w:w="5888" w:type="dxa"/>
            <w:vAlign w:val="center"/>
          </w:tcPr>
          <w:p w14:paraId="08831AB8">
            <w:r>
              <w:rPr>
                <w:rFonts w:hint="eastAsia"/>
              </w:rPr>
              <w:t>木兰溪南箕水闸内引港应急除险加固2020年8月份工程结算款</w:t>
            </w:r>
          </w:p>
        </w:tc>
        <w:tc>
          <w:tcPr>
            <w:tcW w:w="1431" w:type="dxa"/>
            <w:vAlign w:val="center"/>
          </w:tcPr>
          <w:p w14:paraId="77FA17CA">
            <w:r>
              <w:rPr>
                <w:rFonts w:hint="eastAsia"/>
              </w:rPr>
              <w:t>263,154.00</w:t>
            </w:r>
          </w:p>
        </w:tc>
      </w:tr>
      <w:tr w14:paraId="5D47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1DBFCB19">
            <w:r>
              <w:rPr>
                <w:rFonts w:hint="eastAsia"/>
              </w:rPr>
              <w:t>莆财农表［2020］19号</w:t>
            </w:r>
          </w:p>
        </w:tc>
        <w:tc>
          <w:tcPr>
            <w:tcW w:w="5888" w:type="dxa"/>
            <w:vAlign w:val="center"/>
          </w:tcPr>
          <w:p w14:paraId="48BD4332">
            <w:r>
              <w:rPr>
                <w:rFonts w:hint="eastAsia"/>
              </w:rPr>
              <w:t>木兰溪左岸绿道工程（景观提升）2019年12月工程款</w:t>
            </w:r>
          </w:p>
        </w:tc>
        <w:tc>
          <w:tcPr>
            <w:tcW w:w="1431" w:type="dxa"/>
            <w:vAlign w:val="center"/>
          </w:tcPr>
          <w:p w14:paraId="4257AF63">
            <w:r>
              <w:rPr>
                <w:rFonts w:hint="eastAsia"/>
              </w:rPr>
              <w:t>400,000.00</w:t>
            </w:r>
          </w:p>
        </w:tc>
      </w:tr>
      <w:tr w14:paraId="4929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14:paraId="66B2F95E">
            <w:r>
              <w:rPr>
                <w:rFonts w:hint="eastAsia"/>
              </w:rPr>
              <w:t>莆财农表［2020］19号</w:t>
            </w:r>
          </w:p>
        </w:tc>
        <w:tc>
          <w:tcPr>
            <w:tcW w:w="5888" w:type="dxa"/>
            <w:vAlign w:val="center"/>
          </w:tcPr>
          <w:p w14:paraId="60997523">
            <w:r>
              <w:rPr>
                <w:rFonts w:hint="eastAsia"/>
              </w:rPr>
              <w:t>木兰溪张镇水闸内引港护岸应急除险加固2020年4~6月工程款</w:t>
            </w:r>
          </w:p>
        </w:tc>
        <w:tc>
          <w:tcPr>
            <w:tcW w:w="1431" w:type="dxa"/>
            <w:vAlign w:val="center"/>
          </w:tcPr>
          <w:p w14:paraId="025FB786">
            <w:r>
              <w:rPr>
                <w:rFonts w:hint="eastAsia"/>
              </w:rPr>
              <w:t>498,111.23</w:t>
            </w:r>
          </w:p>
        </w:tc>
      </w:tr>
      <w:tr w14:paraId="2CF5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27" w:type="dxa"/>
            <w:gridSpan w:val="2"/>
            <w:vAlign w:val="center"/>
          </w:tcPr>
          <w:p w14:paraId="2ADFD513">
            <w:r>
              <w:rPr>
                <w:rFonts w:hint="eastAsia"/>
              </w:rPr>
              <w:t>小计</w:t>
            </w:r>
          </w:p>
        </w:tc>
        <w:tc>
          <w:tcPr>
            <w:tcW w:w="1431" w:type="dxa"/>
            <w:vAlign w:val="center"/>
          </w:tcPr>
          <w:p w14:paraId="5D865CC7">
            <w:r>
              <w:rPr>
                <w:rFonts w:hint="eastAsia"/>
              </w:rPr>
              <w:t>15460000</w:t>
            </w:r>
          </w:p>
        </w:tc>
      </w:tr>
    </w:tbl>
    <w:p w14:paraId="07565FD2">
      <w:pPr>
        <w:ind w:firstLine="420" w:firstLineChars="200"/>
      </w:pPr>
      <w:r>
        <w:rPr>
          <w:rFonts w:hint="eastAsia"/>
        </w:rPr>
        <w:t>表3  2020年木兰溪防洪生态治理工程项目资金使用情况（9680.59万元）</w:t>
      </w:r>
    </w:p>
    <w:tbl>
      <w:tblPr>
        <w:tblStyle w:val="17"/>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4976"/>
        <w:gridCol w:w="1665"/>
      </w:tblGrid>
      <w:tr w14:paraId="267D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tcBorders>
              <w:top w:val="single" w:color="auto" w:sz="4" w:space="0"/>
            </w:tcBorders>
            <w:vAlign w:val="center"/>
          </w:tcPr>
          <w:p w14:paraId="3D31DAA1">
            <w:r>
              <w:rPr>
                <w:rFonts w:hint="eastAsia"/>
              </w:rPr>
              <w:t>文号</w:t>
            </w:r>
          </w:p>
        </w:tc>
        <w:tc>
          <w:tcPr>
            <w:tcW w:w="4976" w:type="dxa"/>
            <w:tcBorders>
              <w:top w:val="single" w:color="auto" w:sz="4" w:space="0"/>
            </w:tcBorders>
            <w:vAlign w:val="center"/>
          </w:tcPr>
          <w:p w14:paraId="219F2ADC">
            <w:r>
              <w:rPr>
                <w:rFonts w:hint="eastAsia"/>
              </w:rPr>
              <w:t>资金用途</w:t>
            </w:r>
          </w:p>
        </w:tc>
        <w:tc>
          <w:tcPr>
            <w:tcW w:w="1665" w:type="dxa"/>
            <w:tcBorders>
              <w:top w:val="single" w:color="auto" w:sz="4" w:space="0"/>
            </w:tcBorders>
            <w:vAlign w:val="center"/>
          </w:tcPr>
          <w:p w14:paraId="47CDDB81">
            <w:r>
              <w:rPr>
                <w:rFonts w:hint="eastAsia"/>
              </w:rPr>
              <w:t>资金支出（元）</w:t>
            </w:r>
          </w:p>
        </w:tc>
      </w:tr>
      <w:tr w14:paraId="2DBA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29DD69D8">
            <w:r>
              <w:rPr>
                <w:rFonts w:hint="eastAsia"/>
              </w:rPr>
              <w:t>莆财农表［2020］19号</w:t>
            </w:r>
          </w:p>
        </w:tc>
        <w:tc>
          <w:tcPr>
            <w:tcW w:w="4976" w:type="dxa"/>
            <w:vAlign w:val="center"/>
          </w:tcPr>
          <w:p w14:paraId="4AD1E6A8">
            <w:r>
              <w:rPr>
                <w:rFonts w:hint="eastAsia"/>
              </w:rPr>
              <w:t>荔涵段C4标桥兜工程2020年9月份工程进度款</w:t>
            </w:r>
          </w:p>
        </w:tc>
        <w:tc>
          <w:tcPr>
            <w:tcW w:w="1665" w:type="dxa"/>
            <w:vAlign w:val="center"/>
          </w:tcPr>
          <w:p w14:paraId="2F37BF71">
            <w:r>
              <w:rPr>
                <w:rFonts w:hint="eastAsia"/>
              </w:rPr>
              <w:t>1,508,629.00</w:t>
            </w:r>
          </w:p>
        </w:tc>
      </w:tr>
      <w:tr w14:paraId="7397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3DA52C97">
            <w:r>
              <w:rPr>
                <w:rFonts w:hint="eastAsia"/>
              </w:rPr>
              <w:t>莆财农表［2020］19号</w:t>
            </w:r>
          </w:p>
        </w:tc>
        <w:tc>
          <w:tcPr>
            <w:tcW w:w="4976" w:type="dxa"/>
            <w:vAlign w:val="center"/>
          </w:tcPr>
          <w:p w14:paraId="45C576A4">
            <w:r>
              <w:rPr>
                <w:rFonts w:hint="eastAsia"/>
              </w:rPr>
              <w:t>木兰溪荔涵段、华林段、华亭段、江东水闸监测费用</w:t>
            </w:r>
          </w:p>
        </w:tc>
        <w:tc>
          <w:tcPr>
            <w:tcW w:w="1665" w:type="dxa"/>
            <w:vAlign w:val="center"/>
          </w:tcPr>
          <w:p w14:paraId="6C1DAEE6">
            <w:r>
              <w:rPr>
                <w:rFonts w:hint="eastAsia"/>
              </w:rPr>
              <w:t>143,821.00</w:t>
            </w:r>
          </w:p>
        </w:tc>
      </w:tr>
      <w:tr w14:paraId="04B0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75613A26">
            <w:r>
              <w:rPr>
                <w:rFonts w:hint="eastAsia"/>
              </w:rPr>
              <w:t>莆财农表［2020］19号</w:t>
            </w:r>
          </w:p>
        </w:tc>
        <w:tc>
          <w:tcPr>
            <w:tcW w:w="4976" w:type="dxa"/>
            <w:vAlign w:val="center"/>
          </w:tcPr>
          <w:p w14:paraId="796C9386">
            <w:r>
              <w:rPr>
                <w:rFonts w:hint="eastAsia"/>
              </w:rPr>
              <w:t>木兰溪左岸绿道工程（木兰陂景观提升）工程款</w:t>
            </w:r>
          </w:p>
        </w:tc>
        <w:tc>
          <w:tcPr>
            <w:tcW w:w="1665" w:type="dxa"/>
            <w:vAlign w:val="center"/>
          </w:tcPr>
          <w:p w14:paraId="4A987A64">
            <w:r>
              <w:rPr>
                <w:rFonts w:hint="eastAsia"/>
              </w:rPr>
              <w:t>1,478,319.49</w:t>
            </w:r>
          </w:p>
        </w:tc>
      </w:tr>
      <w:tr w14:paraId="5801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04635BAF">
            <w:r>
              <w:rPr>
                <w:rFonts w:hint="eastAsia"/>
              </w:rPr>
              <w:t>莆财农表［2020］19号</w:t>
            </w:r>
          </w:p>
        </w:tc>
        <w:tc>
          <w:tcPr>
            <w:tcW w:w="4976" w:type="dxa"/>
            <w:vAlign w:val="center"/>
          </w:tcPr>
          <w:p w14:paraId="7FCACDB6">
            <w:r>
              <w:rPr>
                <w:rFonts w:hint="eastAsia"/>
              </w:rPr>
              <w:t>木兰溪左岸绿道工程（二期）工程款</w:t>
            </w:r>
          </w:p>
        </w:tc>
        <w:tc>
          <w:tcPr>
            <w:tcW w:w="1665" w:type="dxa"/>
            <w:vAlign w:val="center"/>
          </w:tcPr>
          <w:p w14:paraId="3AE58214">
            <w:r>
              <w:rPr>
                <w:rFonts w:hint="eastAsia"/>
              </w:rPr>
              <w:t>3,109,507.45</w:t>
            </w:r>
          </w:p>
        </w:tc>
      </w:tr>
      <w:tr w14:paraId="2455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6CAB603E">
            <w:r>
              <w:rPr>
                <w:rFonts w:hint="eastAsia"/>
              </w:rPr>
              <w:t>莆财农表［2020］19号</w:t>
            </w:r>
          </w:p>
        </w:tc>
        <w:tc>
          <w:tcPr>
            <w:tcW w:w="4976" w:type="dxa"/>
            <w:vAlign w:val="center"/>
          </w:tcPr>
          <w:p w14:paraId="260E04C2">
            <w:r>
              <w:rPr>
                <w:rFonts w:hint="eastAsia"/>
              </w:rPr>
              <w:t>木兰溪三期荔涵段C3标工程款</w:t>
            </w:r>
          </w:p>
        </w:tc>
        <w:tc>
          <w:tcPr>
            <w:tcW w:w="1665" w:type="dxa"/>
            <w:vAlign w:val="center"/>
          </w:tcPr>
          <w:p w14:paraId="442E424C">
            <w:r>
              <w:rPr>
                <w:rFonts w:hint="eastAsia"/>
              </w:rPr>
              <w:t>2,944,267.76</w:t>
            </w:r>
          </w:p>
        </w:tc>
      </w:tr>
      <w:tr w14:paraId="5C83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588BCFD9">
            <w:r>
              <w:rPr>
                <w:rFonts w:hint="eastAsia"/>
              </w:rPr>
              <w:t>莆财农表［2020］19号</w:t>
            </w:r>
          </w:p>
        </w:tc>
        <w:tc>
          <w:tcPr>
            <w:tcW w:w="4976" w:type="dxa"/>
            <w:vAlign w:val="center"/>
          </w:tcPr>
          <w:p w14:paraId="141F0E4E">
            <w:r>
              <w:rPr>
                <w:rFonts w:hint="eastAsia"/>
              </w:rPr>
              <w:t>木兰溪荔涵段防洪工程C2标（液压启闭机）质保金</w:t>
            </w:r>
          </w:p>
        </w:tc>
        <w:tc>
          <w:tcPr>
            <w:tcW w:w="1665" w:type="dxa"/>
            <w:vAlign w:val="center"/>
          </w:tcPr>
          <w:p w14:paraId="4B4DAEA7">
            <w:r>
              <w:rPr>
                <w:rFonts w:hint="eastAsia"/>
              </w:rPr>
              <w:t>119,000.00</w:t>
            </w:r>
          </w:p>
        </w:tc>
      </w:tr>
      <w:tr w14:paraId="30B2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3AB3D2C0">
            <w:r>
              <w:rPr>
                <w:rFonts w:hint="eastAsia"/>
              </w:rPr>
              <w:t>莆财农表［2020］19号</w:t>
            </w:r>
          </w:p>
        </w:tc>
        <w:tc>
          <w:tcPr>
            <w:tcW w:w="4976" w:type="dxa"/>
            <w:vAlign w:val="center"/>
          </w:tcPr>
          <w:p w14:paraId="7BC025F5">
            <w:r>
              <w:rPr>
                <w:rFonts w:hint="eastAsia"/>
              </w:rPr>
              <w:t>木兰溪防洪工程白塘段C1标监理费</w:t>
            </w:r>
          </w:p>
        </w:tc>
        <w:tc>
          <w:tcPr>
            <w:tcW w:w="1665" w:type="dxa"/>
            <w:vAlign w:val="center"/>
          </w:tcPr>
          <w:p w14:paraId="49172A0A">
            <w:r>
              <w:rPr>
                <w:rFonts w:hint="eastAsia"/>
              </w:rPr>
              <w:t>50,000.00</w:t>
            </w:r>
          </w:p>
        </w:tc>
      </w:tr>
      <w:tr w14:paraId="161E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0D6931CB">
            <w:r>
              <w:rPr>
                <w:rFonts w:hint="eastAsia"/>
              </w:rPr>
              <w:t>莆财农表［2020］19号</w:t>
            </w:r>
          </w:p>
        </w:tc>
        <w:tc>
          <w:tcPr>
            <w:tcW w:w="4976" w:type="dxa"/>
            <w:vAlign w:val="center"/>
          </w:tcPr>
          <w:p w14:paraId="40018807">
            <w:r>
              <w:rPr>
                <w:rFonts w:hint="eastAsia"/>
              </w:rPr>
              <w:t>木兰溪防洪工程华亭段C1标桥梁和左岸绿道工程下穿桥梁试验检测费</w:t>
            </w:r>
          </w:p>
        </w:tc>
        <w:tc>
          <w:tcPr>
            <w:tcW w:w="1665" w:type="dxa"/>
            <w:vAlign w:val="center"/>
          </w:tcPr>
          <w:p w14:paraId="487C520F">
            <w:r>
              <w:rPr>
                <w:rFonts w:hint="eastAsia"/>
              </w:rPr>
              <w:t>120,000.00</w:t>
            </w:r>
          </w:p>
        </w:tc>
      </w:tr>
      <w:tr w14:paraId="6237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132BE599">
            <w:r>
              <w:rPr>
                <w:rFonts w:hint="eastAsia"/>
              </w:rPr>
              <w:t>莆财农表［2020］19号</w:t>
            </w:r>
          </w:p>
        </w:tc>
        <w:tc>
          <w:tcPr>
            <w:tcW w:w="4976" w:type="dxa"/>
            <w:vAlign w:val="center"/>
          </w:tcPr>
          <w:p w14:paraId="766E4229">
            <w:r>
              <w:rPr>
                <w:rFonts w:hint="eastAsia"/>
              </w:rPr>
              <w:t>荔涵段防洪工程C2标段工程款</w:t>
            </w:r>
          </w:p>
        </w:tc>
        <w:tc>
          <w:tcPr>
            <w:tcW w:w="1665" w:type="dxa"/>
            <w:vAlign w:val="center"/>
          </w:tcPr>
          <w:p w14:paraId="285AC65A">
            <w:r>
              <w:rPr>
                <w:rFonts w:hint="eastAsia"/>
              </w:rPr>
              <w:t>1,800,000.00</w:t>
            </w:r>
          </w:p>
        </w:tc>
      </w:tr>
      <w:tr w14:paraId="30E8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0C94552C">
            <w:r>
              <w:rPr>
                <w:rFonts w:hint="eastAsia"/>
              </w:rPr>
              <w:t>莆财农表［2020］19号</w:t>
            </w:r>
          </w:p>
        </w:tc>
        <w:tc>
          <w:tcPr>
            <w:tcW w:w="4976" w:type="dxa"/>
            <w:vAlign w:val="center"/>
          </w:tcPr>
          <w:p w14:paraId="47E6A41F">
            <w:r>
              <w:rPr>
                <w:rFonts w:hint="eastAsia"/>
              </w:rPr>
              <w:t>霞林段防洪工程C2标段工程款</w:t>
            </w:r>
          </w:p>
        </w:tc>
        <w:tc>
          <w:tcPr>
            <w:tcW w:w="1665" w:type="dxa"/>
            <w:vAlign w:val="center"/>
          </w:tcPr>
          <w:p w14:paraId="43751D3E">
            <w:r>
              <w:rPr>
                <w:rFonts w:hint="eastAsia"/>
              </w:rPr>
              <w:t>2,200,000.00</w:t>
            </w:r>
          </w:p>
        </w:tc>
      </w:tr>
      <w:tr w14:paraId="5C13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233145AF">
            <w:r>
              <w:rPr>
                <w:rFonts w:hint="eastAsia"/>
              </w:rPr>
              <w:t>莆财农表［2020］19号</w:t>
            </w:r>
          </w:p>
        </w:tc>
        <w:tc>
          <w:tcPr>
            <w:tcW w:w="4976" w:type="dxa"/>
            <w:vAlign w:val="center"/>
          </w:tcPr>
          <w:p w14:paraId="5F33AC49">
            <w:r>
              <w:rPr>
                <w:rFonts w:hint="eastAsia"/>
              </w:rPr>
              <w:t>荔涵段防洪工程C1标2020年11月份工程结算款</w:t>
            </w:r>
          </w:p>
        </w:tc>
        <w:tc>
          <w:tcPr>
            <w:tcW w:w="1665" w:type="dxa"/>
            <w:vAlign w:val="center"/>
          </w:tcPr>
          <w:p w14:paraId="7D0C9F68">
            <w:r>
              <w:rPr>
                <w:rFonts w:hint="eastAsia"/>
              </w:rPr>
              <w:t>5,000,000.00</w:t>
            </w:r>
          </w:p>
        </w:tc>
      </w:tr>
      <w:tr w14:paraId="2788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782994D8">
            <w:r>
              <w:rPr>
                <w:rFonts w:hint="eastAsia"/>
              </w:rPr>
              <w:t>莆财农表［2020］19号</w:t>
            </w:r>
          </w:p>
        </w:tc>
        <w:tc>
          <w:tcPr>
            <w:tcW w:w="4976" w:type="dxa"/>
            <w:vAlign w:val="center"/>
          </w:tcPr>
          <w:p w14:paraId="180BCC81">
            <w:r>
              <w:rPr>
                <w:rFonts w:hint="eastAsia"/>
              </w:rPr>
              <w:t>木兰溪霞林段木兰和霞林安置区市政部分工程结算款</w:t>
            </w:r>
          </w:p>
        </w:tc>
        <w:tc>
          <w:tcPr>
            <w:tcW w:w="1665" w:type="dxa"/>
            <w:vAlign w:val="center"/>
          </w:tcPr>
          <w:p w14:paraId="27B2CAEC">
            <w:r>
              <w:rPr>
                <w:rFonts w:hint="eastAsia"/>
              </w:rPr>
              <w:t>1,654,665.00</w:t>
            </w:r>
          </w:p>
        </w:tc>
      </w:tr>
      <w:tr w14:paraId="00B1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21B52247">
            <w:r>
              <w:rPr>
                <w:rFonts w:hint="eastAsia"/>
              </w:rPr>
              <w:t>莆财农表［2020］19号</w:t>
            </w:r>
          </w:p>
        </w:tc>
        <w:tc>
          <w:tcPr>
            <w:tcW w:w="4976" w:type="dxa"/>
            <w:vAlign w:val="center"/>
          </w:tcPr>
          <w:p w14:paraId="785CF268">
            <w:r>
              <w:rPr>
                <w:rFonts w:hint="eastAsia"/>
              </w:rPr>
              <w:t>退回木兰溪木兰和霞林安置区质保金</w:t>
            </w:r>
          </w:p>
        </w:tc>
        <w:tc>
          <w:tcPr>
            <w:tcW w:w="1665" w:type="dxa"/>
            <w:vAlign w:val="center"/>
          </w:tcPr>
          <w:p w14:paraId="4AD1E93F">
            <w:r>
              <w:rPr>
                <w:rFonts w:hint="eastAsia"/>
              </w:rPr>
              <w:t>187,915.00</w:t>
            </w:r>
          </w:p>
        </w:tc>
      </w:tr>
      <w:tr w14:paraId="1B91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002BD864">
            <w:r>
              <w:rPr>
                <w:rFonts w:hint="eastAsia"/>
              </w:rPr>
              <w:t>莆财农表［2020］19号</w:t>
            </w:r>
          </w:p>
        </w:tc>
        <w:tc>
          <w:tcPr>
            <w:tcW w:w="4976" w:type="dxa"/>
            <w:vAlign w:val="center"/>
          </w:tcPr>
          <w:p w14:paraId="34BA49A7">
            <w:r>
              <w:rPr>
                <w:rFonts w:hint="eastAsia"/>
              </w:rPr>
              <w:t>霞林段防洪工程C1标工程结算尾款</w:t>
            </w:r>
          </w:p>
        </w:tc>
        <w:tc>
          <w:tcPr>
            <w:tcW w:w="1665" w:type="dxa"/>
            <w:vAlign w:val="center"/>
          </w:tcPr>
          <w:p w14:paraId="5CB42F3B">
            <w:r>
              <w:rPr>
                <w:rFonts w:hint="eastAsia"/>
              </w:rPr>
              <w:t>690,356.40</w:t>
            </w:r>
          </w:p>
        </w:tc>
      </w:tr>
      <w:tr w14:paraId="16BD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336F3066">
            <w:r>
              <w:rPr>
                <w:rFonts w:hint="eastAsia"/>
              </w:rPr>
              <w:t>莆财农表［2020］19号</w:t>
            </w:r>
          </w:p>
        </w:tc>
        <w:tc>
          <w:tcPr>
            <w:tcW w:w="4976" w:type="dxa"/>
            <w:vAlign w:val="center"/>
          </w:tcPr>
          <w:p w14:paraId="0B267AAC">
            <w:r>
              <w:rPr>
                <w:rFonts w:hint="eastAsia"/>
              </w:rPr>
              <w:t>霞林段防洪工程C3标2020年11月份工程结算款</w:t>
            </w:r>
          </w:p>
        </w:tc>
        <w:tc>
          <w:tcPr>
            <w:tcW w:w="1665" w:type="dxa"/>
            <w:vAlign w:val="center"/>
          </w:tcPr>
          <w:p w14:paraId="4D590AFA">
            <w:r>
              <w:rPr>
                <w:rFonts w:hint="eastAsia"/>
              </w:rPr>
              <w:t>1,960,000.00</w:t>
            </w:r>
          </w:p>
        </w:tc>
      </w:tr>
      <w:tr w14:paraId="1F1B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04D62AD7">
            <w:r>
              <w:rPr>
                <w:rFonts w:hint="eastAsia"/>
              </w:rPr>
              <w:t>莆财农表［2020］19号</w:t>
            </w:r>
          </w:p>
        </w:tc>
        <w:tc>
          <w:tcPr>
            <w:tcW w:w="4976" w:type="dxa"/>
            <w:vAlign w:val="center"/>
          </w:tcPr>
          <w:p w14:paraId="62FCAA07">
            <w:r>
              <w:rPr>
                <w:rFonts w:hint="eastAsia"/>
              </w:rPr>
              <w:t>霞林段防洪工程C3标2020年11月份工程结算款</w:t>
            </w:r>
          </w:p>
        </w:tc>
        <w:tc>
          <w:tcPr>
            <w:tcW w:w="1665" w:type="dxa"/>
            <w:vAlign w:val="center"/>
          </w:tcPr>
          <w:p w14:paraId="053D194A">
            <w:r>
              <w:rPr>
                <w:rFonts w:hint="eastAsia"/>
              </w:rPr>
              <w:t>-1,960,000.00</w:t>
            </w:r>
          </w:p>
        </w:tc>
      </w:tr>
      <w:tr w14:paraId="3C3E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6C28B318">
            <w:r>
              <w:rPr>
                <w:rFonts w:hint="eastAsia"/>
              </w:rPr>
              <w:t>莆财农表［2020］19号</w:t>
            </w:r>
          </w:p>
        </w:tc>
        <w:tc>
          <w:tcPr>
            <w:tcW w:w="4976" w:type="dxa"/>
            <w:vAlign w:val="center"/>
          </w:tcPr>
          <w:p w14:paraId="21018F91">
            <w:r>
              <w:rPr>
                <w:rFonts w:hint="eastAsia"/>
              </w:rPr>
              <w:t>荔涵段防洪工程C4标工程款</w:t>
            </w:r>
          </w:p>
        </w:tc>
        <w:tc>
          <w:tcPr>
            <w:tcW w:w="1665" w:type="dxa"/>
            <w:vAlign w:val="center"/>
          </w:tcPr>
          <w:p w14:paraId="1FECBD69">
            <w:r>
              <w:rPr>
                <w:rFonts w:hint="eastAsia"/>
              </w:rPr>
              <w:t>3,000,000.00</w:t>
            </w:r>
          </w:p>
        </w:tc>
      </w:tr>
      <w:tr w14:paraId="1E17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3722FC30">
            <w:r>
              <w:rPr>
                <w:rFonts w:hint="eastAsia"/>
              </w:rPr>
              <w:t>莆财农表［2020］19号</w:t>
            </w:r>
          </w:p>
        </w:tc>
        <w:tc>
          <w:tcPr>
            <w:tcW w:w="4976" w:type="dxa"/>
            <w:vAlign w:val="center"/>
          </w:tcPr>
          <w:p w14:paraId="2D918B77">
            <w:r>
              <w:rPr>
                <w:rFonts w:hint="eastAsia"/>
              </w:rPr>
              <w:t>木兰溪郑坂段防洪工程C1标工程尾款</w:t>
            </w:r>
          </w:p>
        </w:tc>
        <w:tc>
          <w:tcPr>
            <w:tcW w:w="1665" w:type="dxa"/>
            <w:vAlign w:val="center"/>
          </w:tcPr>
          <w:p w14:paraId="76C5AF4A">
            <w:r>
              <w:rPr>
                <w:rFonts w:hint="eastAsia"/>
              </w:rPr>
              <w:t>168,314.41</w:t>
            </w:r>
          </w:p>
        </w:tc>
      </w:tr>
      <w:tr w14:paraId="0CB5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7250EDC7">
            <w:r>
              <w:rPr>
                <w:rFonts w:hint="eastAsia"/>
              </w:rPr>
              <w:t>莆财农表［2020］19号</w:t>
            </w:r>
          </w:p>
        </w:tc>
        <w:tc>
          <w:tcPr>
            <w:tcW w:w="4976" w:type="dxa"/>
            <w:vAlign w:val="center"/>
          </w:tcPr>
          <w:p w14:paraId="707CD934">
            <w:r>
              <w:rPr>
                <w:rFonts w:hint="eastAsia"/>
              </w:rPr>
              <w:t>木兰溪防洪工程白塘段工程建设</w:t>
            </w:r>
          </w:p>
        </w:tc>
        <w:tc>
          <w:tcPr>
            <w:tcW w:w="1665" w:type="dxa"/>
            <w:vAlign w:val="center"/>
          </w:tcPr>
          <w:p w14:paraId="0E65F057">
            <w:r>
              <w:rPr>
                <w:rFonts w:hint="eastAsia"/>
              </w:rPr>
              <w:t>50,000,000.00</w:t>
            </w:r>
          </w:p>
        </w:tc>
      </w:tr>
      <w:tr w14:paraId="4E6E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1C27CB11">
            <w:r>
              <w:rPr>
                <w:rFonts w:hint="eastAsia"/>
              </w:rPr>
              <w:t>莆财农表［2020］19号</w:t>
            </w:r>
          </w:p>
        </w:tc>
        <w:tc>
          <w:tcPr>
            <w:tcW w:w="4976" w:type="dxa"/>
            <w:vAlign w:val="center"/>
          </w:tcPr>
          <w:p w14:paraId="1D6A044A">
            <w:r>
              <w:rPr>
                <w:rFonts w:hint="eastAsia"/>
              </w:rPr>
              <w:t>木兰溪宁海闸工程建设</w:t>
            </w:r>
          </w:p>
        </w:tc>
        <w:tc>
          <w:tcPr>
            <w:tcW w:w="1665" w:type="dxa"/>
            <w:vAlign w:val="center"/>
          </w:tcPr>
          <w:p w14:paraId="5A72E639">
            <w:r>
              <w:rPr>
                <w:rFonts w:hint="eastAsia"/>
              </w:rPr>
              <w:t>2,147,720.00</w:t>
            </w:r>
          </w:p>
        </w:tc>
      </w:tr>
      <w:tr w14:paraId="55E9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1E461249">
            <w:r>
              <w:rPr>
                <w:rFonts w:hint="eastAsia"/>
              </w:rPr>
              <w:t>莆财农表［2020］19号</w:t>
            </w:r>
          </w:p>
        </w:tc>
        <w:tc>
          <w:tcPr>
            <w:tcW w:w="4976" w:type="dxa"/>
            <w:vAlign w:val="center"/>
          </w:tcPr>
          <w:p w14:paraId="43FEDC01">
            <w:r>
              <w:rPr>
                <w:rFonts w:hint="eastAsia"/>
              </w:rPr>
              <w:t>重汇霞林段防洪工程C3标2020年11月份工程结算款</w:t>
            </w:r>
          </w:p>
        </w:tc>
        <w:tc>
          <w:tcPr>
            <w:tcW w:w="1665" w:type="dxa"/>
            <w:vAlign w:val="center"/>
          </w:tcPr>
          <w:p w14:paraId="2B8E7E82">
            <w:r>
              <w:rPr>
                <w:rFonts w:hint="eastAsia"/>
              </w:rPr>
              <w:t>1,960,000.00</w:t>
            </w:r>
          </w:p>
        </w:tc>
      </w:tr>
      <w:tr w14:paraId="3646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68C3208E">
            <w:r>
              <w:rPr>
                <w:rFonts w:hint="eastAsia"/>
              </w:rPr>
              <w:t>莆财农表［2020］19号</w:t>
            </w:r>
          </w:p>
        </w:tc>
        <w:tc>
          <w:tcPr>
            <w:tcW w:w="4976" w:type="dxa"/>
            <w:vAlign w:val="center"/>
          </w:tcPr>
          <w:p w14:paraId="16ABE711">
            <w:r>
              <w:rPr>
                <w:rFonts w:hint="eastAsia"/>
              </w:rPr>
              <w:t>荔涵段工程C4标工程款</w:t>
            </w:r>
          </w:p>
        </w:tc>
        <w:tc>
          <w:tcPr>
            <w:tcW w:w="1665" w:type="dxa"/>
            <w:vAlign w:val="center"/>
          </w:tcPr>
          <w:p w14:paraId="3978550E">
            <w:r>
              <w:rPr>
                <w:rFonts w:hint="eastAsia"/>
              </w:rPr>
              <w:t>4,145,585.65</w:t>
            </w:r>
          </w:p>
        </w:tc>
      </w:tr>
      <w:tr w14:paraId="2678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1030F55C">
            <w:r>
              <w:rPr>
                <w:rFonts w:hint="eastAsia"/>
              </w:rPr>
              <w:t>莆财农表［2020］19号</w:t>
            </w:r>
          </w:p>
        </w:tc>
        <w:tc>
          <w:tcPr>
            <w:tcW w:w="4976" w:type="dxa"/>
            <w:vAlign w:val="center"/>
          </w:tcPr>
          <w:p w14:paraId="2D900145">
            <w:r>
              <w:rPr>
                <w:rFonts w:hint="eastAsia"/>
              </w:rPr>
              <w:t>荔涵段防洪工程C1标2020年12月份工程结算尾款</w:t>
            </w:r>
          </w:p>
        </w:tc>
        <w:tc>
          <w:tcPr>
            <w:tcW w:w="1665" w:type="dxa"/>
            <w:vAlign w:val="center"/>
          </w:tcPr>
          <w:p w14:paraId="5658802D">
            <w:r>
              <w:rPr>
                <w:rFonts w:hint="eastAsia"/>
              </w:rPr>
              <w:t>2,257,991.24</w:t>
            </w:r>
          </w:p>
        </w:tc>
      </w:tr>
      <w:tr w14:paraId="3EF5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66FB1148">
            <w:r>
              <w:rPr>
                <w:rFonts w:hint="eastAsia"/>
              </w:rPr>
              <w:t>莆财农表［2020］19号</w:t>
            </w:r>
          </w:p>
        </w:tc>
        <w:tc>
          <w:tcPr>
            <w:tcW w:w="4976" w:type="dxa"/>
            <w:vAlign w:val="center"/>
          </w:tcPr>
          <w:p w14:paraId="566FD107">
            <w:r>
              <w:rPr>
                <w:rFonts w:hint="eastAsia"/>
              </w:rPr>
              <w:t>荔涵段防洪工程C2标段工程款</w:t>
            </w:r>
          </w:p>
        </w:tc>
        <w:tc>
          <w:tcPr>
            <w:tcW w:w="1665" w:type="dxa"/>
            <w:vAlign w:val="center"/>
          </w:tcPr>
          <w:p w14:paraId="689D87D2">
            <w:r>
              <w:rPr>
                <w:rFonts w:hint="eastAsia"/>
              </w:rPr>
              <w:t>11,319,842.95</w:t>
            </w:r>
          </w:p>
        </w:tc>
      </w:tr>
      <w:tr w14:paraId="453D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2FC18402">
            <w:r>
              <w:rPr>
                <w:rFonts w:hint="eastAsia"/>
              </w:rPr>
              <w:t>莆财农表［2020］19号</w:t>
            </w:r>
          </w:p>
        </w:tc>
        <w:tc>
          <w:tcPr>
            <w:tcW w:w="4976" w:type="dxa"/>
            <w:vAlign w:val="center"/>
          </w:tcPr>
          <w:p w14:paraId="6712F7D4">
            <w:r>
              <w:rPr>
                <w:rFonts w:hint="eastAsia"/>
              </w:rPr>
              <w:t>荔涵段防洪工程C4标2020年12月土工材料款</w:t>
            </w:r>
          </w:p>
        </w:tc>
        <w:tc>
          <w:tcPr>
            <w:tcW w:w="1665" w:type="dxa"/>
            <w:vAlign w:val="center"/>
          </w:tcPr>
          <w:p w14:paraId="3C915FAC">
            <w:r>
              <w:rPr>
                <w:rFonts w:hint="eastAsia"/>
              </w:rPr>
              <w:t>177,094.20</w:t>
            </w:r>
          </w:p>
        </w:tc>
      </w:tr>
      <w:tr w14:paraId="20A2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7FBF0903">
            <w:r>
              <w:rPr>
                <w:rFonts w:hint="eastAsia"/>
              </w:rPr>
              <w:t>莆财农表［2020］19号</w:t>
            </w:r>
          </w:p>
        </w:tc>
        <w:tc>
          <w:tcPr>
            <w:tcW w:w="4976" w:type="dxa"/>
            <w:vAlign w:val="center"/>
          </w:tcPr>
          <w:p w14:paraId="55717F2F">
            <w:r>
              <w:rPr>
                <w:rFonts w:hint="eastAsia"/>
              </w:rPr>
              <w:t>荔涵段防洪工程C2标土工材料工程款</w:t>
            </w:r>
          </w:p>
        </w:tc>
        <w:tc>
          <w:tcPr>
            <w:tcW w:w="1665" w:type="dxa"/>
            <w:vAlign w:val="center"/>
          </w:tcPr>
          <w:p w14:paraId="59395E72">
            <w:r>
              <w:rPr>
                <w:rFonts w:hint="eastAsia"/>
              </w:rPr>
              <w:t>188,162.74</w:t>
            </w:r>
          </w:p>
        </w:tc>
      </w:tr>
      <w:tr w14:paraId="65EE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427830EA">
            <w:r>
              <w:rPr>
                <w:rFonts w:hint="eastAsia"/>
              </w:rPr>
              <w:t>莆财农表［2020］19号</w:t>
            </w:r>
          </w:p>
        </w:tc>
        <w:tc>
          <w:tcPr>
            <w:tcW w:w="4976" w:type="dxa"/>
            <w:vAlign w:val="center"/>
          </w:tcPr>
          <w:p w14:paraId="0E9C9E75">
            <w:r>
              <w:rPr>
                <w:rFonts w:hint="eastAsia"/>
              </w:rPr>
              <w:t>霞林段防洪工程C3标工程款</w:t>
            </w:r>
          </w:p>
        </w:tc>
        <w:tc>
          <w:tcPr>
            <w:tcW w:w="1665" w:type="dxa"/>
            <w:vAlign w:val="center"/>
          </w:tcPr>
          <w:p w14:paraId="34234039">
            <w:r>
              <w:rPr>
                <w:rFonts w:hint="eastAsia"/>
              </w:rPr>
              <w:t>800,000.00</w:t>
            </w:r>
          </w:p>
        </w:tc>
      </w:tr>
      <w:tr w14:paraId="6D7F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7F090614">
            <w:r>
              <w:rPr>
                <w:rFonts w:hint="eastAsia"/>
              </w:rPr>
              <w:t>莆财农表［2020］19号</w:t>
            </w:r>
          </w:p>
        </w:tc>
        <w:tc>
          <w:tcPr>
            <w:tcW w:w="4976" w:type="dxa"/>
            <w:vAlign w:val="center"/>
          </w:tcPr>
          <w:p w14:paraId="62385FE9">
            <w:r>
              <w:rPr>
                <w:rFonts w:hint="eastAsia"/>
              </w:rPr>
              <w:t>退回荔涵段防洪工程C4标2020年12月土工材料款</w:t>
            </w:r>
          </w:p>
        </w:tc>
        <w:tc>
          <w:tcPr>
            <w:tcW w:w="1665" w:type="dxa"/>
            <w:vAlign w:val="center"/>
          </w:tcPr>
          <w:p w14:paraId="3388A9ED">
            <w:r>
              <w:rPr>
                <w:rFonts w:hint="eastAsia"/>
              </w:rPr>
              <w:t>-177,094.20</w:t>
            </w:r>
          </w:p>
        </w:tc>
      </w:tr>
      <w:tr w14:paraId="7F00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14:paraId="115381A3">
            <w:r>
              <w:rPr>
                <w:rFonts w:hint="eastAsia"/>
              </w:rPr>
              <w:t>莆财农表［2020］19号</w:t>
            </w:r>
          </w:p>
        </w:tc>
        <w:tc>
          <w:tcPr>
            <w:tcW w:w="4976" w:type="dxa"/>
            <w:vAlign w:val="center"/>
          </w:tcPr>
          <w:p w14:paraId="52A4FB0E">
            <w:r>
              <w:rPr>
                <w:rFonts w:hint="eastAsia"/>
              </w:rPr>
              <w:t>退回荔涵段防洪工程C2标土工材料工程款</w:t>
            </w:r>
          </w:p>
        </w:tc>
        <w:tc>
          <w:tcPr>
            <w:tcW w:w="1665" w:type="dxa"/>
            <w:vAlign w:val="center"/>
          </w:tcPr>
          <w:p w14:paraId="0CEC9007">
            <w:r>
              <w:rPr>
                <w:rFonts w:hint="eastAsia"/>
              </w:rPr>
              <w:t>-188,162.74</w:t>
            </w:r>
          </w:p>
        </w:tc>
      </w:tr>
      <w:tr w14:paraId="6A71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3" w:type="dxa"/>
            <w:gridSpan w:val="2"/>
            <w:vAlign w:val="center"/>
          </w:tcPr>
          <w:p w14:paraId="571C85D7">
            <w:r>
              <w:rPr>
                <w:rFonts w:hint="eastAsia"/>
              </w:rPr>
              <w:t>小计</w:t>
            </w:r>
          </w:p>
        </w:tc>
        <w:tc>
          <w:tcPr>
            <w:tcW w:w="1665" w:type="dxa"/>
            <w:vAlign w:val="center"/>
          </w:tcPr>
          <w:p w14:paraId="5A0BFAC8">
            <w:r>
              <w:rPr>
                <w:rFonts w:hint="eastAsia"/>
              </w:rPr>
              <w:t>96805935.35</w:t>
            </w:r>
          </w:p>
        </w:tc>
      </w:tr>
    </w:tbl>
    <w:p w14:paraId="72A5B99C">
      <w:pPr>
        <w:ind w:firstLine="420" w:firstLineChars="200"/>
      </w:pPr>
      <w:bookmarkStart w:id="722" w:name="_Toc6420"/>
      <w:r>
        <w:rPr>
          <w:rFonts w:hint="eastAsia"/>
        </w:rPr>
        <w:t>（四）项目绩效目标及实现程度</w:t>
      </w:r>
      <w:bookmarkEnd w:id="717"/>
      <w:bookmarkEnd w:id="718"/>
      <w:bookmarkEnd w:id="719"/>
      <w:bookmarkEnd w:id="720"/>
      <w:bookmarkEnd w:id="721"/>
      <w:bookmarkEnd w:id="722"/>
    </w:p>
    <w:p w14:paraId="4EB24E86">
      <w:pPr>
        <w:ind w:firstLine="420" w:firstLineChars="200"/>
      </w:pPr>
      <w:r>
        <w:rPr>
          <w:rFonts w:hint="eastAsia"/>
        </w:rPr>
        <w:t>1. 项目绩效总目标</w:t>
      </w:r>
    </w:p>
    <w:p w14:paraId="2FA2EFCE">
      <w:pPr>
        <w:ind w:firstLine="420" w:firstLineChars="200"/>
      </w:pPr>
      <w:r>
        <w:rPr>
          <w:rFonts w:hint="eastAsia"/>
        </w:rPr>
        <w:t>项目绩效总目标主要包括安全生态水系建设，木兰溪防洪工程荔涵段、华林段、华亭段、白塘段、宁海闸工程、北渠引水口、桥兜水闸C4标、江东水闸迁建工程、左岸绿道及配套项目建设（包括绿道管理房、南箕停车场）、玉湖新城段堤岸生态修复提升项目建设相关工作，支付木兰溪防洪工程（包括安置区）及配套项目勘察设计、征迁、土地报批和霞林段、荔涵段、白塘段建设相关费用，清理退还各类工程保证金，支付已财审结算木兰溪防洪工程建设尾款。</w:t>
      </w:r>
    </w:p>
    <w:p w14:paraId="4D9DA52A">
      <w:pPr>
        <w:ind w:firstLine="420" w:firstLineChars="200"/>
      </w:pPr>
      <w:r>
        <w:rPr>
          <w:rFonts w:hint="eastAsia"/>
        </w:rPr>
        <w:t>工程整体建成可发挥重要防灾减灾效益和社会经济效益，为莆田市中心城区东拓南进拓展城市空间提供重要防洪保障，为木兰溪两岸规划建设和综合治理打基础，健全完善防洪安全和生态提升等体系</w:t>
      </w:r>
    </w:p>
    <w:p w14:paraId="3C9B1C80">
      <w:pPr>
        <w:ind w:firstLine="420" w:firstLineChars="200"/>
      </w:pPr>
      <w:r>
        <w:rPr>
          <w:rFonts w:hint="eastAsia"/>
        </w:rPr>
        <w:t xml:space="preserve">2. 2020年度绩效目标    </w:t>
      </w:r>
    </w:p>
    <w:p w14:paraId="4BFEECC2">
      <w:pPr>
        <w:ind w:firstLine="420" w:firstLineChars="200"/>
      </w:pPr>
      <w:r>
        <w:rPr>
          <w:rFonts w:hint="eastAsia"/>
        </w:rPr>
        <w:t>项目根据2020年重大水利项目投资计划及项目本身2020推进计划，木兰溪防洪工程建设管理处制定了2020年度木兰溪防洪工程及配套项目（含安全生态水系建设）年度绩效目标，具体如表4所示：</w:t>
      </w:r>
    </w:p>
    <w:p w14:paraId="7E1969F9">
      <w:pPr>
        <w:ind w:firstLine="420" w:firstLineChars="200"/>
      </w:pPr>
      <w:r>
        <w:rPr>
          <w:rFonts w:hint="eastAsia"/>
        </w:rPr>
        <w:t>表4  木兰溪防洪工程及配套项目（含安全生态水系建设）2020年绩效目标</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4109"/>
        <w:gridCol w:w="1417"/>
        <w:gridCol w:w="1443"/>
      </w:tblGrid>
      <w:tr w14:paraId="7EF5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tcBorders>
              <w:top w:val="single" w:color="auto" w:sz="4" w:space="0"/>
            </w:tcBorders>
          </w:tcPr>
          <w:p w14:paraId="1487FF1C">
            <w:r>
              <w:rPr>
                <w:rFonts w:hint="eastAsia"/>
              </w:rPr>
              <w:t>指标</w:t>
            </w:r>
          </w:p>
        </w:tc>
        <w:tc>
          <w:tcPr>
            <w:tcW w:w="4552" w:type="dxa"/>
            <w:tcBorders>
              <w:top w:val="single" w:color="auto" w:sz="4" w:space="0"/>
            </w:tcBorders>
          </w:tcPr>
          <w:p w14:paraId="248CC5EA">
            <w:r>
              <w:rPr>
                <w:rFonts w:hint="eastAsia"/>
              </w:rPr>
              <w:t>绩效内容</w:t>
            </w:r>
          </w:p>
        </w:tc>
        <w:tc>
          <w:tcPr>
            <w:tcW w:w="1491" w:type="dxa"/>
            <w:tcBorders>
              <w:top w:val="single" w:color="auto" w:sz="4" w:space="0"/>
            </w:tcBorders>
          </w:tcPr>
          <w:p w14:paraId="167204AA">
            <w:r>
              <w:rPr>
                <w:rFonts w:hint="eastAsia"/>
              </w:rPr>
              <w:t>半年目标值</w:t>
            </w:r>
          </w:p>
        </w:tc>
        <w:tc>
          <w:tcPr>
            <w:tcW w:w="1520" w:type="dxa"/>
            <w:tcBorders>
              <w:top w:val="single" w:color="auto" w:sz="4" w:space="0"/>
            </w:tcBorders>
          </w:tcPr>
          <w:p w14:paraId="24DFD543">
            <w:r>
              <w:rPr>
                <w:rFonts w:hint="eastAsia"/>
              </w:rPr>
              <w:t>全年目标值</w:t>
            </w:r>
          </w:p>
        </w:tc>
      </w:tr>
      <w:tr w14:paraId="4081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restart"/>
            <w:vAlign w:val="center"/>
          </w:tcPr>
          <w:p w14:paraId="20AF1A70">
            <w:r>
              <w:rPr>
                <w:rFonts w:hint="eastAsia"/>
              </w:rPr>
              <w:t>投入</w:t>
            </w:r>
          </w:p>
        </w:tc>
        <w:tc>
          <w:tcPr>
            <w:tcW w:w="4552" w:type="dxa"/>
            <w:vAlign w:val="center"/>
          </w:tcPr>
          <w:p w14:paraId="3BD1988C">
            <w:r>
              <w:rPr>
                <w:rFonts w:hint="eastAsia"/>
              </w:rPr>
              <w:t>业务总量增长率</w:t>
            </w:r>
          </w:p>
        </w:tc>
        <w:tc>
          <w:tcPr>
            <w:tcW w:w="1491" w:type="dxa"/>
            <w:vAlign w:val="center"/>
          </w:tcPr>
          <w:p w14:paraId="09681C92">
            <w:r>
              <w:rPr>
                <w:rFonts w:hint="eastAsia"/>
              </w:rPr>
              <w:t>35.00</w:t>
            </w:r>
          </w:p>
        </w:tc>
        <w:tc>
          <w:tcPr>
            <w:tcW w:w="1520" w:type="dxa"/>
            <w:vAlign w:val="center"/>
          </w:tcPr>
          <w:p w14:paraId="7562ED43">
            <w:r>
              <w:rPr>
                <w:rFonts w:hint="eastAsia"/>
              </w:rPr>
              <w:t>60.00</w:t>
            </w:r>
          </w:p>
        </w:tc>
      </w:tr>
      <w:tr w14:paraId="35F2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14:paraId="0356C57C"/>
        </w:tc>
        <w:tc>
          <w:tcPr>
            <w:tcW w:w="4552" w:type="dxa"/>
            <w:vAlign w:val="center"/>
          </w:tcPr>
          <w:p w14:paraId="4E3477C3">
            <w:r>
              <w:rPr>
                <w:rFonts w:hint="eastAsia"/>
              </w:rPr>
              <w:t>财政资金预算完成率</w:t>
            </w:r>
          </w:p>
        </w:tc>
        <w:tc>
          <w:tcPr>
            <w:tcW w:w="1491" w:type="dxa"/>
            <w:vAlign w:val="center"/>
          </w:tcPr>
          <w:p w14:paraId="44BE4107">
            <w:r>
              <w:rPr>
                <w:rFonts w:hint="eastAsia"/>
              </w:rPr>
              <w:t>35.00</w:t>
            </w:r>
          </w:p>
        </w:tc>
        <w:tc>
          <w:tcPr>
            <w:tcW w:w="1520" w:type="dxa"/>
            <w:vAlign w:val="center"/>
          </w:tcPr>
          <w:p w14:paraId="5AA31C76">
            <w:r>
              <w:rPr>
                <w:rFonts w:hint="eastAsia"/>
              </w:rPr>
              <w:t>60.00</w:t>
            </w:r>
          </w:p>
        </w:tc>
      </w:tr>
      <w:tr w14:paraId="0CE9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restart"/>
            <w:vAlign w:val="center"/>
          </w:tcPr>
          <w:p w14:paraId="344DEA98">
            <w:r>
              <w:rPr>
                <w:rFonts w:hint="eastAsia"/>
              </w:rPr>
              <w:t>产出</w:t>
            </w:r>
          </w:p>
        </w:tc>
        <w:tc>
          <w:tcPr>
            <w:tcW w:w="4552" w:type="dxa"/>
            <w:vAlign w:val="center"/>
          </w:tcPr>
          <w:p w14:paraId="25FC6B0D">
            <w:r>
              <w:rPr>
                <w:rFonts w:hint="eastAsia"/>
              </w:rPr>
              <w:t>堤防巡查次数</w:t>
            </w:r>
          </w:p>
        </w:tc>
        <w:tc>
          <w:tcPr>
            <w:tcW w:w="1491" w:type="dxa"/>
            <w:vAlign w:val="center"/>
          </w:tcPr>
          <w:p w14:paraId="700D062B">
            <w:r>
              <w:rPr>
                <w:rFonts w:hint="eastAsia"/>
              </w:rPr>
              <w:t>12.00</w:t>
            </w:r>
          </w:p>
        </w:tc>
        <w:tc>
          <w:tcPr>
            <w:tcW w:w="1520" w:type="dxa"/>
            <w:vAlign w:val="center"/>
          </w:tcPr>
          <w:p w14:paraId="2A78A3C3">
            <w:r>
              <w:rPr>
                <w:rFonts w:hint="eastAsia"/>
              </w:rPr>
              <w:t>24</w:t>
            </w:r>
          </w:p>
        </w:tc>
      </w:tr>
      <w:tr w14:paraId="12BF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14:paraId="7233AB52"/>
        </w:tc>
        <w:tc>
          <w:tcPr>
            <w:tcW w:w="4552" w:type="dxa"/>
            <w:vAlign w:val="center"/>
          </w:tcPr>
          <w:p w14:paraId="51CE91A2">
            <w:r>
              <w:rPr>
                <w:rFonts w:hint="eastAsia"/>
              </w:rPr>
              <w:t>安全生产宣传活动按要求普及完成率</w:t>
            </w:r>
          </w:p>
        </w:tc>
        <w:tc>
          <w:tcPr>
            <w:tcW w:w="1491" w:type="dxa"/>
            <w:vAlign w:val="center"/>
          </w:tcPr>
          <w:p w14:paraId="6A1000C5">
            <w:r>
              <w:rPr>
                <w:rFonts w:hint="eastAsia"/>
              </w:rPr>
              <w:t xml:space="preserve">50.00 </w:t>
            </w:r>
          </w:p>
        </w:tc>
        <w:tc>
          <w:tcPr>
            <w:tcW w:w="1520" w:type="dxa"/>
            <w:vAlign w:val="center"/>
          </w:tcPr>
          <w:p w14:paraId="7189C58E">
            <w:r>
              <w:rPr>
                <w:rFonts w:hint="eastAsia"/>
              </w:rPr>
              <w:t>90.00</w:t>
            </w:r>
          </w:p>
        </w:tc>
      </w:tr>
      <w:tr w14:paraId="5FF4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restart"/>
            <w:vAlign w:val="center"/>
          </w:tcPr>
          <w:p w14:paraId="022C2F23">
            <w:r>
              <w:rPr>
                <w:rFonts w:hint="eastAsia"/>
              </w:rPr>
              <w:t>效益</w:t>
            </w:r>
          </w:p>
        </w:tc>
        <w:tc>
          <w:tcPr>
            <w:tcW w:w="4552" w:type="dxa"/>
            <w:vAlign w:val="center"/>
          </w:tcPr>
          <w:p w14:paraId="316BA080">
            <w:r>
              <w:rPr>
                <w:rFonts w:hint="eastAsia"/>
              </w:rPr>
              <w:t>挽回经济损失</w:t>
            </w:r>
          </w:p>
        </w:tc>
        <w:tc>
          <w:tcPr>
            <w:tcW w:w="1491" w:type="dxa"/>
            <w:vAlign w:val="center"/>
          </w:tcPr>
          <w:p w14:paraId="6F1843E5">
            <w:r>
              <w:rPr>
                <w:rFonts w:hint="eastAsia"/>
              </w:rPr>
              <w:t>100.00</w:t>
            </w:r>
          </w:p>
        </w:tc>
        <w:tc>
          <w:tcPr>
            <w:tcW w:w="1520" w:type="dxa"/>
            <w:vAlign w:val="center"/>
          </w:tcPr>
          <w:p w14:paraId="1F608CF4">
            <w:r>
              <w:rPr>
                <w:rFonts w:hint="eastAsia"/>
              </w:rPr>
              <w:t>300.00</w:t>
            </w:r>
          </w:p>
        </w:tc>
      </w:tr>
      <w:tr w14:paraId="01FE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14:paraId="6341C486"/>
        </w:tc>
        <w:tc>
          <w:tcPr>
            <w:tcW w:w="4552" w:type="dxa"/>
            <w:vAlign w:val="center"/>
          </w:tcPr>
          <w:p w14:paraId="308D5543">
            <w:r>
              <w:rPr>
                <w:rFonts w:hint="eastAsia"/>
              </w:rPr>
              <w:t>社会效益目标</w:t>
            </w:r>
          </w:p>
        </w:tc>
        <w:tc>
          <w:tcPr>
            <w:tcW w:w="1491" w:type="dxa"/>
            <w:vAlign w:val="center"/>
          </w:tcPr>
          <w:p w14:paraId="0A22699A">
            <w:r>
              <w:rPr>
                <w:rFonts w:hint="eastAsia"/>
              </w:rPr>
              <w:t>0.00</w:t>
            </w:r>
          </w:p>
        </w:tc>
        <w:tc>
          <w:tcPr>
            <w:tcW w:w="1520" w:type="dxa"/>
            <w:vAlign w:val="center"/>
          </w:tcPr>
          <w:p w14:paraId="5807BF43">
            <w:r>
              <w:rPr>
                <w:rFonts w:hint="eastAsia"/>
              </w:rPr>
              <w:t>0.00</w:t>
            </w:r>
          </w:p>
        </w:tc>
      </w:tr>
      <w:tr w14:paraId="2747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14:paraId="4447943C"/>
        </w:tc>
        <w:tc>
          <w:tcPr>
            <w:tcW w:w="4552" w:type="dxa"/>
            <w:vAlign w:val="center"/>
          </w:tcPr>
          <w:p w14:paraId="2B18E538">
            <w:r>
              <w:rPr>
                <w:rFonts w:hint="eastAsia"/>
              </w:rPr>
              <w:t>环境效益目标</w:t>
            </w:r>
          </w:p>
        </w:tc>
        <w:tc>
          <w:tcPr>
            <w:tcW w:w="1491" w:type="dxa"/>
            <w:vAlign w:val="center"/>
          </w:tcPr>
          <w:p w14:paraId="0CCCE35D">
            <w:r>
              <w:rPr>
                <w:rFonts w:hint="eastAsia"/>
              </w:rPr>
              <w:t>0.00</w:t>
            </w:r>
          </w:p>
        </w:tc>
        <w:tc>
          <w:tcPr>
            <w:tcW w:w="1520" w:type="dxa"/>
            <w:vAlign w:val="center"/>
          </w:tcPr>
          <w:p w14:paraId="40A4CA50">
            <w:r>
              <w:rPr>
                <w:rFonts w:hint="eastAsia"/>
              </w:rPr>
              <w:t>0.00</w:t>
            </w:r>
          </w:p>
        </w:tc>
      </w:tr>
      <w:tr w14:paraId="423B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14:paraId="5DC27D53"/>
        </w:tc>
        <w:tc>
          <w:tcPr>
            <w:tcW w:w="4552" w:type="dxa"/>
            <w:vAlign w:val="center"/>
          </w:tcPr>
          <w:p w14:paraId="67DE9174">
            <w:r>
              <w:rPr>
                <w:rFonts w:hint="eastAsia"/>
              </w:rPr>
              <w:t>可持续影响目标</w:t>
            </w:r>
          </w:p>
        </w:tc>
        <w:tc>
          <w:tcPr>
            <w:tcW w:w="1491" w:type="dxa"/>
            <w:vAlign w:val="center"/>
          </w:tcPr>
          <w:p w14:paraId="47C4E672">
            <w:r>
              <w:rPr>
                <w:rFonts w:hint="eastAsia"/>
              </w:rPr>
              <w:t>20.00</w:t>
            </w:r>
          </w:p>
        </w:tc>
        <w:tc>
          <w:tcPr>
            <w:tcW w:w="1520" w:type="dxa"/>
            <w:vAlign w:val="center"/>
          </w:tcPr>
          <w:p w14:paraId="05349332">
            <w:r>
              <w:rPr>
                <w:rFonts w:hint="eastAsia"/>
              </w:rPr>
              <w:t>30</w:t>
            </w:r>
          </w:p>
        </w:tc>
      </w:tr>
      <w:tr w14:paraId="0113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14:paraId="6F6176CB"/>
        </w:tc>
        <w:tc>
          <w:tcPr>
            <w:tcW w:w="4552" w:type="dxa"/>
            <w:vAlign w:val="center"/>
          </w:tcPr>
          <w:p w14:paraId="071A75B4">
            <w:r>
              <w:rPr>
                <w:rFonts w:hint="eastAsia"/>
              </w:rPr>
              <w:t>服务对象满意度目标</w:t>
            </w:r>
          </w:p>
        </w:tc>
        <w:tc>
          <w:tcPr>
            <w:tcW w:w="1491" w:type="dxa"/>
            <w:vAlign w:val="center"/>
          </w:tcPr>
          <w:p w14:paraId="4CE17E5D">
            <w:r>
              <w:rPr>
                <w:rFonts w:hint="eastAsia"/>
              </w:rPr>
              <w:t>55.00</w:t>
            </w:r>
          </w:p>
        </w:tc>
        <w:tc>
          <w:tcPr>
            <w:tcW w:w="1520" w:type="dxa"/>
            <w:vAlign w:val="center"/>
          </w:tcPr>
          <w:p w14:paraId="05898C72">
            <w:r>
              <w:rPr>
                <w:rFonts w:hint="eastAsia"/>
              </w:rPr>
              <w:t>90</w:t>
            </w:r>
          </w:p>
        </w:tc>
      </w:tr>
    </w:tbl>
    <w:p w14:paraId="38A120A9">
      <w:pPr>
        <w:ind w:firstLine="420" w:firstLineChars="200"/>
        <w:outlineLvl w:val="0"/>
      </w:pPr>
      <w:bookmarkStart w:id="723" w:name="_Toc16872"/>
      <w:bookmarkStart w:id="724" w:name="_Toc25050"/>
      <w:bookmarkStart w:id="725" w:name="_Toc5129"/>
      <w:bookmarkStart w:id="726" w:name="_Toc27639"/>
      <w:bookmarkStart w:id="727" w:name="_Toc31953"/>
      <w:bookmarkStart w:id="728" w:name="_Toc18074"/>
      <w:bookmarkStart w:id="729" w:name="_Toc29510"/>
      <w:r>
        <w:rPr>
          <w:rFonts w:hint="eastAsia"/>
        </w:rPr>
        <w:t>二、绩效评价的组织实施情况</w:t>
      </w:r>
      <w:bookmarkEnd w:id="723"/>
      <w:bookmarkEnd w:id="724"/>
      <w:bookmarkEnd w:id="725"/>
      <w:bookmarkEnd w:id="726"/>
      <w:bookmarkEnd w:id="727"/>
      <w:bookmarkEnd w:id="728"/>
      <w:bookmarkEnd w:id="729"/>
    </w:p>
    <w:p w14:paraId="10FC13EA">
      <w:pPr>
        <w:ind w:firstLine="420" w:firstLineChars="200"/>
      </w:pPr>
      <w:bookmarkStart w:id="730" w:name="_Toc31013"/>
      <w:bookmarkStart w:id="731" w:name="_Toc23591"/>
      <w:bookmarkStart w:id="732" w:name="_Toc12782"/>
      <w:bookmarkStart w:id="733" w:name="_Toc1926"/>
      <w:bookmarkStart w:id="734" w:name="_Toc25975"/>
      <w:bookmarkStart w:id="735" w:name="_Toc26100"/>
      <w:r>
        <w:rPr>
          <w:rFonts w:hint="eastAsia"/>
        </w:rPr>
        <w:t>（一）绩效评价目的</w:t>
      </w:r>
      <w:bookmarkEnd w:id="730"/>
      <w:bookmarkEnd w:id="731"/>
      <w:bookmarkEnd w:id="732"/>
      <w:bookmarkEnd w:id="733"/>
      <w:bookmarkEnd w:id="734"/>
      <w:bookmarkEnd w:id="735"/>
    </w:p>
    <w:p w14:paraId="745ADEA4">
      <w:pPr>
        <w:ind w:firstLine="420" w:firstLineChars="200"/>
      </w:pPr>
      <w:r>
        <w:rPr>
          <w:rFonts w:hint="eastAsia"/>
        </w:rPr>
        <w:t>通过实施财政绩效评价，全面了解2020年木兰溪防洪工程及配套项目（含安全生态水系建设）的资金使用和管理情况、绩效目标完成情况及投入产出的绩效，总结经验，剖析项目资金在预算、管理及项目实施过程中存在的问题，并探究其可能的原因，最后提出相应的解决对策，为提高优化木兰溪防洪工程及配套项目（含安全生态水系建设）的使用效果提供参考依据。</w:t>
      </w:r>
      <w:bookmarkStart w:id="736" w:name="_Toc26307"/>
      <w:bookmarkStart w:id="737" w:name="_Toc9"/>
      <w:bookmarkStart w:id="738" w:name="_Toc16692"/>
      <w:bookmarkStart w:id="739" w:name="_Toc5817"/>
      <w:bookmarkStart w:id="740" w:name="_Toc4966"/>
    </w:p>
    <w:p w14:paraId="6971009C">
      <w:pPr>
        <w:ind w:firstLine="420" w:firstLineChars="200"/>
      </w:pPr>
      <w:bookmarkStart w:id="741" w:name="_Toc29141"/>
      <w:r>
        <w:rPr>
          <w:rFonts w:hint="eastAsia"/>
        </w:rPr>
        <w:t>（二）绩效评价实施过程</w:t>
      </w:r>
      <w:bookmarkEnd w:id="736"/>
      <w:bookmarkEnd w:id="737"/>
      <w:bookmarkEnd w:id="738"/>
      <w:bookmarkEnd w:id="739"/>
      <w:bookmarkEnd w:id="740"/>
      <w:bookmarkEnd w:id="741"/>
    </w:p>
    <w:p w14:paraId="6DD1C35A">
      <w:pPr>
        <w:ind w:firstLine="420" w:firstLineChars="200"/>
      </w:pPr>
      <w:r>
        <w:rPr>
          <w:rFonts w:hint="eastAsia"/>
        </w:rPr>
        <w:t>木兰溪防洪工程及配套项目（含安全生态水系建设）绩效评价工作包括六个阶段：</w:t>
      </w:r>
    </w:p>
    <w:p w14:paraId="27400487">
      <w:pPr>
        <w:ind w:firstLine="420" w:firstLineChars="200"/>
      </w:pPr>
      <w:r>
        <w:rPr>
          <w:rFonts w:hint="eastAsia"/>
        </w:rPr>
        <w:t>第一阶段：成立评价工作小组。莆田学院财政绩效管理研究中心根据项目实际情况，结合评价人员专业特长、专业素养和工作需要，确定评价工作小组的成员构成和分工，成立评价小组，负责拟定评价工作方案和评价工作的具体实施。</w:t>
      </w:r>
    </w:p>
    <w:p w14:paraId="0768144F">
      <w:pPr>
        <w:ind w:firstLine="420" w:firstLineChars="200"/>
      </w:pPr>
      <w:r>
        <w:rPr>
          <w:rFonts w:hint="eastAsia"/>
        </w:rPr>
        <w:t>第二阶段：制定绩效评价方案，评价小组根据评价项目的性质和特点，就评价指标体系和评价工作的组织实施等拟定绩效评价工作方案，为评价实施提供工作指引和具体安排。</w:t>
      </w:r>
    </w:p>
    <w:p w14:paraId="758AC745">
      <w:pPr>
        <w:ind w:firstLine="420" w:firstLineChars="200"/>
      </w:pPr>
      <w:r>
        <w:rPr>
          <w:rFonts w:hint="eastAsia"/>
        </w:rPr>
        <w:t>第三阶段：收集绩效评价相关材料。评价工作小组根据评价对象的特点和评价内容及工作需要，分赴项目资金使用单位及其财政管理部门，收集绩效评价相关材料。</w:t>
      </w:r>
    </w:p>
    <w:p w14:paraId="2C62704F">
      <w:pPr>
        <w:ind w:firstLine="420" w:firstLineChars="200"/>
      </w:pPr>
      <w:r>
        <w:rPr>
          <w:rFonts w:hint="eastAsia"/>
        </w:rPr>
        <w:t>第四阶段：审核相关评价材料。评价小组根据所取得的相关材料，采用恰当的评价指标体系、评价标准和评价方法，对评价对象绩效目标实施程度等绩效情况进行全面分析和综合评价，形成初步评价结论。</w:t>
      </w:r>
    </w:p>
    <w:p w14:paraId="52A86581">
      <w:pPr>
        <w:ind w:firstLine="420" w:firstLineChars="200"/>
      </w:pPr>
      <w:r>
        <w:rPr>
          <w:rFonts w:hint="eastAsia"/>
        </w:rPr>
        <w:t>第五阶段：撰写绩效评价报告。根据评价小组评价结论等相关材料，归纳问题，分析原因，提出对策，形成并提交评价报告。</w:t>
      </w:r>
    </w:p>
    <w:p w14:paraId="4C50DD8A">
      <w:pPr>
        <w:ind w:firstLine="420" w:firstLineChars="200"/>
      </w:pPr>
      <w:r>
        <w:rPr>
          <w:rFonts w:hint="eastAsia"/>
        </w:rPr>
        <w:t>第六阶段：建立绩效评价档案。评价小组完成绩效评价工作后，根据评价工作路径，整理、保管工作底稿和评价有关资料，建立绩效评价档案并移交给相关部门。</w:t>
      </w:r>
    </w:p>
    <w:p w14:paraId="5F9F42E6">
      <w:pPr>
        <w:ind w:firstLine="420" w:firstLineChars="200"/>
      </w:pPr>
      <w:bookmarkStart w:id="742" w:name="_Toc32224"/>
      <w:bookmarkStart w:id="743" w:name="_Toc9080"/>
      <w:bookmarkStart w:id="744" w:name="_Toc14027"/>
      <w:bookmarkStart w:id="745" w:name="_Toc9649"/>
      <w:bookmarkStart w:id="746" w:name="_Toc4014"/>
      <w:bookmarkStart w:id="747" w:name="_Toc23480"/>
      <w:r>
        <w:rPr>
          <w:rFonts w:hint="eastAsia"/>
        </w:rPr>
        <w:t>（三）</w:t>
      </w:r>
      <w:bookmarkEnd w:id="742"/>
      <w:bookmarkEnd w:id="743"/>
      <w:bookmarkEnd w:id="744"/>
      <w:bookmarkEnd w:id="745"/>
      <w:bookmarkEnd w:id="746"/>
      <w:r>
        <w:rPr>
          <w:rFonts w:hint="eastAsia"/>
        </w:rPr>
        <w:t>绩效评价依据及原则</w:t>
      </w:r>
      <w:bookmarkEnd w:id="747"/>
    </w:p>
    <w:p w14:paraId="4A30AC4C">
      <w:pPr>
        <w:ind w:firstLine="420" w:firstLineChars="200"/>
      </w:pPr>
      <w:r>
        <w:rPr>
          <w:rFonts w:hint="eastAsia"/>
        </w:rPr>
        <w:t>依据中共莆田市委、市政府《关于全面实施预算绩效管理的实施意见》（莆委发〔2019〕2号）和《项目支出绩效评价管理办法》（莆财绩〔2020〕2号）等文件精神，按照《莆田市财政局关于开展2020年度预算绩效评价工作的通知》（莆财绩函〔2021〕3号）的文件要求，遵循“科学性、规范性、客观性和公正性”的原则。</w:t>
      </w:r>
      <w:bookmarkStart w:id="748" w:name="_Toc589"/>
      <w:bookmarkStart w:id="749" w:name="_Toc15307"/>
      <w:bookmarkStart w:id="750" w:name="_Toc25959"/>
      <w:bookmarkStart w:id="751" w:name="_Toc12648"/>
      <w:bookmarkStart w:id="752" w:name="_Toc32136"/>
    </w:p>
    <w:p w14:paraId="091B7C27">
      <w:pPr>
        <w:ind w:firstLine="420" w:firstLineChars="200"/>
        <w:outlineLvl w:val="0"/>
      </w:pPr>
      <w:bookmarkStart w:id="753" w:name="_Toc18490"/>
      <w:bookmarkStart w:id="754" w:name="_Toc13113"/>
      <w:r>
        <w:rPr>
          <w:rFonts w:hint="eastAsia"/>
        </w:rPr>
        <w:t>三、项目绩效评价指标体系、评价标准和评价方法</w:t>
      </w:r>
      <w:bookmarkEnd w:id="748"/>
      <w:bookmarkEnd w:id="749"/>
      <w:bookmarkEnd w:id="750"/>
      <w:bookmarkEnd w:id="751"/>
      <w:bookmarkEnd w:id="752"/>
      <w:bookmarkEnd w:id="753"/>
      <w:bookmarkEnd w:id="754"/>
    </w:p>
    <w:p w14:paraId="07D96EE7">
      <w:pPr>
        <w:ind w:firstLine="420" w:firstLineChars="200"/>
      </w:pPr>
      <w:bookmarkStart w:id="755" w:name="_Toc6495"/>
      <w:bookmarkStart w:id="756" w:name="_Toc8531"/>
      <w:bookmarkStart w:id="757" w:name="_Toc27496"/>
      <w:bookmarkStart w:id="758" w:name="_Toc31743"/>
      <w:bookmarkStart w:id="759" w:name="_Toc28318"/>
      <w:bookmarkStart w:id="760" w:name="_Toc24185"/>
      <w:r>
        <w:rPr>
          <w:rFonts w:hint="eastAsia"/>
        </w:rPr>
        <w:t>（一）绩效评价指标体系的设定原则及具体内容</w:t>
      </w:r>
      <w:bookmarkEnd w:id="755"/>
      <w:bookmarkEnd w:id="756"/>
      <w:bookmarkEnd w:id="757"/>
      <w:bookmarkEnd w:id="758"/>
      <w:bookmarkEnd w:id="759"/>
      <w:bookmarkEnd w:id="760"/>
    </w:p>
    <w:p w14:paraId="39FB1CCE">
      <w:pPr>
        <w:ind w:firstLine="420" w:firstLineChars="200"/>
      </w:pPr>
      <w:r>
        <w:rPr>
          <w:rFonts w:hint="eastAsia"/>
        </w:rPr>
        <w:t>1.相关性原则：即与木兰溪防洪工程及配套项目（含安全生态水系建设）绩效目标有直接关系，能够恰当反映目标的现实程度；</w:t>
      </w:r>
    </w:p>
    <w:p w14:paraId="0B89A146">
      <w:pPr>
        <w:ind w:firstLine="420" w:firstLineChars="200"/>
      </w:pPr>
      <w:r>
        <w:rPr>
          <w:rFonts w:hint="eastAsia"/>
        </w:rPr>
        <w:t>2.重要性原则：使用评价木兰溪防洪工程及配套项目（含安全生态水系建设）绩效目标最具代表性、最能反映评价要求的核心指标；</w:t>
      </w:r>
    </w:p>
    <w:p w14:paraId="5B241114">
      <w:pPr>
        <w:ind w:firstLine="420" w:firstLineChars="200"/>
      </w:pPr>
      <w:r>
        <w:rPr>
          <w:rFonts w:hint="eastAsia"/>
        </w:rPr>
        <w:t>3.可比性原则：对同类评价对象要设定共性的绩效评价指标，以便于评价结果可以相互比较；</w:t>
      </w:r>
    </w:p>
    <w:p w14:paraId="533C2326">
      <w:pPr>
        <w:ind w:firstLine="420" w:firstLineChars="200"/>
      </w:pPr>
      <w:r>
        <w:rPr>
          <w:rFonts w:hint="eastAsia"/>
        </w:rPr>
        <w:t>4.系统性原则：将定量指标与定性指标相结合，系统反映木兰溪防洪工程及配套项目（含安全生态水系建设）支出所产生的社会效益、经济效益；</w:t>
      </w:r>
    </w:p>
    <w:p w14:paraId="61E6E9A5">
      <w:pPr>
        <w:ind w:firstLine="420" w:firstLineChars="200"/>
      </w:pPr>
      <w:r>
        <w:rPr>
          <w:rFonts w:hint="eastAsia"/>
        </w:rPr>
        <w:t>5.经济性原则：指标通俗易懂、简便易行，数据的获取应当考虑现实条件和可操作性，符合成本效益原则。</w:t>
      </w:r>
    </w:p>
    <w:p w14:paraId="052399E8">
      <w:pPr>
        <w:ind w:firstLine="420" w:firstLineChars="200"/>
      </w:pPr>
      <w:bookmarkStart w:id="761" w:name="_Toc2625"/>
      <w:bookmarkStart w:id="762" w:name="_Toc15610"/>
      <w:bookmarkStart w:id="763" w:name="_Toc592"/>
      <w:bookmarkStart w:id="764" w:name="_Toc19509"/>
      <w:bookmarkStart w:id="765" w:name="_Toc11915"/>
      <w:bookmarkStart w:id="766" w:name="_Toc1785"/>
      <w:r>
        <w:rPr>
          <w:rFonts w:hint="eastAsia"/>
        </w:rPr>
        <w:t>（二）项目绩效评价的具体标准及评价的具体方法</w:t>
      </w:r>
      <w:bookmarkEnd w:id="761"/>
      <w:bookmarkEnd w:id="762"/>
      <w:bookmarkEnd w:id="763"/>
      <w:bookmarkEnd w:id="764"/>
      <w:bookmarkEnd w:id="765"/>
      <w:bookmarkEnd w:id="766"/>
    </w:p>
    <w:p w14:paraId="41381C0B">
      <w:pPr>
        <w:ind w:firstLine="420" w:firstLineChars="200"/>
      </w:pPr>
      <w:r>
        <w:rPr>
          <w:rFonts w:hint="eastAsia"/>
        </w:rPr>
        <w:t>项目绩效评价工作小组根据莆田市财政局绩效评价管理办法的要求，依据相关性、重要性、可比性、系统性及经济性原则，参考2020年木兰溪防洪工程及配套项目（含安全生态水系建设）绩效评价自评表和项目绩效监控情况，围绕绩效目标项目决策、项目管理和项目绩效等三个方面设计绩效评价指标以及评分标准、分值和权重。指标体系共设置3个一级指标、8个二级指标、20个三级指标。指标体系按满分100分设定，其中“项目决策”18分，主要体现绩效目标制定情况和项目立项的合理性；“项目管理”20分，主要体现项目资金预算执行情况、资金管理情况和资金使用情况；“项目绩效”62分，主要体现项目产出数量、项目效益和满意度。基于第三方评价的特点和要求，指标设置和评分标准力求可行性、客观性、科学性与简明性。具体指标体系和评分标准如表5所示。</w:t>
      </w:r>
    </w:p>
    <w:p w14:paraId="62338622">
      <w:pPr>
        <w:ind w:firstLine="420" w:firstLineChars="200"/>
      </w:pPr>
      <w:r>
        <w:rPr>
          <w:rFonts w:hint="eastAsia"/>
        </w:rPr>
        <w:t>表5  2020年木兰溪防洪工程及配套项目（含安全生态水系建设）绩效评价指标</w:t>
      </w:r>
    </w:p>
    <w:tbl>
      <w:tblPr>
        <w:tblStyle w:val="17"/>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10"/>
        <w:gridCol w:w="966"/>
        <w:gridCol w:w="1413"/>
        <w:gridCol w:w="2012"/>
        <w:gridCol w:w="3029"/>
      </w:tblGrid>
      <w:tr w14:paraId="39315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trPr>
        <w:tc>
          <w:tcPr>
            <w:tcW w:w="9379" w:type="dxa"/>
            <w:gridSpan w:val="5"/>
            <w:tcMar>
              <w:top w:w="12" w:type="dxa"/>
              <w:left w:w="12" w:type="dxa"/>
              <w:right w:w="12" w:type="dxa"/>
            </w:tcMar>
            <w:vAlign w:val="center"/>
          </w:tcPr>
          <w:p w14:paraId="107306D9">
            <w:r>
              <w:rPr>
                <w:rFonts w:hint="eastAsia"/>
              </w:rPr>
              <w:t>2020年木兰溪防洪工程及配套项目（含安全生态水系建设）绩效评价指标体系</w:t>
            </w:r>
          </w:p>
        </w:tc>
      </w:tr>
      <w:tr w14:paraId="7541A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trPr>
        <w:tc>
          <w:tcPr>
            <w:tcW w:w="1000" w:type="dxa"/>
            <w:tcMar>
              <w:top w:w="12" w:type="dxa"/>
              <w:left w:w="12" w:type="dxa"/>
              <w:right w:w="12" w:type="dxa"/>
            </w:tcMar>
            <w:vAlign w:val="center"/>
          </w:tcPr>
          <w:p w14:paraId="7A9D6C3D">
            <w:r>
              <w:rPr>
                <w:rFonts w:hint="eastAsia"/>
              </w:rPr>
              <w:t>一级指标</w:t>
            </w:r>
          </w:p>
        </w:tc>
        <w:tc>
          <w:tcPr>
            <w:tcW w:w="1048" w:type="dxa"/>
            <w:tcMar>
              <w:top w:w="12" w:type="dxa"/>
              <w:left w:w="12" w:type="dxa"/>
              <w:right w:w="12" w:type="dxa"/>
            </w:tcMar>
            <w:vAlign w:val="center"/>
          </w:tcPr>
          <w:p w14:paraId="6A032999">
            <w:r>
              <w:rPr>
                <w:rFonts w:hint="eastAsia"/>
              </w:rPr>
              <w:t>二级指标</w:t>
            </w:r>
          </w:p>
        </w:tc>
        <w:tc>
          <w:tcPr>
            <w:tcW w:w="1600" w:type="dxa"/>
            <w:tcMar>
              <w:top w:w="12" w:type="dxa"/>
              <w:left w:w="12" w:type="dxa"/>
              <w:right w:w="12" w:type="dxa"/>
            </w:tcMar>
            <w:vAlign w:val="center"/>
          </w:tcPr>
          <w:p w14:paraId="5B5CF0C5">
            <w:r>
              <w:rPr>
                <w:rFonts w:hint="eastAsia"/>
              </w:rPr>
              <w:t>三级指标</w:t>
            </w:r>
          </w:p>
        </w:tc>
        <w:tc>
          <w:tcPr>
            <w:tcW w:w="2294" w:type="dxa"/>
            <w:tcMar>
              <w:top w:w="12" w:type="dxa"/>
              <w:left w:w="12" w:type="dxa"/>
              <w:right w:w="12" w:type="dxa"/>
            </w:tcMar>
            <w:vAlign w:val="center"/>
          </w:tcPr>
          <w:p w14:paraId="5495F604">
            <w:r>
              <w:rPr>
                <w:rFonts w:hint="eastAsia"/>
              </w:rPr>
              <w:t>指标解释</w:t>
            </w:r>
          </w:p>
        </w:tc>
        <w:tc>
          <w:tcPr>
            <w:tcW w:w="3437" w:type="dxa"/>
            <w:tcMar>
              <w:top w:w="12" w:type="dxa"/>
              <w:left w:w="12" w:type="dxa"/>
              <w:right w:w="12" w:type="dxa"/>
            </w:tcMar>
            <w:vAlign w:val="center"/>
          </w:tcPr>
          <w:p w14:paraId="28BBC47F">
            <w:r>
              <w:rPr>
                <w:rFonts w:hint="eastAsia"/>
              </w:rPr>
              <w:t>评价标准</w:t>
            </w:r>
          </w:p>
        </w:tc>
      </w:tr>
      <w:tr w14:paraId="51679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000" w:type="dxa"/>
            <w:vMerge w:val="restart"/>
            <w:tcMar>
              <w:top w:w="12" w:type="dxa"/>
              <w:left w:w="12" w:type="dxa"/>
              <w:right w:w="12" w:type="dxa"/>
            </w:tcMar>
            <w:vAlign w:val="center"/>
          </w:tcPr>
          <w:p w14:paraId="6821BA7C">
            <w:r>
              <w:rPr>
                <w:rFonts w:hint="eastAsia"/>
              </w:rPr>
              <w:t>项目决策（18分）</w:t>
            </w:r>
          </w:p>
        </w:tc>
        <w:tc>
          <w:tcPr>
            <w:tcW w:w="1048" w:type="dxa"/>
            <w:vMerge w:val="restart"/>
            <w:tcMar>
              <w:top w:w="12" w:type="dxa"/>
              <w:left w:w="12" w:type="dxa"/>
              <w:right w:w="12" w:type="dxa"/>
            </w:tcMar>
            <w:vAlign w:val="center"/>
          </w:tcPr>
          <w:p w14:paraId="71ED0C0B">
            <w:r>
              <w:rPr>
                <w:rFonts w:hint="eastAsia"/>
              </w:rPr>
              <w:t>项目立项（6分）</w:t>
            </w:r>
          </w:p>
        </w:tc>
        <w:tc>
          <w:tcPr>
            <w:tcW w:w="1600" w:type="dxa"/>
            <w:tcMar>
              <w:top w:w="12" w:type="dxa"/>
              <w:left w:w="12" w:type="dxa"/>
              <w:right w:w="12" w:type="dxa"/>
            </w:tcMar>
            <w:vAlign w:val="center"/>
          </w:tcPr>
          <w:p w14:paraId="2B8D6591">
            <w:r>
              <w:rPr>
                <w:rFonts w:hint="eastAsia"/>
              </w:rPr>
              <w:t>立项依据充分性（3分）</w:t>
            </w:r>
          </w:p>
        </w:tc>
        <w:tc>
          <w:tcPr>
            <w:tcW w:w="2294" w:type="dxa"/>
            <w:tcMar>
              <w:top w:w="12" w:type="dxa"/>
              <w:left w:w="12" w:type="dxa"/>
              <w:right w:w="12" w:type="dxa"/>
            </w:tcMar>
            <w:vAlign w:val="center"/>
          </w:tcPr>
          <w:p w14:paraId="65F0240D">
            <w:r>
              <w:rPr>
                <w:rFonts w:hint="eastAsia"/>
              </w:rPr>
              <w:t>项目立项是否符合法律法规、相关政策、发展规划以及部门职责。</w:t>
            </w:r>
          </w:p>
        </w:tc>
        <w:tc>
          <w:tcPr>
            <w:tcW w:w="3437" w:type="dxa"/>
            <w:tcMar>
              <w:top w:w="12" w:type="dxa"/>
              <w:left w:w="12" w:type="dxa"/>
              <w:right w:w="12" w:type="dxa"/>
            </w:tcMar>
            <w:vAlign w:val="center"/>
          </w:tcPr>
          <w:p w14:paraId="1B108A1E">
            <w:r>
              <w:rPr>
                <w:rFonts w:hint="eastAsia"/>
              </w:rPr>
              <w:t>按照程序申请设立及立项文件、材料符合相关要求得3分，程序不规范或立项文件、材料不符合要求一项扣0.5分，扣完为止。</w:t>
            </w:r>
          </w:p>
        </w:tc>
      </w:tr>
      <w:tr w14:paraId="3DFAA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000" w:type="dxa"/>
            <w:vMerge w:val="continue"/>
            <w:tcMar>
              <w:top w:w="12" w:type="dxa"/>
              <w:left w:w="12" w:type="dxa"/>
              <w:right w:w="12" w:type="dxa"/>
            </w:tcMar>
            <w:vAlign w:val="center"/>
          </w:tcPr>
          <w:p w14:paraId="1D4A3C0E"/>
        </w:tc>
        <w:tc>
          <w:tcPr>
            <w:tcW w:w="1048" w:type="dxa"/>
            <w:vMerge w:val="continue"/>
            <w:tcMar>
              <w:top w:w="12" w:type="dxa"/>
              <w:left w:w="12" w:type="dxa"/>
              <w:right w:w="12" w:type="dxa"/>
            </w:tcMar>
            <w:vAlign w:val="center"/>
          </w:tcPr>
          <w:p w14:paraId="7B18DAEC"/>
        </w:tc>
        <w:tc>
          <w:tcPr>
            <w:tcW w:w="1600" w:type="dxa"/>
            <w:tcMar>
              <w:top w:w="12" w:type="dxa"/>
              <w:left w:w="12" w:type="dxa"/>
              <w:right w:w="12" w:type="dxa"/>
            </w:tcMar>
            <w:vAlign w:val="center"/>
          </w:tcPr>
          <w:p w14:paraId="5BD3E323">
            <w:r>
              <w:rPr>
                <w:rFonts w:hint="eastAsia"/>
              </w:rPr>
              <w:t>立项程序规范性（3分）</w:t>
            </w:r>
          </w:p>
        </w:tc>
        <w:tc>
          <w:tcPr>
            <w:tcW w:w="2294" w:type="dxa"/>
            <w:tcMar>
              <w:top w:w="12" w:type="dxa"/>
              <w:left w:w="12" w:type="dxa"/>
              <w:right w:w="12" w:type="dxa"/>
            </w:tcMar>
            <w:vAlign w:val="center"/>
          </w:tcPr>
          <w:p w14:paraId="0E7A32F6">
            <w:r>
              <w:rPr>
                <w:rFonts w:hint="eastAsia"/>
              </w:rPr>
              <w:t>项目申请、设立过程是否符合相关要求，用以反映和考核项目立项的规范情况。</w:t>
            </w:r>
          </w:p>
        </w:tc>
        <w:tc>
          <w:tcPr>
            <w:tcW w:w="3437" w:type="dxa"/>
            <w:tcMar>
              <w:top w:w="12" w:type="dxa"/>
              <w:left w:w="12" w:type="dxa"/>
              <w:right w:w="12" w:type="dxa"/>
            </w:tcMar>
            <w:vAlign w:val="center"/>
          </w:tcPr>
          <w:p w14:paraId="2BCEBEF6">
            <w:r>
              <w:rPr>
                <w:rFonts w:hint="eastAsia"/>
              </w:rPr>
              <w:t>项目是否按照规定的程序申请立项；所提交的文件、材料是否符合相关要求；事前是否已经过必要的可行性研究、专家论证、风险评估、集体决策等。程序不规范或立项文件、材料不符合要求一项扣 0.5分，扣完为止。</w:t>
            </w:r>
          </w:p>
        </w:tc>
      </w:tr>
      <w:tr w14:paraId="0F102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000" w:type="dxa"/>
            <w:vMerge w:val="continue"/>
            <w:tcMar>
              <w:top w:w="12" w:type="dxa"/>
              <w:left w:w="12" w:type="dxa"/>
              <w:right w:w="12" w:type="dxa"/>
            </w:tcMar>
            <w:vAlign w:val="center"/>
          </w:tcPr>
          <w:p w14:paraId="42539C86"/>
        </w:tc>
        <w:tc>
          <w:tcPr>
            <w:tcW w:w="1048" w:type="dxa"/>
            <w:vMerge w:val="restart"/>
            <w:tcMar>
              <w:top w:w="12" w:type="dxa"/>
              <w:left w:w="12" w:type="dxa"/>
              <w:right w:w="12" w:type="dxa"/>
            </w:tcMar>
            <w:vAlign w:val="center"/>
          </w:tcPr>
          <w:p w14:paraId="38E21986">
            <w:r>
              <w:rPr>
                <w:rFonts w:hint="eastAsia"/>
              </w:rPr>
              <w:t>绩效目标（6分）</w:t>
            </w:r>
          </w:p>
        </w:tc>
        <w:tc>
          <w:tcPr>
            <w:tcW w:w="1600" w:type="dxa"/>
            <w:tcMar>
              <w:top w:w="12" w:type="dxa"/>
              <w:left w:w="12" w:type="dxa"/>
              <w:right w:w="12" w:type="dxa"/>
            </w:tcMar>
            <w:vAlign w:val="center"/>
          </w:tcPr>
          <w:p w14:paraId="685E69A7">
            <w:r>
              <w:rPr>
                <w:rFonts w:hint="eastAsia"/>
              </w:rPr>
              <w:t>绩效目标合理性（3分）</w:t>
            </w:r>
          </w:p>
        </w:tc>
        <w:tc>
          <w:tcPr>
            <w:tcW w:w="2294" w:type="dxa"/>
            <w:tcMar>
              <w:top w:w="12" w:type="dxa"/>
              <w:left w:w="12" w:type="dxa"/>
              <w:right w:w="12" w:type="dxa"/>
            </w:tcMar>
            <w:vAlign w:val="center"/>
          </w:tcPr>
          <w:p w14:paraId="557AE912">
            <w:r>
              <w:rPr>
                <w:rFonts w:hint="eastAsia"/>
              </w:rPr>
              <w:t>项目所设定的绩效目标是否依据充分，是否符合客观实际，用以反映和考核项目绩效目标与项目实施的相符情况。</w:t>
            </w:r>
          </w:p>
        </w:tc>
        <w:tc>
          <w:tcPr>
            <w:tcW w:w="3437" w:type="dxa"/>
            <w:tcMar>
              <w:top w:w="12" w:type="dxa"/>
              <w:left w:w="12" w:type="dxa"/>
              <w:right w:w="12" w:type="dxa"/>
            </w:tcMar>
            <w:vAlign w:val="center"/>
          </w:tcPr>
          <w:p w14:paraId="067D94A4">
            <w:r>
              <w:rPr>
                <w:rFonts w:hint="eastAsia"/>
              </w:rPr>
              <w:t>根项目绩效目标设置是否契合实际；是否与项目实施单位职责密切相关；项目是否为木兰溪防洪建设所必需;所设立目标是否客观、科学以及完整、全面等。据符合情况打分，一项不符扣0.5分，扣完为止。</w:t>
            </w:r>
          </w:p>
        </w:tc>
      </w:tr>
      <w:tr w14:paraId="4490F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2" w:hRule="atLeast"/>
        </w:trPr>
        <w:tc>
          <w:tcPr>
            <w:tcW w:w="1000" w:type="dxa"/>
            <w:vMerge w:val="continue"/>
            <w:tcMar>
              <w:top w:w="12" w:type="dxa"/>
              <w:left w:w="12" w:type="dxa"/>
              <w:right w:w="12" w:type="dxa"/>
            </w:tcMar>
            <w:vAlign w:val="center"/>
          </w:tcPr>
          <w:p w14:paraId="0F4D34CD"/>
        </w:tc>
        <w:tc>
          <w:tcPr>
            <w:tcW w:w="1048" w:type="dxa"/>
            <w:vMerge w:val="continue"/>
            <w:tcMar>
              <w:top w:w="12" w:type="dxa"/>
              <w:left w:w="12" w:type="dxa"/>
              <w:right w:w="12" w:type="dxa"/>
            </w:tcMar>
            <w:vAlign w:val="center"/>
          </w:tcPr>
          <w:p w14:paraId="4490EC55"/>
        </w:tc>
        <w:tc>
          <w:tcPr>
            <w:tcW w:w="1600" w:type="dxa"/>
            <w:tcMar>
              <w:top w:w="12" w:type="dxa"/>
              <w:left w:w="12" w:type="dxa"/>
              <w:right w:w="12" w:type="dxa"/>
            </w:tcMar>
            <w:vAlign w:val="center"/>
          </w:tcPr>
          <w:p w14:paraId="066C8C0E">
            <w:r>
              <w:rPr>
                <w:rFonts w:hint="eastAsia"/>
              </w:rPr>
              <w:t>绩效指标明确性（3分）</w:t>
            </w:r>
          </w:p>
        </w:tc>
        <w:tc>
          <w:tcPr>
            <w:tcW w:w="2294" w:type="dxa"/>
            <w:tcMar>
              <w:top w:w="12" w:type="dxa"/>
              <w:left w:w="12" w:type="dxa"/>
              <w:right w:w="12" w:type="dxa"/>
            </w:tcMar>
            <w:vAlign w:val="center"/>
          </w:tcPr>
          <w:p w14:paraId="2FFE9FE4">
            <w:r>
              <w:rPr>
                <w:rFonts w:hint="eastAsia"/>
              </w:rPr>
              <w:t>依据绩效目标设定的绩效指标是否清晰、细化、可衡量等，用以反映和考核项目绩效目标的明细化情况。</w:t>
            </w:r>
          </w:p>
        </w:tc>
        <w:tc>
          <w:tcPr>
            <w:tcW w:w="3437" w:type="dxa"/>
            <w:tcMar>
              <w:top w:w="12" w:type="dxa"/>
              <w:left w:w="12" w:type="dxa"/>
              <w:right w:w="12" w:type="dxa"/>
            </w:tcMar>
            <w:vAlign w:val="center"/>
          </w:tcPr>
          <w:p w14:paraId="10F0D55E">
            <w:r>
              <w:rPr>
                <w:rFonts w:hint="eastAsia"/>
              </w:rPr>
              <w:t>是否与项目年度任务数或计划数相对应；是否与预算确定的项目投资额或资金量相匹配；是否将项目绩效目标细化分解为具体的绩效指标；是否通过清晰、可衡量的指标予以体现。根据符合情况打分，一项不符扣0.5分，扣完为止。</w:t>
            </w:r>
          </w:p>
        </w:tc>
      </w:tr>
      <w:tr w14:paraId="2196B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7" w:hRule="atLeast"/>
        </w:trPr>
        <w:tc>
          <w:tcPr>
            <w:tcW w:w="1000" w:type="dxa"/>
            <w:vMerge w:val="continue"/>
            <w:tcMar>
              <w:top w:w="12" w:type="dxa"/>
              <w:left w:w="12" w:type="dxa"/>
              <w:right w:w="12" w:type="dxa"/>
            </w:tcMar>
            <w:vAlign w:val="center"/>
          </w:tcPr>
          <w:p w14:paraId="1BA6D264"/>
        </w:tc>
        <w:tc>
          <w:tcPr>
            <w:tcW w:w="1048" w:type="dxa"/>
            <w:vMerge w:val="restart"/>
            <w:tcMar>
              <w:top w:w="12" w:type="dxa"/>
              <w:left w:w="12" w:type="dxa"/>
              <w:right w:w="12" w:type="dxa"/>
            </w:tcMar>
            <w:vAlign w:val="center"/>
          </w:tcPr>
          <w:p w14:paraId="256252F8">
            <w:r>
              <w:rPr>
                <w:rFonts w:hint="eastAsia"/>
              </w:rPr>
              <w:t>资金投入（6分）</w:t>
            </w:r>
          </w:p>
        </w:tc>
        <w:tc>
          <w:tcPr>
            <w:tcW w:w="1600" w:type="dxa"/>
            <w:tcMar>
              <w:top w:w="12" w:type="dxa"/>
              <w:left w:w="12" w:type="dxa"/>
              <w:right w:w="12" w:type="dxa"/>
            </w:tcMar>
            <w:vAlign w:val="center"/>
          </w:tcPr>
          <w:p w14:paraId="4D98A312">
            <w:r>
              <w:rPr>
                <w:rFonts w:hint="eastAsia"/>
              </w:rPr>
              <w:t>预算编制科学性（3分）</w:t>
            </w:r>
          </w:p>
        </w:tc>
        <w:tc>
          <w:tcPr>
            <w:tcW w:w="2294" w:type="dxa"/>
            <w:tcMar>
              <w:top w:w="12" w:type="dxa"/>
              <w:left w:w="12" w:type="dxa"/>
              <w:right w:w="12" w:type="dxa"/>
            </w:tcMar>
            <w:vAlign w:val="center"/>
          </w:tcPr>
          <w:p w14:paraId="7CEE0E2A">
            <w:r>
              <w:rPr>
                <w:rFonts w:hint="eastAsia"/>
              </w:rPr>
              <w:t>项目预算编制是否经过科学论证、有明确标准，资金额度与年度目标是否相适应，用以反映和考核项目预算编制的科学性、合理性情况。</w:t>
            </w:r>
          </w:p>
        </w:tc>
        <w:tc>
          <w:tcPr>
            <w:tcW w:w="3437" w:type="dxa"/>
            <w:tcMar>
              <w:top w:w="12" w:type="dxa"/>
              <w:left w:w="12" w:type="dxa"/>
              <w:right w:w="12" w:type="dxa"/>
            </w:tcMar>
            <w:vAlign w:val="center"/>
          </w:tcPr>
          <w:p w14:paraId="6743CDE9">
            <w:r>
              <w:rPr>
                <w:rFonts w:hint="eastAsia"/>
              </w:rPr>
              <w:t>预算编制是否经过科学论证、有明确标准；预算内容与项目内容是否匹配；预算额度测算依据是否充分，是否按标准编制；资金额度与年度目标是否相适应。根据符合情况打分，一项不符扣0.5分，扣完为止。</w:t>
            </w:r>
          </w:p>
        </w:tc>
      </w:tr>
      <w:tr w14:paraId="6BBD1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000" w:type="dxa"/>
            <w:vMerge w:val="continue"/>
            <w:tcMar>
              <w:top w:w="12" w:type="dxa"/>
              <w:left w:w="12" w:type="dxa"/>
              <w:right w:w="12" w:type="dxa"/>
            </w:tcMar>
            <w:vAlign w:val="center"/>
          </w:tcPr>
          <w:p w14:paraId="0A8454F2"/>
        </w:tc>
        <w:tc>
          <w:tcPr>
            <w:tcW w:w="1048" w:type="dxa"/>
            <w:vMerge w:val="continue"/>
            <w:tcMar>
              <w:top w:w="12" w:type="dxa"/>
              <w:left w:w="12" w:type="dxa"/>
              <w:right w:w="12" w:type="dxa"/>
            </w:tcMar>
            <w:vAlign w:val="center"/>
          </w:tcPr>
          <w:p w14:paraId="3977D8FB"/>
        </w:tc>
        <w:tc>
          <w:tcPr>
            <w:tcW w:w="1600" w:type="dxa"/>
            <w:tcMar>
              <w:top w:w="12" w:type="dxa"/>
              <w:left w:w="12" w:type="dxa"/>
              <w:right w:w="12" w:type="dxa"/>
            </w:tcMar>
            <w:vAlign w:val="center"/>
          </w:tcPr>
          <w:p w14:paraId="2147DE09">
            <w:r>
              <w:rPr>
                <w:rFonts w:hint="eastAsia"/>
              </w:rPr>
              <w:t>资金分配合理性（3分）</w:t>
            </w:r>
          </w:p>
        </w:tc>
        <w:tc>
          <w:tcPr>
            <w:tcW w:w="2294" w:type="dxa"/>
            <w:tcMar>
              <w:top w:w="12" w:type="dxa"/>
              <w:left w:w="12" w:type="dxa"/>
              <w:right w:w="12" w:type="dxa"/>
            </w:tcMar>
            <w:vAlign w:val="center"/>
          </w:tcPr>
          <w:p w14:paraId="2E0745F2">
            <w:r>
              <w:rPr>
                <w:rFonts w:hint="eastAsia"/>
              </w:rPr>
              <w:t>项目预算资金分配是否有测算依据，与补助单位或地方实际是否相适应，用以反映和考核项目预算分配的科学性、合理性情况。</w:t>
            </w:r>
          </w:p>
        </w:tc>
        <w:tc>
          <w:tcPr>
            <w:tcW w:w="3437" w:type="dxa"/>
            <w:tcMar>
              <w:top w:w="12" w:type="dxa"/>
              <w:left w:w="12" w:type="dxa"/>
              <w:right w:w="12" w:type="dxa"/>
            </w:tcMar>
            <w:vAlign w:val="center"/>
          </w:tcPr>
          <w:p w14:paraId="1E4C93BD">
            <w:r>
              <w:rPr>
                <w:rFonts w:hint="eastAsia"/>
              </w:rPr>
              <w:t>预算资金分配依据是否充分；资金分配额度是否合理；与项目单位或地方实际是否相适应。根据符合情况打分，一项不符扣0.5分，扣完为止。</w:t>
            </w:r>
          </w:p>
        </w:tc>
      </w:tr>
      <w:tr w14:paraId="14DA7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4" w:hRule="atLeast"/>
        </w:trPr>
        <w:tc>
          <w:tcPr>
            <w:tcW w:w="1000" w:type="dxa"/>
            <w:vMerge w:val="restart"/>
            <w:tcMar>
              <w:top w:w="12" w:type="dxa"/>
              <w:left w:w="12" w:type="dxa"/>
              <w:right w:w="12" w:type="dxa"/>
            </w:tcMar>
            <w:vAlign w:val="center"/>
          </w:tcPr>
          <w:p w14:paraId="7CDB041F">
            <w:r>
              <w:rPr>
                <w:rFonts w:hint="eastAsia"/>
              </w:rPr>
              <w:t>项目管理（20分）</w:t>
            </w:r>
          </w:p>
        </w:tc>
        <w:tc>
          <w:tcPr>
            <w:tcW w:w="1048" w:type="dxa"/>
            <w:vMerge w:val="restart"/>
            <w:tcMar>
              <w:top w:w="12" w:type="dxa"/>
              <w:left w:w="12" w:type="dxa"/>
              <w:right w:w="12" w:type="dxa"/>
            </w:tcMar>
            <w:vAlign w:val="center"/>
          </w:tcPr>
          <w:p w14:paraId="5F7D50E1">
            <w:r>
              <w:rPr>
                <w:rFonts w:hint="eastAsia"/>
              </w:rPr>
              <w:t>资金管理（13分）</w:t>
            </w:r>
          </w:p>
        </w:tc>
        <w:tc>
          <w:tcPr>
            <w:tcW w:w="1600" w:type="dxa"/>
            <w:tcMar>
              <w:top w:w="12" w:type="dxa"/>
              <w:left w:w="12" w:type="dxa"/>
              <w:right w:w="12" w:type="dxa"/>
            </w:tcMar>
            <w:vAlign w:val="center"/>
          </w:tcPr>
          <w:p w14:paraId="622D2208">
            <w:r>
              <w:rPr>
                <w:rFonts w:hint="eastAsia"/>
              </w:rPr>
              <w:t>资金到位率（5分）</w:t>
            </w:r>
          </w:p>
        </w:tc>
        <w:tc>
          <w:tcPr>
            <w:tcW w:w="2294" w:type="dxa"/>
            <w:tcMar>
              <w:top w:w="12" w:type="dxa"/>
              <w:left w:w="12" w:type="dxa"/>
              <w:right w:w="12" w:type="dxa"/>
            </w:tcMar>
            <w:vAlign w:val="center"/>
          </w:tcPr>
          <w:p w14:paraId="2FE22DFA">
            <w:r>
              <w:rPr>
                <w:rFonts w:hint="eastAsia"/>
              </w:rPr>
              <w:t>反映和考核资金落实情况对项目实施的总体保障程度。</w:t>
            </w:r>
          </w:p>
        </w:tc>
        <w:tc>
          <w:tcPr>
            <w:tcW w:w="3437" w:type="dxa"/>
            <w:tcMar>
              <w:top w:w="12" w:type="dxa"/>
              <w:left w:w="12" w:type="dxa"/>
              <w:right w:w="12" w:type="dxa"/>
            </w:tcMar>
            <w:vAlign w:val="center"/>
          </w:tcPr>
          <w:p w14:paraId="31B9425F">
            <w:r>
              <w:rPr>
                <w:rFonts w:hint="eastAsia"/>
              </w:rPr>
              <w:t>资金到位率=实际到位的资金/计划到位的资金×100%。 90%以上得满分。每少5个百分点扣0.5分，扣完为止。</w:t>
            </w:r>
          </w:p>
        </w:tc>
      </w:tr>
      <w:tr w14:paraId="0B9AB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0" w:hRule="atLeast"/>
        </w:trPr>
        <w:tc>
          <w:tcPr>
            <w:tcW w:w="1000" w:type="dxa"/>
            <w:vMerge w:val="continue"/>
            <w:tcMar>
              <w:top w:w="12" w:type="dxa"/>
              <w:left w:w="12" w:type="dxa"/>
              <w:right w:w="12" w:type="dxa"/>
            </w:tcMar>
            <w:vAlign w:val="center"/>
          </w:tcPr>
          <w:p w14:paraId="689C2FC2"/>
        </w:tc>
        <w:tc>
          <w:tcPr>
            <w:tcW w:w="1048" w:type="dxa"/>
            <w:vMerge w:val="continue"/>
            <w:tcMar>
              <w:top w:w="12" w:type="dxa"/>
              <w:left w:w="12" w:type="dxa"/>
              <w:right w:w="12" w:type="dxa"/>
            </w:tcMar>
            <w:vAlign w:val="center"/>
          </w:tcPr>
          <w:p w14:paraId="50711EF6"/>
        </w:tc>
        <w:tc>
          <w:tcPr>
            <w:tcW w:w="1600" w:type="dxa"/>
            <w:tcMar>
              <w:top w:w="12" w:type="dxa"/>
              <w:left w:w="12" w:type="dxa"/>
              <w:right w:w="12" w:type="dxa"/>
            </w:tcMar>
            <w:vAlign w:val="center"/>
          </w:tcPr>
          <w:p w14:paraId="36693735">
            <w:r>
              <w:rPr>
                <w:rFonts w:hint="eastAsia"/>
              </w:rPr>
              <w:t>预算实际执行率（5分）</w:t>
            </w:r>
          </w:p>
        </w:tc>
        <w:tc>
          <w:tcPr>
            <w:tcW w:w="2294" w:type="dxa"/>
            <w:tcMar>
              <w:top w:w="12" w:type="dxa"/>
              <w:left w:w="12" w:type="dxa"/>
              <w:right w:w="12" w:type="dxa"/>
            </w:tcMar>
            <w:vAlign w:val="center"/>
          </w:tcPr>
          <w:p w14:paraId="78B63510">
            <w:r>
              <w:rPr>
                <w:rFonts w:hint="eastAsia"/>
              </w:rPr>
              <w:t>项目预算资金是否按照计划执行，用以反映或考核项目预算执行情况。</w:t>
            </w:r>
          </w:p>
        </w:tc>
        <w:tc>
          <w:tcPr>
            <w:tcW w:w="3437" w:type="dxa"/>
            <w:tcMar>
              <w:top w:w="12" w:type="dxa"/>
              <w:left w:w="12" w:type="dxa"/>
              <w:right w:w="12" w:type="dxa"/>
            </w:tcMar>
            <w:vAlign w:val="center"/>
          </w:tcPr>
          <w:p w14:paraId="2DDCD6C3">
            <w:r>
              <w:rPr>
                <w:rFonts w:hint="eastAsia"/>
              </w:rPr>
              <w:t>预算实际执行率=实际使用资金/实际到位资金×100%。90%以上得满分，每低5%扣0.5分，扣完为止。存在资金问题的，每个事件按情节轻重扣分，扣完为止。</w:t>
            </w:r>
          </w:p>
        </w:tc>
      </w:tr>
      <w:tr w14:paraId="4D6D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4" w:hRule="atLeast"/>
        </w:trPr>
        <w:tc>
          <w:tcPr>
            <w:tcW w:w="1000" w:type="dxa"/>
            <w:vMerge w:val="continue"/>
            <w:tcMar>
              <w:top w:w="12" w:type="dxa"/>
              <w:left w:w="12" w:type="dxa"/>
              <w:right w:w="12" w:type="dxa"/>
            </w:tcMar>
            <w:vAlign w:val="center"/>
          </w:tcPr>
          <w:p w14:paraId="7F2086C6"/>
        </w:tc>
        <w:tc>
          <w:tcPr>
            <w:tcW w:w="1048" w:type="dxa"/>
            <w:vMerge w:val="continue"/>
            <w:tcMar>
              <w:top w:w="12" w:type="dxa"/>
              <w:left w:w="12" w:type="dxa"/>
              <w:right w:w="12" w:type="dxa"/>
            </w:tcMar>
            <w:vAlign w:val="center"/>
          </w:tcPr>
          <w:p w14:paraId="4570D18C"/>
        </w:tc>
        <w:tc>
          <w:tcPr>
            <w:tcW w:w="1600" w:type="dxa"/>
            <w:tcMar>
              <w:top w:w="12" w:type="dxa"/>
              <w:left w:w="12" w:type="dxa"/>
              <w:right w:w="12" w:type="dxa"/>
            </w:tcMar>
            <w:vAlign w:val="center"/>
          </w:tcPr>
          <w:p w14:paraId="47CC8F8E">
            <w:r>
              <w:rPr>
                <w:rFonts w:hint="eastAsia"/>
              </w:rPr>
              <w:t>资金使用合规性（3分）</w:t>
            </w:r>
          </w:p>
        </w:tc>
        <w:tc>
          <w:tcPr>
            <w:tcW w:w="2294" w:type="dxa"/>
            <w:tcMar>
              <w:top w:w="12" w:type="dxa"/>
              <w:left w:w="12" w:type="dxa"/>
              <w:right w:w="12" w:type="dxa"/>
            </w:tcMar>
            <w:vAlign w:val="center"/>
          </w:tcPr>
          <w:p w14:paraId="3D022E4C">
            <w:r>
              <w:rPr>
                <w:rFonts w:hint="eastAsia"/>
              </w:rPr>
              <w:t>项目资金使用是否符合相关的财务管理制度规定，用以反映和考核项目资金的规范运行情况。</w:t>
            </w:r>
          </w:p>
        </w:tc>
        <w:tc>
          <w:tcPr>
            <w:tcW w:w="3437" w:type="dxa"/>
            <w:tcMar>
              <w:top w:w="12" w:type="dxa"/>
              <w:left w:w="12" w:type="dxa"/>
              <w:right w:w="12" w:type="dxa"/>
            </w:tcMar>
            <w:vAlign w:val="center"/>
          </w:tcPr>
          <w:p w14:paraId="724958D5">
            <w:r>
              <w:rPr>
                <w:rFonts w:hint="eastAsia"/>
              </w:rPr>
              <w:t>是否符合国家财经法规和财务管理制度以及有关专项资金管理办法的规定;资金的拨付是否有完整的审批程序和手续;是否符合项目预算批复或合同规定的用途; 是否存在截留、挤占、挪用、虚列支出等情况。存在资金问题的，每个事件按情节轻重扣分、扣完为止。</w:t>
            </w:r>
          </w:p>
        </w:tc>
      </w:tr>
      <w:tr w14:paraId="59DEB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1" w:hRule="atLeast"/>
        </w:trPr>
        <w:tc>
          <w:tcPr>
            <w:tcW w:w="1000" w:type="dxa"/>
            <w:vMerge w:val="continue"/>
            <w:tcMar>
              <w:top w:w="12" w:type="dxa"/>
              <w:left w:w="12" w:type="dxa"/>
              <w:right w:w="12" w:type="dxa"/>
            </w:tcMar>
            <w:vAlign w:val="center"/>
          </w:tcPr>
          <w:p w14:paraId="4DA5AB39"/>
        </w:tc>
        <w:tc>
          <w:tcPr>
            <w:tcW w:w="1048" w:type="dxa"/>
            <w:vMerge w:val="restart"/>
            <w:tcMar>
              <w:top w:w="12" w:type="dxa"/>
              <w:left w:w="12" w:type="dxa"/>
              <w:right w:w="12" w:type="dxa"/>
            </w:tcMar>
            <w:vAlign w:val="center"/>
          </w:tcPr>
          <w:p w14:paraId="52A56775">
            <w:r>
              <w:rPr>
                <w:rFonts w:hint="eastAsia"/>
              </w:rPr>
              <w:t>组织实施（7分）</w:t>
            </w:r>
          </w:p>
        </w:tc>
        <w:tc>
          <w:tcPr>
            <w:tcW w:w="1600" w:type="dxa"/>
            <w:vMerge w:val="restart"/>
            <w:tcMar>
              <w:top w:w="12" w:type="dxa"/>
              <w:left w:w="12" w:type="dxa"/>
              <w:right w:w="12" w:type="dxa"/>
            </w:tcMar>
            <w:vAlign w:val="center"/>
          </w:tcPr>
          <w:p w14:paraId="5EA52EBE">
            <w:r>
              <w:rPr>
                <w:rFonts w:hint="eastAsia"/>
              </w:rPr>
              <w:t>制度健全（4分）</w:t>
            </w:r>
          </w:p>
        </w:tc>
        <w:tc>
          <w:tcPr>
            <w:tcW w:w="2294" w:type="dxa"/>
            <w:tcMar>
              <w:top w:w="12" w:type="dxa"/>
              <w:left w:w="12" w:type="dxa"/>
              <w:right w:w="12" w:type="dxa"/>
            </w:tcMar>
            <w:vAlign w:val="center"/>
          </w:tcPr>
          <w:p w14:paraId="2C4FD2DE">
            <w:r>
              <w:rPr>
                <w:rFonts w:hint="eastAsia"/>
              </w:rPr>
              <w:t>项目实施单位的财务管理制度是否健全，用以反映和考核财务管理制度对项目顺利实施的保障情况。</w:t>
            </w:r>
          </w:p>
        </w:tc>
        <w:tc>
          <w:tcPr>
            <w:tcW w:w="3437" w:type="dxa"/>
            <w:tcMar>
              <w:top w:w="12" w:type="dxa"/>
              <w:left w:w="12" w:type="dxa"/>
              <w:right w:w="12" w:type="dxa"/>
            </w:tcMar>
            <w:vAlign w:val="center"/>
          </w:tcPr>
          <w:p w14:paraId="17FA63D3">
            <w:r>
              <w:rPr>
                <w:rFonts w:hint="eastAsia"/>
              </w:rPr>
              <w:t>是否已制定或具有相应的财务管理制度；财务管理制度是否合法、合规、完整。根据符合情况打分，一项不符扣0.5分，扣完为止。</w:t>
            </w:r>
          </w:p>
        </w:tc>
      </w:tr>
      <w:tr w14:paraId="07228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000" w:type="dxa"/>
            <w:vMerge w:val="continue"/>
            <w:tcMar>
              <w:top w:w="12" w:type="dxa"/>
              <w:left w:w="12" w:type="dxa"/>
              <w:right w:w="12" w:type="dxa"/>
            </w:tcMar>
            <w:vAlign w:val="center"/>
          </w:tcPr>
          <w:p w14:paraId="72ED9ACD"/>
        </w:tc>
        <w:tc>
          <w:tcPr>
            <w:tcW w:w="1048" w:type="dxa"/>
            <w:vMerge w:val="continue"/>
            <w:tcMar>
              <w:top w:w="12" w:type="dxa"/>
              <w:left w:w="12" w:type="dxa"/>
              <w:right w:w="12" w:type="dxa"/>
            </w:tcMar>
            <w:vAlign w:val="center"/>
          </w:tcPr>
          <w:p w14:paraId="269681A3"/>
        </w:tc>
        <w:tc>
          <w:tcPr>
            <w:tcW w:w="1600" w:type="dxa"/>
            <w:vMerge w:val="continue"/>
            <w:tcMar>
              <w:top w:w="12" w:type="dxa"/>
              <w:left w:w="12" w:type="dxa"/>
              <w:right w:w="12" w:type="dxa"/>
            </w:tcMar>
            <w:vAlign w:val="center"/>
          </w:tcPr>
          <w:p w14:paraId="41D6764D"/>
        </w:tc>
        <w:tc>
          <w:tcPr>
            <w:tcW w:w="2294" w:type="dxa"/>
            <w:tcMar>
              <w:top w:w="12" w:type="dxa"/>
              <w:left w:w="12" w:type="dxa"/>
              <w:right w:w="12" w:type="dxa"/>
            </w:tcMar>
            <w:vAlign w:val="center"/>
          </w:tcPr>
          <w:p w14:paraId="29AD5D93">
            <w:r>
              <w:rPr>
                <w:rFonts w:hint="eastAsia"/>
              </w:rPr>
              <w:t>项目实施单位的业务管理制度是否健全，用以反映和考核业务管理制度对项目顺利实施的保障情况。</w:t>
            </w:r>
          </w:p>
        </w:tc>
        <w:tc>
          <w:tcPr>
            <w:tcW w:w="3437" w:type="dxa"/>
            <w:tcMar>
              <w:top w:w="12" w:type="dxa"/>
              <w:left w:w="12" w:type="dxa"/>
              <w:right w:w="12" w:type="dxa"/>
            </w:tcMar>
            <w:vAlign w:val="center"/>
          </w:tcPr>
          <w:p w14:paraId="41CB20FF">
            <w:r>
              <w:rPr>
                <w:rFonts w:hint="eastAsia"/>
              </w:rPr>
              <w:t>是否已制定或具有相应的业务管理制度；业务管理制度是否合法、合规、完整。根据符合情况打分，一项不符扣0.5分，扣完为止。</w:t>
            </w:r>
          </w:p>
        </w:tc>
      </w:tr>
      <w:tr w14:paraId="2D926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3" w:hRule="atLeast"/>
        </w:trPr>
        <w:tc>
          <w:tcPr>
            <w:tcW w:w="1000" w:type="dxa"/>
            <w:vMerge w:val="continue"/>
            <w:tcMar>
              <w:top w:w="12" w:type="dxa"/>
              <w:left w:w="12" w:type="dxa"/>
              <w:right w:w="12" w:type="dxa"/>
            </w:tcMar>
            <w:vAlign w:val="center"/>
          </w:tcPr>
          <w:p w14:paraId="177CD8A1"/>
        </w:tc>
        <w:tc>
          <w:tcPr>
            <w:tcW w:w="1048" w:type="dxa"/>
            <w:vMerge w:val="continue"/>
            <w:tcMar>
              <w:top w:w="12" w:type="dxa"/>
              <w:left w:w="12" w:type="dxa"/>
              <w:right w:w="12" w:type="dxa"/>
            </w:tcMar>
            <w:vAlign w:val="center"/>
          </w:tcPr>
          <w:p w14:paraId="69E65993"/>
        </w:tc>
        <w:tc>
          <w:tcPr>
            <w:tcW w:w="1600" w:type="dxa"/>
            <w:tcMar>
              <w:top w:w="12" w:type="dxa"/>
              <w:left w:w="12" w:type="dxa"/>
              <w:right w:w="12" w:type="dxa"/>
            </w:tcMar>
            <w:vAlign w:val="center"/>
          </w:tcPr>
          <w:p w14:paraId="658CFBD2">
            <w:r>
              <w:rPr>
                <w:rFonts w:hint="eastAsia"/>
              </w:rPr>
              <w:t>制度执行时有效性（3分）</w:t>
            </w:r>
          </w:p>
        </w:tc>
        <w:tc>
          <w:tcPr>
            <w:tcW w:w="2294" w:type="dxa"/>
            <w:tcMar>
              <w:top w:w="12" w:type="dxa"/>
              <w:left w:w="12" w:type="dxa"/>
              <w:right w:w="12" w:type="dxa"/>
            </w:tcMar>
            <w:vAlign w:val="center"/>
          </w:tcPr>
          <w:p w14:paraId="7EF978FE">
            <w:r>
              <w:rPr>
                <w:rFonts w:hint="eastAsia"/>
              </w:rPr>
              <w:t>项目实施是否符合相关管理规定，用以反映和考核相关管理制度的有效执行情况。</w:t>
            </w:r>
          </w:p>
        </w:tc>
        <w:tc>
          <w:tcPr>
            <w:tcW w:w="3437" w:type="dxa"/>
            <w:tcMar>
              <w:top w:w="12" w:type="dxa"/>
              <w:left w:w="12" w:type="dxa"/>
              <w:right w:w="12" w:type="dxa"/>
            </w:tcMar>
            <w:vAlign w:val="center"/>
          </w:tcPr>
          <w:p w14:paraId="5AB71CD0">
            <w:r>
              <w:rPr>
                <w:rFonts w:hint="eastAsia"/>
              </w:rPr>
              <w:t>是否遵守相关法律法规和相关管理规定；项目调整及支出调正手续是否完备；项目合同书、验收报告、技术鉴定等资料是否齐全并及时归档；项目实施的人员条件、场地设备、信息支撑等是否落实到位。根据符合情况打分，一项不符扣0.5分，扣完为止。</w:t>
            </w:r>
          </w:p>
        </w:tc>
      </w:tr>
      <w:tr w14:paraId="3057D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1000" w:type="dxa"/>
            <w:vMerge w:val="restart"/>
            <w:tcMar>
              <w:top w:w="12" w:type="dxa"/>
              <w:left w:w="12" w:type="dxa"/>
              <w:right w:w="12" w:type="dxa"/>
            </w:tcMar>
            <w:vAlign w:val="center"/>
          </w:tcPr>
          <w:p w14:paraId="4DA5FFBF">
            <w:r>
              <w:rPr>
                <w:rFonts w:hint="eastAsia"/>
              </w:rPr>
              <w:t>项目绩效（62分）</w:t>
            </w:r>
          </w:p>
        </w:tc>
        <w:tc>
          <w:tcPr>
            <w:tcW w:w="1048" w:type="dxa"/>
            <w:vMerge w:val="restart"/>
            <w:tcMar>
              <w:top w:w="12" w:type="dxa"/>
              <w:left w:w="12" w:type="dxa"/>
              <w:right w:w="12" w:type="dxa"/>
            </w:tcMar>
            <w:vAlign w:val="center"/>
          </w:tcPr>
          <w:p w14:paraId="3E2E494B">
            <w:r>
              <w:rPr>
                <w:rFonts w:hint="eastAsia"/>
              </w:rPr>
              <w:t>项目产出（33分）</w:t>
            </w:r>
          </w:p>
        </w:tc>
        <w:tc>
          <w:tcPr>
            <w:tcW w:w="1600" w:type="dxa"/>
            <w:vMerge w:val="restart"/>
            <w:tcMar>
              <w:top w:w="12" w:type="dxa"/>
              <w:left w:w="12" w:type="dxa"/>
              <w:right w:w="12" w:type="dxa"/>
            </w:tcMar>
            <w:vAlign w:val="center"/>
          </w:tcPr>
          <w:p w14:paraId="79F4E0D6">
            <w:r>
              <w:rPr>
                <w:rFonts w:hint="eastAsia"/>
              </w:rPr>
              <w:t>产出数量（13分）</w:t>
            </w:r>
          </w:p>
        </w:tc>
        <w:tc>
          <w:tcPr>
            <w:tcW w:w="2294" w:type="dxa"/>
            <w:tcMar>
              <w:top w:w="12" w:type="dxa"/>
              <w:left w:w="12" w:type="dxa"/>
              <w:right w:w="12" w:type="dxa"/>
            </w:tcMar>
            <w:vAlign w:val="center"/>
          </w:tcPr>
          <w:p w14:paraId="12800DC4">
            <w:r>
              <w:rPr>
                <w:rFonts w:hint="eastAsia"/>
              </w:rPr>
              <w:t>考核项目建设内容是否按项目实施方案的批复建设。</w:t>
            </w:r>
          </w:p>
        </w:tc>
        <w:tc>
          <w:tcPr>
            <w:tcW w:w="3437" w:type="dxa"/>
            <w:tcMar>
              <w:top w:w="12" w:type="dxa"/>
              <w:left w:w="12" w:type="dxa"/>
              <w:right w:w="12" w:type="dxa"/>
            </w:tcMar>
            <w:vAlign w:val="center"/>
          </w:tcPr>
          <w:p w14:paraId="6E794630">
            <w:r>
              <w:rPr>
                <w:rFonts w:hint="eastAsia"/>
              </w:rPr>
              <w:t>建设内容与2020年工作计划一致，得4分；达到90%，得3分；每少10个百分点扣1分，扣完为止。</w:t>
            </w:r>
          </w:p>
        </w:tc>
      </w:tr>
      <w:tr w14:paraId="5F001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2" w:hRule="atLeast"/>
        </w:trPr>
        <w:tc>
          <w:tcPr>
            <w:tcW w:w="1000" w:type="dxa"/>
            <w:vMerge w:val="continue"/>
            <w:tcMar>
              <w:top w:w="12" w:type="dxa"/>
              <w:left w:w="12" w:type="dxa"/>
              <w:right w:w="12" w:type="dxa"/>
            </w:tcMar>
            <w:vAlign w:val="center"/>
          </w:tcPr>
          <w:p w14:paraId="06D0C036"/>
        </w:tc>
        <w:tc>
          <w:tcPr>
            <w:tcW w:w="1048" w:type="dxa"/>
            <w:vMerge w:val="continue"/>
            <w:tcMar>
              <w:top w:w="12" w:type="dxa"/>
              <w:left w:w="12" w:type="dxa"/>
              <w:right w:w="12" w:type="dxa"/>
            </w:tcMar>
            <w:vAlign w:val="center"/>
          </w:tcPr>
          <w:p w14:paraId="11BA2152"/>
        </w:tc>
        <w:tc>
          <w:tcPr>
            <w:tcW w:w="1600" w:type="dxa"/>
            <w:vMerge w:val="continue"/>
            <w:tcMar>
              <w:top w:w="12" w:type="dxa"/>
              <w:left w:w="12" w:type="dxa"/>
              <w:right w:w="12" w:type="dxa"/>
            </w:tcMar>
            <w:vAlign w:val="center"/>
          </w:tcPr>
          <w:p w14:paraId="11EB3930"/>
        </w:tc>
        <w:tc>
          <w:tcPr>
            <w:tcW w:w="2294" w:type="dxa"/>
            <w:tcMar>
              <w:top w:w="12" w:type="dxa"/>
              <w:left w:w="12" w:type="dxa"/>
              <w:right w:w="12" w:type="dxa"/>
            </w:tcMar>
            <w:vAlign w:val="center"/>
          </w:tcPr>
          <w:p w14:paraId="52144755">
            <w:r>
              <w:rPr>
                <w:rFonts w:hint="eastAsia"/>
              </w:rPr>
              <w:t>考核项目对防洪设施的管理维护情况（堤防维修养护长度）。</w:t>
            </w:r>
          </w:p>
        </w:tc>
        <w:tc>
          <w:tcPr>
            <w:tcW w:w="3437" w:type="dxa"/>
            <w:tcMar>
              <w:top w:w="12" w:type="dxa"/>
              <w:left w:w="12" w:type="dxa"/>
              <w:right w:w="12" w:type="dxa"/>
            </w:tcMar>
            <w:vAlign w:val="center"/>
          </w:tcPr>
          <w:p w14:paraId="7F4F428D">
            <w:r>
              <w:rPr>
                <w:rFonts w:hint="eastAsia"/>
              </w:rPr>
              <w:t>达到或超过目标值得3分，每减少百分之10%扣0.5分，扣完为止。</w:t>
            </w:r>
          </w:p>
        </w:tc>
      </w:tr>
      <w:tr w14:paraId="24C16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2" w:hRule="atLeast"/>
        </w:trPr>
        <w:tc>
          <w:tcPr>
            <w:tcW w:w="1000" w:type="dxa"/>
            <w:vMerge w:val="continue"/>
            <w:tcMar>
              <w:top w:w="12" w:type="dxa"/>
              <w:left w:w="12" w:type="dxa"/>
              <w:right w:w="12" w:type="dxa"/>
            </w:tcMar>
            <w:vAlign w:val="center"/>
          </w:tcPr>
          <w:p w14:paraId="1088EB8E"/>
        </w:tc>
        <w:tc>
          <w:tcPr>
            <w:tcW w:w="1048" w:type="dxa"/>
            <w:vMerge w:val="continue"/>
            <w:tcMar>
              <w:top w:w="12" w:type="dxa"/>
              <w:left w:w="12" w:type="dxa"/>
              <w:right w:w="12" w:type="dxa"/>
            </w:tcMar>
            <w:vAlign w:val="center"/>
          </w:tcPr>
          <w:p w14:paraId="79389F35"/>
        </w:tc>
        <w:tc>
          <w:tcPr>
            <w:tcW w:w="1600" w:type="dxa"/>
            <w:vMerge w:val="continue"/>
            <w:tcMar>
              <w:top w:w="12" w:type="dxa"/>
              <w:left w:w="12" w:type="dxa"/>
              <w:right w:w="12" w:type="dxa"/>
            </w:tcMar>
            <w:vAlign w:val="center"/>
          </w:tcPr>
          <w:p w14:paraId="1595D71A"/>
        </w:tc>
        <w:tc>
          <w:tcPr>
            <w:tcW w:w="2294" w:type="dxa"/>
            <w:tcMar>
              <w:top w:w="12" w:type="dxa"/>
              <w:left w:w="12" w:type="dxa"/>
              <w:right w:w="12" w:type="dxa"/>
            </w:tcMar>
            <w:vAlign w:val="center"/>
          </w:tcPr>
          <w:p w14:paraId="56D17CB7">
            <w:r>
              <w:rPr>
                <w:rFonts w:hint="eastAsia"/>
              </w:rPr>
              <w:t>考核项目对除险后检查加固情况。</w:t>
            </w:r>
          </w:p>
        </w:tc>
        <w:tc>
          <w:tcPr>
            <w:tcW w:w="3437" w:type="dxa"/>
            <w:tcMar>
              <w:top w:w="12" w:type="dxa"/>
              <w:left w:w="12" w:type="dxa"/>
              <w:right w:w="12" w:type="dxa"/>
            </w:tcMar>
            <w:vAlign w:val="center"/>
          </w:tcPr>
          <w:p w14:paraId="431BE19D">
            <w:r>
              <w:rPr>
                <w:rFonts w:hint="eastAsia"/>
              </w:rPr>
              <w:t>达到或超过目标值得3分，每减少百分之10%扣0.5分，扣完为止。</w:t>
            </w:r>
          </w:p>
        </w:tc>
      </w:tr>
      <w:tr w14:paraId="77866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2" w:hRule="atLeast"/>
        </w:trPr>
        <w:tc>
          <w:tcPr>
            <w:tcW w:w="1000" w:type="dxa"/>
            <w:vMerge w:val="continue"/>
            <w:tcMar>
              <w:top w:w="12" w:type="dxa"/>
              <w:left w:w="12" w:type="dxa"/>
              <w:right w:w="12" w:type="dxa"/>
            </w:tcMar>
            <w:vAlign w:val="center"/>
          </w:tcPr>
          <w:p w14:paraId="41DB094B"/>
        </w:tc>
        <w:tc>
          <w:tcPr>
            <w:tcW w:w="1048" w:type="dxa"/>
            <w:vMerge w:val="continue"/>
            <w:tcMar>
              <w:top w:w="12" w:type="dxa"/>
              <w:left w:w="12" w:type="dxa"/>
              <w:right w:w="12" w:type="dxa"/>
            </w:tcMar>
            <w:vAlign w:val="center"/>
          </w:tcPr>
          <w:p w14:paraId="247A5E19"/>
        </w:tc>
        <w:tc>
          <w:tcPr>
            <w:tcW w:w="1600" w:type="dxa"/>
            <w:vMerge w:val="continue"/>
            <w:tcMar>
              <w:top w:w="12" w:type="dxa"/>
              <w:left w:w="12" w:type="dxa"/>
              <w:right w:w="12" w:type="dxa"/>
            </w:tcMar>
            <w:vAlign w:val="center"/>
          </w:tcPr>
          <w:p w14:paraId="7920F4E1"/>
        </w:tc>
        <w:tc>
          <w:tcPr>
            <w:tcW w:w="2294" w:type="dxa"/>
            <w:tcMar>
              <w:top w:w="12" w:type="dxa"/>
              <w:left w:w="12" w:type="dxa"/>
              <w:right w:w="12" w:type="dxa"/>
            </w:tcMar>
            <w:vAlign w:val="center"/>
          </w:tcPr>
          <w:p w14:paraId="14D1CF33">
            <w:r>
              <w:rPr>
                <w:rFonts w:hint="eastAsia"/>
              </w:rPr>
              <w:t>堤防巡查次数。</w:t>
            </w:r>
          </w:p>
        </w:tc>
        <w:tc>
          <w:tcPr>
            <w:tcW w:w="3437" w:type="dxa"/>
            <w:tcMar>
              <w:top w:w="12" w:type="dxa"/>
              <w:left w:w="12" w:type="dxa"/>
              <w:right w:w="12" w:type="dxa"/>
            </w:tcMar>
            <w:vAlign w:val="center"/>
          </w:tcPr>
          <w:p w14:paraId="2860F0BE">
            <w:r>
              <w:rPr>
                <w:rFonts w:hint="eastAsia"/>
              </w:rPr>
              <w:t>满分3分。每季度巡查频次≤8次＞5次的扣0.5分，每季度巡查频次≤4次＞2的扣1分，每季度巡查频次≤1次的不得分。</w:t>
            </w:r>
          </w:p>
        </w:tc>
      </w:tr>
      <w:tr w14:paraId="69840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1000" w:type="dxa"/>
            <w:vMerge w:val="continue"/>
            <w:tcMar>
              <w:top w:w="12" w:type="dxa"/>
              <w:left w:w="12" w:type="dxa"/>
              <w:right w:w="12" w:type="dxa"/>
            </w:tcMar>
            <w:vAlign w:val="center"/>
          </w:tcPr>
          <w:p w14:paraId="3FD535F1"/>
        </w:tc>
        <w:tc>
          <w:tcPr>
            <w:tcW w:w="1048" w:type="dxa"/>
            <w:vMerge w:val="continue"/>
            <w:tcMar>
              <w:top w:w="12" w:type="dxa"/>
              <w:left w:w="12" w:type="dxa"/>
              <w:right w:w="12" w:type="dxa"/>
            </w:tcMar>
            <w:vAlign w:val="center"/>
          </w:tcPr>
          <w:p w14:paraId="7ADD66DB"/>
        </w:tc>
        <w:tc>
          <w:tcPr>
            <w:tcW w:w="1600" w:type="dxa"/>
            <w:vMerge w:val="restart"/>
            <w:tcMar>
              <w:top w:w="12" w:type="dxa"/>
              <w:left w:w="12" w:type="dxa"/>
              <w:right w:w="12" w:type="dxa"/>
            </w:tcMar>
            <w:vAlign w:val="center"/>
          </w:tcPr>
          <w:p w14:paraId="7E5CD436">
            <w:r>
              <w:rPr>
                <w:rFonts w:hint="eastAsia"/>
              </w:rPr>
              <w:t>产出质量（10分）</w:t>
            </w:r>
          </w:p>
        </w:tc>
        <w:tc>
          <w:tcPr>
            <w:tcW w:w="2294" w:type="dxa"/>
            <w:tcMar>
              <w:top w:w="12" w:type="dxa"/>
              <w:left w:w="12" w:type="dxa"/>
              <w:right w:w="12" w:type="dxa"/>
            </w:tcMar>
            <w:vAlign w:val="center"/>
          </w:tcPr>
          <w:p w14:paraId="25A35620">
            <w:r>
              <w:rPr>
                <w:rFonts w:hint="eastAsia"/>
              </w:rPr>
              <w:t>考核项目建设内容验收质量是否合格。</w:t>
            </w:r>
          </w:p>
        </w:tc>
        <w:tc>
          <w:tcPr>
            <w:tcW w:w="3437" w:type="dxa"/>
            <w:tcMar>
              <w:top w:w="12" w:type="dxa"/>
              <w:left w:w="12" w:type="dxa"/>
              <w:right w:w="12" w:type="dxa"/>
            </w:tcMar>
            <w:vAlign w:val="center"/>
          </w:tcPr>
          <w:p w14:paraId="3FF8BCEE">
            <w:r>
              <w:rPr>
                <w:rFonts w:hint="eastAsia"/>
              </w:rPr>
              <w:t>按实际质量达标比例得分，质量合格率达到90%及以上得4分，未达到的每减少10%扣0.5分。</w:t>
            </w:r>
          </w:p>
        </w:tc>
      </w:tr>
      <w:tr w14:paraId="2EEFD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1000" w:type="dxa"/>
            <w:vMerge w:val="continue"/>
            <w:tcMar>
              <w:top w:w="12" w:type="dxa"/>
              <w:left w:w="12" w:type="dxa"/>
              <w:right w:w="12" w:type="dxa"/>
            </w:tcMar>
            <w:vAlign w:val="center"/>
          </w:tcPr>
          <w:p w14:paraId="69265E30"/>
        </w:tc>
        <w:tc>
          <w:tcPr>
            <w:tcW w:w="1048" w:type="dxa"/>
            <w:vMerge w:val="continue"/>
            <w:tcMar>
              <w:top w:w="12" w:type="dxa"/>
              <w:left w:w="12" w:type="dxa"/>
              <w:right w:w="12" w:type="dxa"/>
            </w:tcMar>
            <w:vAlign w:val="center"/>
          </w:tcPr>
          <w:p w14:paraId="4DB108D9"/>
        </w:tc>
        <w:tc>
          <w:tcPr>
            <w:tcW w:w="1600" w:type="dxa"/>
            <w:vMerge w:val="continue"/>
            <w:tcMar>
              <w:top w:w="12" w:type="dxa"/>
              <w:left w:w="12" w:type="dxa"/>
              <w:right w:w="12" w:type="dxa"/>
            </w:tcMar>
            <w:vAlign w:val="center"/>
          </w:tcPr>
          <w:p w14:paraId="62B34B32"/>
        </w:tc>
        <w:tc>
          <w:tcPr>
            <w:tcW w:w="2294" w:type="dxa"/>
            <w:tcMar>
              <w:top w:w="12" w:type="dxa"/>
              <w:left w:w="12" w:type="dxa"/>
              <w:right w:w="12" w:type="dxa"/>
            </w:tcMar>
            <w:vAlign w:val="center"/>
          </w:tcPr>
          <w:p w14:paraId="7D47D8B8">
            <w:r>
              <w:rPr>
                <w:rFonts w:hint="eastAsia"/>
              </w:rPr>
              <w:t>项目及时经审计部门进行工程竣工结算审计。</w:t>
            </w:r>
          </w:p>
        </w:tc>
        <w:tc>
          <w:tcPr>
            <w:tcW w:w="3437" w:type="dxa"/>
            <w:tcMar>
              <w:top w:w="12" w:type="dxa"/>
              <w:left w:w="12" w:type="dxa"/>
              <w:right w:w="12" w:type="dxa"/>
            </w:tcMar>
            <w:vAlign w:val="center"/>
          </w:tcPr>
          <w:p w14:paraId="63AD64C0">
            <w:r>
              <w:rPr>
                <w:rFonts w:hint="eastAsia"/>
              </w:rPr>
              <w:t>全部项目均经审计，得3分，每1个项目未经审计扣0.5分，扣完为止。</w:t>
            </w:r>
          </w:p>
        </w:tc>
      </w:tr>
      <w:tr w14:paraId="5EB46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1000" w:type="dxa"/>
            <w:vMerge w:val="continue"/>
            <w:tcMar>
              <w:top w:w="12" w:type="dxa"/>
              <w:left w:w="12" w:type="dxa"/>
              <w:right w:w="12" w:type="dxa"/>
            </w:tcMar>
            <w:vAlign w:val="center"/>
          </w:tcPr>
          <w:p w14:paraId="2A1B4737"/>
        </w:tc>
        <w:tc>
          <w:tcPr>
            <w:tcW w:w="1048" w:type="dxa"/>
            <w:vMerge w:val="continue"/>
            <w:tcMar>
              <w:top w:w="12" w:type="dxa"/>
              <w:left w:w="12" w:type="dxa"/>
              <w:right w:w="12" w:type="dxa"/>
            </w:tcMar>
            <w:vAlign w:val="center"/>
          </w:tcPr>
          <w:p w14:paraId="4769D568"/>
        </w:tc>
        <w:tc>
          <w:tcPr>
            <w:tcW w:w="1600" w:type="dxa"/>
            <w:vMerge w:val="continue"/>
            <w:tcMar>
              <w:top w:w="12" w:type="dxa"/>
              <w:left w:w="12" w:type="dxa"/>
              <w:right w:w="12" w:type="dxa"/>
            </w:tcMar>
            <w:vAlign w:val="center"/>
          </w:tcPr>
          <w:p w14:paraId="05B80BB5"/>
        </w:tc>
        <w:tc>
          <w:tcPr>
            <w:tcW w:w="2294" w:type="dxa"/>
            <w:tcMar>
              <w:top w:w="12" w:type="dxa"/>
              <w:left w:w="12" w:type="dxa"/>
              <w:right w:w="12" w:type="dxa"/>
            </w:tcMar>
            <w:vAlign w:val="center"/>
          </w:tcPr>
          <w:p w14:paraId="28FE0486">
            <w:r>
              <w:rPr>
                <w:rFonts w:hint="eastAsia"/>
              </w:rPr>
              <w:t>安全生产宣传活动按要求普及完成率。</w:t>
            </w:r>
          </w:p>
        </w:tc>
        <w:tc>
          <w:tcPr>
            <w:tcW w:w="3437" w:type="dxa"/>
            <w:tcMar>
              <w:top w:w="12" w:type="dxa"/>
              <w:left w:w="12" w:type="dxa"/>
              <w:right w:w="12" w:type="dxa"/>
            </w:tcMar>
            <w:vAlign w:val="center"/>
          </w:tcPr>
          <w:p w14:paraId="4B9AEA72">
            <w:r>
              <w:rPr>
                <w:rFonts w:hint="eastAsia"/>
              </w:rPr>
              <w:t>总分3分。全年无进行安全生产宣传活动的扣3分，普及完成率&gt;70%且&lt;90%扣1分、普及完成率&gt;0且&lt;70%扣2分。</w:t>
            </w:r>
          </w:p>
        </w:tc>
      </w:tr>
      <w:tr w14:paraId="76822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1000" w:type="dxa"/>
            <w:vMerge w:val="continue"/>
            <w:tcMar>
              <w:top w:w="12" w:type="dxa"/>
              <w:left w:w="12" w:type="dxa"/>
              <w:right w:w="12" w:type="dxa"/>
            </w:tcMar>
            <w:vAlign w:val="center"/>
          </w:tcPr>
          <w:p w14:paraId="40C1EB3E"/>
        </w:tc>
        <w:tc>
          <w:tcPr>
            <w:tcW w:w="1048" w:type="dxa"/>
            <w:vMerge w:val="continue"/>
            <w:tcMar>
              <w:top w:w="12" w:type="dxa"/>
              <w:left w:w="12" w:type="dxa"/>
              <w:right w:w="12" w:type="dxa"/>
            </w:tcMar>
            <w:vAlign w:val="center"/>
          </w:tcPr>
          <w:p w14:paraId="31958E21"/>
        </w:tc>
        <w:tc>
          <w:tcPr>
            <w:tcW w:w="1600" w:type="dxa"/>
            <w:tcMar>
              <w:top w:w="12" w:type="dxa"/>
              <w:left w:w="12" w:type="dxa"/>
              <w:right w:w="12" w:type="dxa"/>
            </w:tcMar>
            <w:vAlign w:val="center"/>
          </w:tcPr>
          <w:p w14:paraId="12188D55">
            <w:r>
              <w:rPr>
                <w:rFonts w:hint="eastAsia"/>
              </w:rPr>
              <w:t>产出时效（5分）</w:t>
            </w:r>
          </w:p>
        </w:tc>
        <w:tc>
          <w:tcPr>
            <w:tcW w:w="2294" w:type="dxa"/>
            <w:tcMar>
              <w:top w:w="12" w:type="dxa"/>
              <w:left w:w="12" w:type="dxa"/>
              <w:right w:w="12" w:type="dxa"/>
            </w:tcMar>
            <w:vAlign w:val="center"/>
          </w:tcPr>
          <w:p w14:paraId="27947FF3">
            <w:r>
              <w:rPr>
                <w:rFonts w:hint="eastAsia"/>
              </w:rPr>
              <w:t>考核项目是否按时完成。</w:t>
            </w:r>
          </w:p>
        </w:tc>
        <w:tc>
          <w:tcPr>
            <w:tcW w:w="3437" w:type="dxa"/>
            <w:tcMar>
              <w:top w:w="12" w:type="dxa"/>
              <w:left w:w="12" w:type="dxa"/>
              <w:right w:w="12" w:type="dxa"/>
            </w:tcMar>
            <w:vAlign w:val="center"/>
          </w:tcPr>
          <w:p w14:paraId="667307F3">
            <w:r>
              <w:rPr>
                <w:rFonts w:hint="eastAsia"/>
              </w:rPr>
              <w:t>按时完成，得5分；延迟低于半年，得3分；延迟低于1年，得2分；超过1年，得0分。</w:t>
            </w:r>
          </w:p>
        </w:tc>
      </w:tr>
      <w:tr w14:paraId="02AE4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 w:hRule="atLeast"/>
        </w:trPr>
        <w:tc>
          <w:tcPr>
            <w:tcW w:w="1000" w:type="dxa"/>
            <w:vMerge w:val="continue"/>
            <w:tcMar>
              <w:top w:w="12" w:type="dxa"/>
              <w:left w:w="12" w:type="dxa"/>
              <w:right w:w="12" w:type="dxa"/>
            </w:tcMar>
            <w:vAlign w:val="center"/>
          </w:tcPr>
          <w:p w14:paraId="5A0A48ED"/>
        </w:tc>
        <w:tc>
          <w:tcPr>
            <w:tcW w:w="1048" w:type="dxa"/>
            <w:vMerge w:val="continue"/>
            <w:tcMar>
              <w:top w:w="12" w:type="dxa"/>
              <w:left w:w="12" w:type="dxa"/>
              <w:right w:w="12" w:type="dxa"/>
            </w:tcMar>
            <w:vAlign w:val="center"/>
          </w:tcPr>
          <w:p w14:paraId="6EC66AEF"/>
        </w:tc>
        <w:tc>
          <w:tcPr>
            <w:tcW w:w="1600" w:type="dxa"/>
            <w:tcMar>
              <w:top w:w="12" w:type="dxa"/>
              <w:left w:w="12" w:type="dxa"/>
              <w:right w:w="12" w:type="dxa"/>
            </w:tcMar>
            <w:vAlign w:val="center"/>
          </w:tcPr>
          <w:p w14:paraId="64523200">
            <w:r>
              <w:rPr>
                <w:rFonts w:hint="eastAsia"/>
              </w:rPr>
              <w:t>产出成本（5分）</w:t>
            </w:r>
          </w:p>
        </w:tc>
        <w:tc>
          <w:tcPr>
            <w:tcW w:w="2294" w:type="dxa"/>
            <w:tcMar>
              <w:top w:w="12" w:type="dxa"/>
              <w:left w:w="12" w:type="dxa"/>
              <w:right w:w="12" w:type="dxa"/>
            </w:tcMar>
            <w:vAlign w:val="center"/>
          </w:tcPr>
          <w:p w14:paraId="1E56CA34">
            <w:r>
              <w:rPr>
                <w:rFonts w:hint="eastAsia"/>
              </w:rPr>
              <w:t>考核项目建设成本是否达到绩效目标。</w:t>
            </w:r>
          </w:p>
        </w:tc>
        <w:tc>
          <w:tcPr>
            <w:tcW w:w="3437" w:type="dxa"/>
            <w:tcMar>
              <w:top w:w="12" w:type="dxa"/>
              <w:left w:w="12" w:type="dxa"/>
              <w:right w:w="12" w:type="dxa"/>
            </w:tcMar>
            <w:vAlign w:val="center"/>
          </w:tcPr>
          <w:p w14:paraId="3F8777F5">
            <w:r>
              <w:rPr>
                <w:rFonts w:hint="eastAsia"/>
              </w:rPr>
              <w:t>按照项目建设成本与预算使用情况打分（计算方法：实际支出金额÷预算批复额*100%）超预算（100%）不得分，未超预算使用得5分。</w:t>
            </w:r>
          </w:p>
        </w:tc>
      </w:tr>
      <w:tr w14:paraId="2300C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5" w:hRule="atLeast"/>
        </w:trPr>
        <w:tc>
          <w:tcPr>
            <w:tcW w:w="1000" w:type="dxa"/>
            <w:vMerge w:val="continue"/>
            <w:tcMar>
              <w:top w:w="12" w:type="dxa"/>
              <w:left w:w="12" w:type="dxa"/>
              <w:right w:w="12" w:type="dxa"/>
            </w:tcMar>
            <w:vAlign w:val="center"/>
          </w:tcPr>
          <w:p w14:paraId="4A3ADC75"/>
        </w:tc>
        <w:tc>
          <w:tcPr>
            <w:tcW w:w="1048" w:type="dxa"/>
            <w:vMerge w:val="restart"/>
            <w:tcMar>
              <w:top w:w="12" w:type="dxa"/>
              <w:left w:w="12" w:type="dxa"/>
              <w:right w:w="12" w:type="dxa"/>
            </w:tcMar>
            <w:vAlign w:val="center"/>
          </w:tcPr>
          <w:p w14:paraId="4D928D73">
            <w:r>
              <w:rPr>
                <w:rFonts w:hint="eastAsia"/>
              </w:rPr>
              <w:t>项目效益(24分）</w:t>
            </w:r>
          </w:p>
        </w:tc>
        <w:tc>
          <w:tcPr>
            <w:tcW w:w="1600" w:type="dxa"/>
            <w:vMerge w:val="restart"/>
            <w:tcMar>
              <w:top w:w="12" w:type="dxa"/>
              <w:left w:w="12" w:type="dxa"/>
              <w:right w:w="12" w:type="dxa"/>
            </w:tcMar>
            <w:vAlign w:val="center"/>
          </w:tcPr>
          <w:p w14:paraId="5600C7C6">
            <w:r>
              <w:rPr>
                <w:rFonts w:hint="eastAsia"/>
              </w:rPr>
              <w:t>经济效益（6分）</w:t>
            </w:r>
          </w:p>
        </w:tc>
        <w:tc>
          <w:tcPr>
            <w:tcW w:w="2294" w:type="dxa"/>
            <w:tcMar>
              <w:top w:w="12" w:type="dxa"/>
              <w:left w:w="12" w:type="dxa"/>
              <w:right w:w="12" w:type="dxa"/>
            </w:tcMar>
            <w:vAlign w:val="center"/>
          </w:tcPr>
          <w:p w14:paraId="4DD0805A">
            <w:r>
              <w:rPr>
                <w:rFonts w:hint="eastAsia"/>
              </w:rPr>
              <w:t>挽回经济损失</w:t>
            </w:r>
          </w:p>
        </w:tc>
        <w:tc>
          <w:tcPr>
            <w:tcW w:w="3437" w:type="dxa"/>
            <w:tcMar>
              <w:top w:w="12" w:type="dxa"/>
              <w:left w:w="12" w:type="dxa"/>
              <w:right w:w="12" w:type="dxa"/>
            </w:tcMar>
            <w:vAlign w:val="center"/>
          </w:tcPr>
          <w:p w14:paraId="707A3067">
            <w:r>
              <w:rPr>
                <w:rFonts w:hint="eastAsia"/>
              </w:rPr>
              <w:t>按照完成情况综合评判，符合（3分）、基本符合（1.5分）、不符合（0分）。</w:t>
            </w:r>
          </w:p>
        </w:tc>
      </w:tr>
      <w:tr w14:paraId="5E71B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5" w:hRule="atLeast"/>
        </w:trPr>
        <w:tc>
          <w:tcPr>
            <w:tcW w:w="1000" w:type="dxa"/>
            <w:vMerge w:val="continue"/>
            <w:tcMar>
              <w:top w:w="12" w:type="dxa"/>
              <w:left w:w="12" w:type="dxa"/>
              <w:right w:w="12" w:type="dxa"/>
            </w:tcMar>
            <w:vAlign w:val="center"/>
          </w:tcPr>
          <w:p w14:paraId="72E81849"/>
        </w:tc>
        <w:tc>
          <w:tcPr>
            <w:tcW w:w="1048" w:type="dxa"/>
            <w:vMerge w:val="continue"/>
            <w:tcMar>
              <w:top w:w="12" w:type="dxa"/>
              <w:left w:w="12" w:type="dxa"/>
              <w:right w:w="12" w:type="dxa"/>
            </w:tcMar>
            <w:vAlign w:val="center"/>
          </w:tcPr>
          <w:p w14:paraId="5305EFD4"/>
        </w:tc>
        <w:tc>
          <w:tcPr>
            <w:tcW w:w="1600" w:type="dxa"/>
            <w:vMerge w:val="continue"/>
            <w:tcMar>
              <w:top w:w="12" w:type="dxa"/>
              <w:left w:w="12" w:type="dxa"/>
              <w:right w:w="12" w:type="dxa"/>
            </w:tcMar>
            <w:vAlign w:val="center"/>
          </w:tcPr>
          <w:p w14:paraId="7B56249C"/>
        </w:tc>
        <w:tc>
          <w:tcPr>
            <w:tcW w:w="2294" w:type="dxa"/>
            <w:tcMar>
              <w:top w:w="12" w:type="dxa"/>
              <w:left w:w="12" w:type="dxa"/>
              <w:right w:w="12" w:type="dxa"/>
            </w:tcMar>
            <w:vAlign w:val="center"/>
          </w:tcPr>
          <w:p w14:paraId="0AE5EF20">
            <w:r>
              <w:rPr>
                <w:rFonts w:hint="eastAsia"/>
              </w:rPr>
              <w:t>水安全保障能力</w:t>
            </w:r>
          </w:p>
        </w:tc>
        <w:tc>
          <w:tcPr>
            <w:tcW w:w="3437" w:type="dxa"/>
            <w:tcMar>
              <w:top w:w="12" w:type="dxa"/>
              <w:left w:w="12" w:type="dxa"/>
              <w:right w:w="12" w:type="dxa"/>
            </w:tcMar>
            <w:vAlign w:val="center"/>
          </w:tcPr>
          <w:p w14:paraId="08A29C93">
            <w:r>
              <w:rPr>
                <w:rFonts w:hint="eastAsia"/>
              </w:rPr>
              <w:t>按照完成情况综合评判，符合（3分）、基本符合（1.5分）、不符合（0分）。</w:t>
            </w:r>
          </w:p>
        </w:tc>
      </w:tr>
      <w:tr w14:paraId="1C834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1000" w:type="dxa"/>
            <w:vMerge w:val="continue"/>
            <w:tcMar>
              <w:top w:w="12" w:type="dxa"/>
              <w:left w:w="12" w:type="dxa"/>
              <w:right w:w="12" w:type="dxa"/>
            </w:tcMar>
            <w:vAlign w:val="center"/>
          </w:tcPr>
          <w:p w14:paraId="1904B908"/>
        </w:tc>
        <w:tc>
          <w:tcPr>
            <w:tcW w:w="1048" w:type="dxa"/>
            <w:vMerge w:val="continue"/>
            <w:tcMar>
              <w:top w:w="12" w:type="dxa"/>
              <w:left w:w="12" w:type="dxa"/>
              <w:right w:w="12" w:type="dxa"/>
            </w:tcMar>
            <w:vAlign w:val="center"/>
          </w:tcPr>
          <w:p w14:paraId="192B36DC"/>
        </w:tc>
        <w:tc>
          <w:tcPr>
            <w:tcW w:w="1600" w:type="dxa"/>
            <w:vMerge w:val="restart"/>
            <w:tcMar>
              <w:top w:w="12" w:type="dxa"/>
              <w:left w:w="12" w:type="dxa"/>
              <w:right w:w="12" w:type="dxa"/>
            </w:tcMar>
            <w:vAlign w:val="center"/>
          </w:tcPr>
          <w:p w14:paraId="694136C6">
            <w:r>
              <w:rPr>
                <w:rFonts w:hint="eastAsia"/>
              </w:rPr>
              <w:t>社会效益（6分）</w:t>
            </w:r>
          </w:p>
        </w:tc>
        <w:tc>
          <w:tcPr>
            <w:tcW w:w="2294" w:type="dxa"/>
            <w:tcMar>
              <w:top w:w="12" w:type="dxa"/>
              <w:left w:w="12" w:type="dxa"/>
              <w:right w:w="12" w:type="dxa"/>
            </w:tcMar>
            <w:vAlign w:val="center"/>
          </w:tcPr>
          <w:p w14:paraId="54E52E22">
            <w:r>
              <w:rPr>
                <w:rFonts w:hint="eastAsia"/>
              </w:rPr>
              <w:t>水景观自然保护情况</w:t>
            </w:r>
          </w:p>
        </w:tc>
        <w:tc>
          <w:tcPr>
            <w:tcW w:w="3437" w:type="dxa"/>
            <w:tcMar>
              <w:top w:w="12" w:type="dxa"/>
              <w:left w:w="12" w:type="dxa"/>
              <w:right w:w="12" w:type="dxa"/>
            </w:tcMar>
            <w:vAlign w:val="center"/>
          </w:tcPr>
          <w:p w14:paraId="700B257C">
            <w:r>
              <w:rPr>
                <w:rFonts w:hint="eastAsia"/>
              </w:rPr>
              <w:t>按照完成情况综合评判，优（3分）、良（1.5分）、中（1分）、差（0分）。</w:t>
            </w:r>
          </w:p>
        </w:tc>
      </w:tr>
      <w:tr w14:paraId="4CBEA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1000" w:type="dxa"/>
            <w:vMerge w:val="continue"/>
            <w:tcMar>
              <w:top w:w="12" w:type="dxa"/>
              <w:left w:w="12" w:type="dxa"/>
              <w:right w:w="12" w:type="dxa"/>
            </w:tcMar>
            <w:vAlign w:val="center"/>
          </w:tcPr>
          <w:p w14:paraId="36FE5CCD"/>
        </w:tc>
        <w:tc>
          <w:tcPr>
            <w:tcW w:w="1048" w:type="dxa"/>
            <w:vMerge w:val="continue"/>
            <w:tcMar>
              <w:top w:w="12" w:type="dxa"/>
              <w:left w:w="12" w:type="dxa"/>
              <w:right w:w="12" w:type="dxa"/>
            </w:tcMar>
            <w:vAlign w:val="center"/>
          </w:tcPr>
          <w:p w14:paraId="124EC1B4"/>
        </w:tc>
        <w:tc>
          <w:tcPr>
            <w:tcW w:w="1600" w:type="dxa"/>
            <w:vMerge w:val="continue"/>
            <w:tcMar>
              <w:top w:w="12" w:type="dxa"/>
              <w:left w:w="12" w:type="dxa"/>
              <w:right w:w="12" w:type="dxa"/>
            </w:tcMar>
            <w:vAlign w:val="center"/>
          </w:tcPr>
          <w:p w14:paraId="49C5858F"/>
        </w:tc>
        <w:tc>
          <w:tcPr>
            <w:tcW w:w="2294" w:type="dxa"/>
            <w:tcMar>
              <w:top w:w="12" w:type="dxa"/>
              <w:left w:w="12" w:type="dxa"/>
              <w:right w:w="12" w:type="dxa"/>
            </w:tcMar>
            <w:vAlign w:val="center"/>
          </w:tcPr>
          <w:p w14:paraId="3B2A86E2">
            <w:r>
              <w:rPr>
                <w:rFonts w:hint="eastAsia"/>
              </w:rPr>
              <w:t>工程运行故障发生次数</w:t>
            </w:r>
          </w:p>
        </w:tc>
        <w:tc>
          <w:tcPr>
            <w:tcW w:w="3437" w:type="dxa"/>
            <w:tcMar>
              <w:top w:w="12" w:type="dxa"/>
              <w:left w:w="12" w:type="dxa"/>
              <w:right w:w="12" w:type="dxa"/>
            </w:tcMar>
            <w:vAlign w:val="center"/>
          </w:tcPr>
          <w:p w14:paraId="27E61FBD">
            <w:r>
              <w:rPr>
                <w:rFonts w:hint="eastAsia"/>
              </w:rPr>
              <w:t>按照完成情况综合评判，符合（3分）、基本符合（1.5分）、不符合（0分）。</w:t>
            </w:r>
          </w:p>
        </w:tc>
      </w:tr>
      <w:tr w14:paraId="21509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1000" w:type="dxa"/>
            <w:vMerge w:val="continue"/>
            <w:tcMar>
              <w:top w:w="12" w:type="dxa"/>
              <w:left w:w="12" w:type="dxa"/>
              <w:right w:w="12" w:type="dxa"/>
            </w:tcMar>
            <w:vAlign w:val="center"/>
          </w:tcPr>
          <w:p w14:paraId="7A147B2B"/>
        </w:tc>
        <w:tc>
          <w:tcPr>
            <w:tcW w:w="1048" w:type="dxa"/>
            <w:vMerge w:val="continue"/>
            <w:tcMar>
              <w:top w:w="12" w:type="dxa"/>
              <w:left w:w="12" w:type="dxa"/>
              <w:right w:w="12" w:type="dxa"/>
            </w:tcMar>
            <w:vAlign w:val="center"/>
          </w:tcPr>
          <w:p w14:paraId="5348A370"/>
        </w:tc>
        <w:tc>
          <w:tcPr>
            <w:tcW w:w="1600" w:type="dxa"/>
            <w:vMerge w:val="restart"/>
            <w:tcMar>
              <w:top w:w="12" w:type="dxa"/>
              <w:left w:w="12" w:type="dxa"/>
              <w:right w:w="12" w:type="dxa"/>
            </w:tcMar>
            <w:vAlign w:val="center"/>
          </w:tcPr>
          <w:p w14:paraId="7F09564C">
            <w:r>
              <w:rPr>
                <w:rFonts w:hint="eastAsia"/>
              </w:rPr>
              <w:t>环境效益（6分）</w:t>
            </w:r>
          </w:p>
        </w:tc>
        <w:tc>
          <w:tcPr>
            <w:tcW w:w="2294" w:type="dxa"/>
            <w:tcMar>
              <w:top w:w="12" w:type="dxa"/>
              <w:left w:w="12" w:type="dxa"/>
              <w:right w:w="12" w:type="dxa"/>
            </w:tcMar>
            <w:vAlign w:val="center"/>
          </w:tcPr>
          <w:p w14:paraId="2B176DBA">
            <w:r>
              <w:rPr>
                <w:rFonts w:hint="eastAsia"/>
              </w:rPr>
              <w:t>水系统健康水平</w:t>
            </w:r>
          </w:p>
        </w:tc>
        <w:tc>
          <w:tcPr>
            <w:tcW w:w="3437" w:type="dxa"/>
            <w:tcMar>
              <w:top w:w="12" w:type="dxa"/>
              <w:left w:w="12" w:type="dxa"/>
              <w:right w:w="12" w:type="dxa"/>
            </w:tcMar>
            <w:vAlign w:val="center"/>
          </w:tcPr>
          <w:p w14:paraId="63441F8D">
            <w:r>
              <w:rPr>
                <w:rFonts w:hint="eastAsia"/>
              </w:rPr>
              <w:t>按照完成情况综合评判，符合（3分）、基本符合（1.5分）、不符合（0分）。</w:t>
            </w:r>
          </w:p>
        </w:tc>
      </w:tr>
      <w:tr w14:paraId="7067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1000" w:type="dxa"/>
            <w:vMerge w:val="continue"/>
            <w:tcMar>
              <w:top w:w="12" w:type="dxa"/>
              <w:left w:w="12" w:type="dxa"/>
              <w:right w:w="12" w:type="dxa"/>
            </w:tcMar>
            <w:vAlign w:val="center"/>
          </w:tcPr>
          <w:p w14:paraId="36066B76"/>
        </w:tc>
        <w:tc>
          <w:tcPr>
            <w:tcW w:w="1048" w:type="dxa"/>
            <w:vMerge w:val="continue"/>
            <w:tcMar>
              <w:top w:w="12" w:type="dxa"/>
              <w:left w:w="12" w:type="dxa"/>
              <w:right w:w="12" w:type="dxa"/>
            </w:tcMar>
            <w:vAlign w:val="center"/>
          </w:tcPr>
          <w:p w14:paraId="61DE245D"/>
        </w:tc>
        <w:tc>
          <w:tcPr>
            <w:tcW w:w="1600" w:type="dxa"/>
            <w:vMerge w:val="continue"/>
            <w:tcMar>
              <w:top w:w="12" w:type="dxa"/>
              <w:left w:w="12" w:type="dxa"/>
              <w:right w:w="12" w:type="dxa"/>
            </w:tcMar>
            <w:vAlign w:val="center"/>
          </w:tcPr>
          <w:p w14:paraId="20E47D6E"/>
        </w:tc>
        <w:tc>
          <w:tcPr>
            <w:tcW w:w="2294" w:type="dxa"/>
            <w:tcMar>
              <w:top w:w="12" w:type="dxa"/>
              <w:left w:w="12" w:type="dxa"/>
              <w:right w:w="12" w:type="dxa"/>
            </w:tcMar>
            <w:vAlign w:val="center"/>
          </w:tcPr>
          <w:p w14:paraId="50E9F517">
            <w:r>
              <w:rPr>
                <w:rFonts w:hint="eastAsia"/>
              </w:rPr>
              <w:t>媒体负面报道量</w:t>
            </w:r>
          </w:p>
        </w:tc>
        <w:tc>
          <w:tcPr>
            <w:tcW w:w="3437" w:type="dxa"/>
            <w:tcMar>
              <w:top w:w="12" w:type="dxa"/>
              <w:left w:w="12" w:type="dxa"/>
              <w:right w:w="12" w:type="dxa"/>
            </w:tcMar>
            <w:vAlign w:val="center"/>
          </w:tcPr>
          <w:p w14:paraId="24D1127B">
            <w:r>
              <w:rPr>
                <w:rFonts w:hint="eastAsia"/>
              </w:rPr>
              <w:t>按照完成情况综合评判，符合（3分）、基本符合（1.5分）、不符合（0分）。</w:t>
            </w:r>
          </w:p>
        </w:tc>
      </w:tr>
      <w:tr w14:paraId="3ED40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1000" w:type="dxa"/>
            <w:vMerge w:val="continue"/>
            <w:tcMar>
              <w:top w:w="12" w:type="dxa"/>
              <w:left w:w="12" w:type="dxa"/>
              <w:right w:w="12" w:type="dxa"/>
            </w:tcMar>
            <w:vAlign w:val="center"/>
          </w:tcPr>
          <w:p w14:paraId="32BC7183"/>
        </w:tc>
        <w:tc>
          <w:tcPr>
            <w:tcW w:w="1048" w:type="dxa"/>
            <w:vMerge w:val="continue"/>
            <w:tcMar>
              <w:top w:w="12" w:type="dxa"/>
              <w:left w:w="12" w:type="dxa"/>
              <w:right w:w="12" w:type="dxa"/>
            </w:tcMar>
            <w:vAlign w:val="center"/>
          </w:tcPr>
          <w:p w14:paraId="598A8479"/>
        </w:tc>
        <w:tc>
          <w:tcPr>
            <w:tcW w:w="1600" w:type="dxa"/>
            <w:vMerge w:val="restart"/>
            <w:tcMar>
              <w:top w:w="12" w:type="dxa"/>
              <w:left w:w="12" w:type="dxa"/>
              <w:right w:w="12" w:type="dxa"/>
            </w:tcMar>
            <w:vAlign w:val="center"/>
          </w:tcPr>
          <w:p w14:paraId="5F6CE093">
            <w:r>
              <w:rPr>
                <w:rFonts w:hint="eastAsia"/>
              </w:rPr>
              <w:t>可持续影响（6分）</w:t>
            </w:r>
          </w:p>
        </w:tc>
        <w:tc>
          <w:tcPr>
            <w:tcW w:w="2294" w:type="dxa"/>
            <w:tcMar>
              <w:top w:w="12" w:type="dxa"/>
              <w:left w:w="12" w:type="dxa"/>
              <w:right w:w="12" w:type="dxa"/>
            </w:tcMar>
            <w:vAlign w:val="center"/>
          </w:tcPr>
          <w:p w14:paraId="6C48D0D5">
            <w:r>
              <w:rPr>
                <w:rFonts w:hint="eastAsia"/>
              </w:rPr>
              <w:t>水资源质量保障水平</w:t>
            </w:r>
          </w:p>
        </w:tc>
        <w:tc>
          <w:tcPr>
            <w:tcW w:w="3437" w:type="dxa"/>
            <w:tcMar>
              <w:top w:w="12" w:type="dxa"/>
              <w:left w:w="12" w:type="dxa"/>
              <w:right w:w="12" w:type="dxa"/>
            </w:tcMar>
            <w:vAlign w:val="center"/>
          </w:tcPr>
          <w:p w14:paraId="637A9F0D">
            <w:r>
              <w:rPr>
                <w:rFonts w:hint="eastAsia"/>
              </w:rPr>
              <w:t>按照完成情况综合评判，符合（3分）、基本符合（1.5分）、不符合（0分）。</w:t>
            </w:r>
          </w:p>
        </w:tc>
      </w:tr>
      <w:tr w14:paraId="254AF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1000" w:type="dxa"/>
            <w:vMerge w:val="continue"/>
            <w:tcMar>
              <w:top w:w="12" w:type="dxa"/>
              <w:left w:w="12" w:type="dxa"/>
              <w:right w:w="12" w:type="dxa"/>
            </w:tcMar>
            <w:vAlign w:val="center"/>
          </w:tcPr>
          <w:p w14:paraId="5CD7CBAE"/>
        </w:tc>
        <w:tc>
          <w:tcPr>
            <w:tcW w:w="1048" w:type="dxa"/>
            <w:vMerge w:val="continue"/>
            <w:tcMar>
              <w:top w:w="12" w:type="dxa"/>
              <w:left w:w="12" w:type="dxa"/>
              <w:right w:w="12" w:type="dxa"/>
            </w:tcMar>
            <w:vAlign w:val="center"/>
          </w:tcPr>
          <w:p w14:paraId="523F9DA8"/>
        </w:tc>
        <w:tc>
          <w:tcPr>
            <w:tcW w:w="1600" w:type="dxa"/>
            <w:vMerge w:val="continue"/>
            <w:tcMar>
              <w:top w:w="12" w:type="dxa"/>
              <w:left w:w="12" w:type="dxa"/>
              <w:right w:w="12" w:type="dxa"/>
            </w:tcMar>
            <w:vAlign w:val="center"/>
          </w:tcPr>
          <w:p w14:paraId="09B7FCC3"/>
        </w:tc>
        <w:tc>
          <w:tcPr>
            <w:tcW w:w="2294" w:type="dxa"/>
            <w:tcMar>
              <w:top w:w="12" w:type="dxa"/>
              <w:left w:w="12" w:type="dxa"/>
              <w:right w:w="12" w:type="dxa"/>
            </w:tcMar>
            <w:vAlign w:val="center"/>
          </w:tcPr>
          <w:p w14:paraId="786CFCD8">
            <w:r>
              <w:rPr>
                <w:rFonts w:hint="eastAsia"/>
              </w:rPr>
              <w:t>新增排涝面积</w:t>
            </w:r>
          </w:p>
        </w:tc>
        <w:tc>
          <w:tcPr>
            <w:tcW w:w="3437" w:type="dxa"/>
            <w:tcMar>
              <w:top w:w="12" w:type="dxa"/>
              <w:left w:w="12" w:type="dxa"/>
              <w:right w:w="12" w:type="dxa"/>
            </w:tcMar>
            <w:vAlign w:val="center"/>
          </w:tcPr>
          <w:p w14:paraId="73D9B965">
            <w:r>
              <w:rPr>
                <w:rFonts w:hint="eastAsia"/>
              </w:rPr>
              <w:t>按照完成情况综合评判，符合（3分）、基本符合（1.5分）、不符合（0分）。</w:t>
            </w:r>
          </w:p>
        </w:tc>
      </w:tr>
      <w:tr w14:paraId="0436D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0" w:hRule="atLeast"/>
        </w:trPr>
        <w:tc>
          <w:tcPr>
            <w:tcW w:w="1000" w:type="dxa"/>
            <w:vMerge w:val="continue"/>
            <w:tcMar>
              <w:top w:w="12" w:type="dxa"/>
              <w:left w:w="12" w:type="dxa"/>
              <w:right w:w="12" w:type="dxa"/>
            </w:tcMar>
            <w:vAlign w:val="center"/>
          </w:tcPr>
          <w:p w14:paraId="6730D840"/>
        </w:tc>
        <w:tc>
          <w:tcPr>
            <w:tcW w:w="1048" w:type="dxa"/>
            <w:tcMar>
              <w:top w:w="12" w:type="dxa"/>
              <w:left w:w="12" w:type="dxa"/>
              <w:right w:w="12" w:type="dxa"/>
            </w:tcMar>
            <w:vAlign w:val="center"/>
          </w:tcPr>
          <w:p w14:paraId="2056DE17">
            <w:r>
              <w:rPr>
                <w:rFonts w:hint="eastAsia"/>
              </w:rPr>
              <w:t>服务对象满意度（5分）</w:t>
            </w:r>
          </w:p>
        </w:tc>
        <w:tc>
          <w:tcPr>
            <w:tcW w:w="1600" w:type="dxa"/>
            <w:tcMar>
              <w:top w:w="12" w:type="dxa"/>
              <w:left w:w="12" w:type="dxa"/>
              <w:right w:w="12" w:type="dxa"/>
            </w:tcMar>
            <w:vAlign w:val="center"/>
          </w:tcPr>
          <w:p w14:paraId="7C33AB7A">
            <w:r>
              <w:rPr>
                <w:rFonts w:hint="eastAsia"/>
              </w:rPr>
              <w:t>居民满意度（5分）</w:t>
            </w:r>
          </w:p>
        </w:tc>
        <w:tc>
          <w:tcPr>
            <w:tcW w:w="2294" w:type="dxa"/>
            <w:tcMar>
              <w:top w:w="12" w:type="dxa"/>
              <w:left w:w="12" w:type="dxa"/>
              <w:right w:w="12" w:type="dxa"/>
            </w:tcMar>
            <w:vAlign w:val="center"/>
          </w:tcPr>
          <w:p w14:paraId="7888F6BA">
            <w:r>
              <w:rPr>
                <w:rFonts w:hint="eastAsia"/>
              </w:rPr>
              <w:t>居民对项目实施的满意程度。</w:t>
            </w:r>
          </w:p>
        </w:tc>
        <w:tc>
          <w:tcPr>
            <w:tcW w:w="3437" w:type="dxa"/>
            <w:tcMar>
              <w:top w:w="12" w:type="dxa"/>
              <w:left w:w="12" w:type="dxa"/>
              <w:right w:w="12" w:type="dxa"/>
            </w:tcMar>
            <w:vAlign w:val="center"/>
          </w:tcPr>
          <w:p w14:paraId="7529AC3D">
            <w:r>
              <w:rPr>
                <w:rFonts w:hint="eastAsia"/>
              </w:rPr>
              <w:t>居民满意度≥88%的5分，78%（含）-87%的4分，68%（含）-77%的3分，58%（含）-67%的2分，50%（含）- 57%的1分，&lt;50%的0分。</w:t>
            </w:r>
          </w:p>
        </w:tc>
      </w:tr>
      <w:tr w14:paraId="75589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1000" w:type="dxa"/>
            <w:tcMar>
              <w:top w:w="12" w:type="dxa"/>
              <w:left w:w="12" w:type="dxa"/>
              <w:right w:w="12" w:type="dxa"/>
            </w:tcMar>
            <w:vAlign w:val="center"/>
          </w:tcPr>
          <w:p w14:paraId="1DB51240"/>
        </w:tc>
        <w:tc>
          <w:tcPr>
            <w:tcW w:w="1048" w:type="dxa"/>
            <w:tcMar>
              <w:top w:w="12" w:type="dxa"/>
              <w:left w:w="12" w:type="dxa"/>
              <w:right w:w="12" w:type="dxa"/>
            </w:tcMar>
            <w:vAlign w:val="center"/>
          </w:tcPr>
          <w:p w14:paraId="153F9491">
            <w:r>
              <w:rPr>
                <w:rFonts w:hint="eastAsia"/>
              </w:rPr>
              <w:t>总权重、评价总分（S）</w:t>
            </w:r>
          </w:p>
        </w:tc>
        <w:tc>
          <w:tcPr>
            <w:tcW w:w="7331" w:type="dxa"/>
            <w:gridSpan w:val="3"/>
            <w:tcMar>
              <w:top w:w="12" w:type="dxa"/>
              <w:left w:w="12" w:type="dxa"/>
              <w:right w:w="12" w:type="dxa"/>
            </w:tcMar>
            <w:vAlign w:val="center"/>
          </w:tcPr>
          <w:p w14:paraId="751F698B">
            <w:r>
              <w:rPr>
                <w:rFonts w:hint="eastAsia"/>
              </w:rPr>
              <w:t>100</w:t>
            </w:r>
          </w:p>
        </w:tc>
      </w:tr>
      <w:tr w14:paraId="6DD07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3" w:hRule="atLeast"/>
        </w:trPr>
        <w:tc>
          <w:tcPr>
            <w:tcW w:w="1000" w:type="dxa"/>
            <w:tcMar>
              <w:top w:w="12" w:type="dxa"/>
              <w:left w:w="12" w:type="dxa"/>
              <w:right w:w="12" w:type="dxa"/>
            </w:tcMar>
            <w:vAlign w:val="center"/>
          </w:tcPr>
          <w:p w14:paraId="6E03577C">
            <w:r>
              <w:rPr>
                <w:rFonts w:hint="eastAsia"/>
              </w:rPr>
              <w:t>评价等级</w:t>
            </w:r>
          </w:p>
        </w:tc>
        <w:tc>
          <w:tcPr>
            <w:tcW w:w="8379" w:type="dxa"/>
            <w:gridSpan w:val="4"/>
            <w:tcMar>
              <w:top w:w="12" w:type="dxa"/>
              <w:left w:w="12" w:type="dxa"/>
              <w:right w:w="12" w:type="dxa"/>
            </w:tcMar>
            <w:vAlign w:val="center"/>
          </w:tcPr>
          <w:p w14:paraId="07A8D9C0">
            <w:r>
              <w:rPr>
                <w:rFonts w:hint="eastAsia"/>
              </w:rPr>
              <w:sym w:font="Wingdings 2" w:char="00A3"/>
            </w:r>
            <w:r>
              <w:rPr>
                <w:rFonts w:hint="eastAsia"/>
              </w:rPr>
              <w:t>（优≥90分），</w:t>
            </w:r>
            <w:r>
              <w:rPr>
                <w:rFonts w:hint="eastAsia"/>
              </w:rPr>
              <w:sym w:font="Wingdings 2" w:char="00A3"/>
            </w:r>
            <w:r>
              <w:rPr>
                <w:rFonts w:hint="eastAsia"/>
              </w:rPr>
              <w:t>（80分≤良＜90分），</w:t>
            </w:r>
            <w:r>
              <w:rPr>
                <w:rFonts w:hint="eastAsia"/>
              </w:rPr>
              <w:sym w:font="Wingdings 2" w:char="00A3"/>
            </w:r>
            <w:r>
              <w:rPr>
                <w:rFonts w:hint="eastAsia"/>
              </w:rPr>
              <w:t>(60分≤中＜79分)，</w:t>
            </w:r>
            <w:r>
              <w:rPr>
                <w:rFonts w:hint="eastAsia"/>
              </w:rPr>
              <w:sym w:font="Wingdings 2" w:char="00A3"/>
            </w:r>
            <w:r>
              <w:rPr>
                <w:rFonts w:hint="eastAsia"/>
              </w:rPr>
              <w:t>(差＜60分)</w:t>
            </w:r>
          </w:p>
        </w:tc>
      </w:tr>
    </w:tbl>
    <w:p w14:paraId="362B4F9A">
      <w:pPr>
        <w:ind w:firstLine="420" w:firstLineChars="200"/>
        <w:outlineLvl w:val="0"/>
      </w:pPr>
      <w:bookmarkStart w:id="767" w:name="_Toc28484"/>
      <w:bookmarkStart w:id="768" w:name="_Toc32065"/>
      <w:bookmarkStart w:id="769" w:name="_Toc20098"/>
      <w:bookmarkStart w:id="770" w:name="_Toc18368"/>
      <w:bookmarkStart w:id="771" w:name="_Toc32116"/>
      <w:bookmarkStart w:id="772" w:name="_Toc28020"/>
      <w:bookmarkStart w:id="773" w:name="_Toc25650"/>
      <w:r>
        <w:rPr>
          <w:rFonts w:hint="eastAsia"/>
        </w:rPr>
        <w:t>四、项目绩效分析及绩效</w:t>
      </w:r>
      <w:bookmarkEnd w:id="767"/>
      <w:bookmarkEnd w:id="768"/>
      <w:bookmarkEnd w:id="769"/>
      <w:bookmarkEnd w:id="770"/>
      <w:bookmarkEnd w:id="771"/>
      <w:bookmarkEnd w:id="772"/>
      <w:r>
        <w:rPr>
          <w:rFonts w:hint="eastAsia"/>
        </w:rPr>
        <w:t>评价结论</w:t>
      </w:r>
      <w:bookmarkEnd w:id="773"/>
    </w:p>
    <w:p w14:paraId="09385AE5">
      <w:pPr>
        <w:ind w:firstLine="420" w:firstLineChars="200"/>
      </w:pPr>
      <w:r>
        <w:rPr>
          <w:rFonts w:hint="eastAsia"/>
        </w:rPr>
        <w:t>为了全面、客观、有效的进行绩效评价，莆田学院财政绩效管理研究中心审阅了莆田市财政局提供的专项资金相关材料，与莆田市木兰溪防洪工程建设管理处进行座谈和征求意见，查阅项目相关资料，收集相关信息，采取定量和定性分析法，通过对3大类30项指标逐步评价，对2020年木兰溪防洪工程及配套项目（含安全生态水系建设）的项目决策、项目管理及项目绩效等方面进行综合评价。</w:t>
      </w:r>
    </w:p>
    <w:p w14:paraId="5BF0AB0F">
      <w:pPr>
        <w:ind w:firstLine="420" w:firstLineChars="200"/>
      </w:pPr>
      <w:bookmarkStart w:id="774" w:name="_Toc5589"/>
      <w:bookmarkStart w:id="775" w:name="_Toc17482"/>
      <w:bookmarkStart w:id="776" w:name="_Toc27295"/>
      <w:bookmarkStart w:id="777" w:name="_Toc19891"/>
      <w:bookmarkStart w:id="778" w:name="_Toc24496"/>
      <w:bookmarkStart w:id="779" w:name="_Toc28271"/>
      <w:r>
        <w:rPr>
          <w:rFonts w:hint="eastAsia"/>
        </w:rPr>
        <w:t>（一）项目决策得满分</w:t>
      </w:r>
      <w:bookmarkEnd w:id="774"/>
      <w:bookmarkEnd w:id="775"/>
      <w:bookmarkEnd w:id="776"/>
      <w:r>
        <w:rPr>
          <w:rFonts w:hint="eastAsia"/>
        </w:rPr>
        <w:t>18分，实际得分15.5分</w:t>
      </w:r>
      <w:bookmarkEnd w:id="777"/>
      <w:bookmarkEnd w:id="778"/>
      <w:bookmarkEnd w:id="779"/>
    </w:p>
    <w:p w14:paraId="35C56775">
      <w:pPr>
        <w:ind w:firstLine="420" w:firstLineChars="200"/>
      </w:pPr>
      <w:bookmarkStart w:id="780" w:name="_Toc3932"/>
      <w:bookmarkStart w:id="781" w:name="_Toc11285"/>
      <w:bookmarkStart w:id="782" w:name="_Toc28610"/>
      <w:bookmarkStart w:id="783" w:name="_Toc19166"/>
      <w:bookmarkStart w:id="784" w:name="_Toc17616"/>
      <w:r>
        <w:rPr>
          <w:rFonts w:hint="eastAsia"/>
        </w:rPr>
        <w:t>1.项目立项满分6分，实际得分</w:t>
      </w:r>
      <w:bookmarkEnd w:id="780"/>
      <w:bookmarkEnd w:id="781"/>
      <w:bookmarkEnd w:id="782"/>
      <w:r>
        <w:rPr>
          <w:rFonts w:hint="eastAsia"/>
        </w:rPr>
        <w:t>6分</w:t>
      </w:r>
      <w:bookmarkEnd w:id="783"/>
      <w:bookmarkEnd w:id="784"/>
    </w:p>
    <w:p w14:paraId="236879FB">
      <w:pPr>
        <w:ind w:firstLine="420" w:firstLineChars="200"/>
      </w:pPr>
      <w:r>
        <w:rPr>
          <w:rFonts w:hint="eastAsia"/>
        </w:rPr>
        <w:t>（1）立项依据充分性满分3分，实际得分3分</w:t>
      </w:r>
    </w:p>
    <w:p w14:paraId="676E3894">
      <w:pPr>
        <w:ind w:firstLine="420" w:firstLineChars="200"/>
      </w:pPr>
      <w:r>
        <w:rPr>
          <w:rFonts w:hint="eastAsia"/>
        </w:rPr>
        <w:t>该项目依据《关于木兰溪防洪工程华亭段（城厢区）初步设计的批复》（闽发改网农业[2015]150号）、《关于木兰溪防洪工程白塘段初步设计的批复的通知》（莆发改[2017]341号)、《关于木兰溪左岸绿道项目建议书可行性研究报告》（莆发改审[2015]53号）、《关于莆田市宁海闸导流工程结合江东水闸迁建项目实施方案可行性经研究报告批复》（荔发改[2015]102号）（市政府会专题会议纪要[2015]122号）等相关规定而立项。根据评分标准，立项依据充分性得3分。</w:t>
      </w:r>
    </w:p>
    <w:p w14:paraId="5540157B">
      <w:pPr>
        <w:ind w:firstLine="420" w:firstLineChars="200"/>
      </w:pPr>
      <w:r>
        <w:rPr>
          <w:rFonts w:hint="eastAsia"/>
        </w:rPr>
        <w:t>（2）立项程序规范性满分3分，实际得分3分</w:t>
      </w:r>
    </w:p>
    <w:p w14:paraId="0BB90A5D">
      <w:pPr>
        <w:ind w:firstLine="420" w:firstLineChars="200"/>
      </w:pPr>
      <w:r>
        <w:rPr>
          <w:rFonts w:hint="eastAsia"/>
        </w:rPr>
        <w:t>该项目申请、设立过程符合相关要求，项目立项合规，提交的文件、材料符合有关要求，经费支出已经过必要的会议决策等。根据评分标准，项目立项规范性。根据评分标准，此项得3分。</w:t>
      </w:r>
    </w:p>
    <w:p w14:paraId="786CF5BF">
      <w:pPr>
        <w:ind w:firstLine="420" w:firstLineChars="200"/>
      </w:pPr>
      <w:bookmarkStart w:id="785" w:name="_Toc1880"/>
      <w:bookmarkStart w:id="786" w:name="_Toc17430"/>
      <w:bookmarkStart w:id="787" w:name="_Toc24726"/>
      <w:bookmarkStart w:id="788" w:name="_Toc7826"/>
      <w:bookmarkStart w:id="789" w:name="_Toc29999"/>
      <w:r>
        <w:rPr>
          <w:rFonts w:hint="eastAsia"/>
        </w:rPr>
        <w:t>2.绩效目标满分6分，实际得分3.5分</w:t>
      </w:r>
      <w:bookmarkEnd w:id="785"/>
      <w:bookmarkEnd w:id="786"/>
    </w:p>
    <w:p w14:paraId="4D0465CE">
      <w:pPr>
        <w:ind w:firstLine="420" w:firstLineChars="200"/>
      </w:pPr>
      <w:r>
        <w:rPr>
          <w:rFonts w:hint="eastAsia"/>
        </w:rPr>
        <w:t>（1）绩效目标合理性</w:t>
      </w:r>
      <w:bookmarkEnd w:id="787"/>
      <w:bookmarkEnd w:id="788"/>
      <w:bookmarkEnd w:id="789"/>
      <w:r>
        <w:rPr>
          <w:rFonts w:hint="eastAsia"/>
        </w:rPr>
        <w:t>满分3分，实际得分2分</w:t>
      </w:r>
    </w:p>
    <w:p w14:paraId="4B22E6C2">
      <w:pPr>
        <w:ind w:firstLine="420" w:firstLineChars="200"/>
      </w:pPr>
      <w:r>
        <w:rPr>
          <w:rFonts w:hint="eastAsia"/>
        </w:rPr>
        <w:t>考核项目所设定的绩效目标是否依据充分，是否符合客观实际，用以反映和考核项目绩效目标与项目实施的相符情况。该项目所设绩效目标符合契合实际且与项目实施单位职责密切相关，但绩效目标不够完整、全面，没有结合2020年重大水利项目投资计划设置相应的绩效目标。根据评分标准，此项得2分。</w:t>
      </w:r>
    </w:p>
    <w:p w14:paraId="3999313D">
      <w:pPr>
        <w:ind w:firstLine="420" w:firstLineChars="200"/>
      </w:pPr>
      <w:bookmarkStart w:id="790" w:name="_Toc28205"/>
      <w:bookmarkStart w:id="791" w:name="_Toc28864"/>
      <w:bookmarkStart w:id="792" w:name="_Toc28292"/>
      <w:r>
        <w:rPr>
          <w:rFonts w:hint="eastAsia"/>
        </w:rPr>
        <w:t>（2）</w:t>
      </w:r>
      <w:bookmarkEnd w:id="790"/>
      <w:bookmarkEnd w:id="791"/>
      <w:bookmarkEnd w:id="792"/>
      <w:r>
        <w:rPr>
          <w:rFonts w:hint="eastAsia"/>
        </w:rPr>
        <w:t>绩效指标明确性满分3分，实际得分1.5分</w:t>
      </w:r>
    </w:p>
    <w:p w14:paraId="23AA5133">
      <w:pPr>
        <w:ind w:firstLine="420" w:firstLineChars="200"/>
      </w:pPr>
      <w:r>
        <w:rPr>
          <w:rFonts w:hint="eastAsia"/>
        </w:rPr>
        <w:t>考核项目所依据绩效目标设定的绩效指标是否清晰、细化、可衡量等，用以反映和考核项目绩效目标的明细化情况。</w:t>
      </w:r>
      <w:bookmarkStart w:id="793" w:name="_Toc19570"/>
      <w:bookmarkStart w:id="794" w:name="_Toc1611"/>
      <w:bookmarkStart w:id="795" w:name="_Toc1830"/>
      <w:bookmarkStart w:id="796" w:name="_Toc25867"/>
      <w:bookmarkStart w:id="797" w:name="_Toc23737"/>
      <w:r>
        <w:rPr>
          <w:rFonts w:hint="eastAsia"/>
        </w:rPr>
        <w:t>该项目所设绩效目标与项目年度任务数或计划数未对应；绩效目标费用（计划投资20000万元）与预算资金（27508万元）未匹配；项目绩效目标细化且分解为具体的绩效指标，但项目绩效监控成果有部分指标与项目绩效目标未对应。根据评分标准，此项得1.5分。</w:t>
      </w:r>
    </w:p>
    <w:p w14:paraId="478AFC19">
      <w:pPr>
        <w:ind w:firstLine="420" w:firstLineChars="200"/>
      </w:pPr>
      <w:r>
        <w:rPr>
          <w:rFonts w:hint="eastAsia"/>
        </w:rPr>
        <w:t>3.资金投入满分6分，实际得分6分</w:t>
      </w:r>
      <w:bookmarkEnd w:id="793"/>
      <w:bookmarkEnd w:id="794"/>
    </w:p>
    <w:p w14:paraId="4095F122">
      <w:pPr>
        <w:ind w:firstLine="420" w:firstLineChars="200"/>
      </w:pPr>
      <w:r>
        <w:rPr>
          <w:rFonts w:hint="eastAsia"/>
        </w:rPr>
        <w:t>（1）</w:t>
      </w:r>
      <w:bookmarkEnd w:id="795"/>
      <w:bookmarkEnd w:id="796"/>
      <w:bookmarkEnd w:id="797"/>
      <w:r>
        <w:rPr>
          <w:rFonts w:hint="eastAsia"/>
        </w:rPr>
        <w:t>预算编制科学性满分3分，实际得分3分</w:t>
      </w:r>
    </w:p>
    <w:p w14:paraId="6C05372C">
      <w:pPr>
        <w:ind w:firstLine="420" w:firstLineChars="200"/>
      </w:pPr>
      <w:r>
        <w:rPr>
          <w:rFonts w:hint="eastAsia"/>
        </w:rPr>
        <w:t>考核项目预算编制是否经过科学论证、有明确标准，资金额度与年度目标是否相适应，用以反映和考核项目预算编制的科学性、合理性情况。该项目预算编制科学合理各项目可行性报告等相关佐证资料齐全。根据评分标准，此项得3分。</w:t>
      </w:r>
    </w:p>
    <w:p w14:paraId="35BB2000">
      <w:pPr>
        <w:ind w:firstLine="420" w:firstLineChars="200"/>
      </w:pPr>
      <w:bookmarkStart w:id="798" w:name="_Toc30"/>
      <w:bookmarkStart w:id="799" w:name="_Toc32044"/>
      <w:bookmarkStart w:id="800" w:name="_Toc8878"/>
      <w:r>
        <w:rPr>
          <w:rFonts w:hint="eastAsia"/>
        </w:rPr>
        <w:t>（2）资金使用合规性</w:t>
      </w:r>
      <w:bookmarkEnd w:id="798"/>
      <w:bookmarkEnd w:id="799"/>
      <w:bookmarkEnd w:id="800"/>
      <w:r>
        <w:rPr>
          <w:rFonts w:hint="eastAsia"/>
        </w:rPr>
        <w:t>满分3分，实际得分3分</w:t>
      </w:r>
    </w:p>
    <w:p w14:paraId="0F35F43C">
      <w:pPr>
        <w:ind w:firstLine="420" w:firstLineChars="200"/>
      </w:pPr>
      <w:r>
        <w:rPr>
          <w:rFonts w:hint="eastAsia"/>
        </w:rPr>
        <w:t>考核项目预算资金分配是否有测算依据，与补助单位或地方实际是否相适应，用以反映和考核项目预算分配的科学性、合理性情况。提供材料显示，该预算资金分配合理；资金分配额度合理；与项目单位或地方实际相适应；项目相关的资金分配依据翔实。根据评分标准，此项得3分。</w:t>
      </w:r>
    </w:p>
    <w:p w14:paraId="18B78088">
      <w:pPr>
        <w:ind w:firstLine="420" w:firstLineChars="200"/>
      </w:pPr>
      <w:bookmarkStart w:id="801" w:name="_Toc17472"/>
      <w:r>
        <w:rPr>
          <w:rFonts w:hint="eastAsia"/>
        </w:rPr>
        <w:t>（二）项目管理满分20分，实际得分13.5分</w:t>
      </w:r>
      <w:bookmarkEnd w:id="801"/>
    </w:p>
    <w:p w14:paraId="7A299566">
      <w:pPr>
        <w:ind w:firstLine="420" w:firstLineChars="200"/>
      </w:pPr>
      <w:r>
        <w:rPr>
          <w:rFonts w:hint="eastAsia"/>
        </w:rPr>
        <w:t>1.资金管理满分13分，实际得分6.5分</w:t>
      </w:r>
    </w:p>
    <w:p w14:paraId="527FCCE8">
      <w:pPr>
        <w:ind w:firstLine="420" w:firstLineChars="200"/>
      </w:pPr>
      <w:r>
        <w:rPr>
          <w:rFonts w:hint="eastAsia"/>
        </w:rPr>
        <w:t>（1）资金到位率满分5分，实际得分2分</w:t>
      </w:r>
    </w:p>
    <w:p w14:paraId="745866ED">
      <w:pPr>
        <w:ind w:firstLine="420" w:firstLineChars="200"/>
      </w:pPr>
      <w:r>
        <w:rPr>
          <w:rFonts w:hint="eastAsia"/>
        </w:rPr>
        <w:t>反映和考核资金落实情况对项目实施的总体保障程度。该项目2020年度预算安排27508万元（其中政府性基金预算10708万元，地方专项债券16800万元），实际到位金额18346万元（其中政府性基金预算1546元，地方专项债券16800万元），资金到位率为66.69%。根据评分标准，此项得2分</w:t>
      </w:r>
    </w:p>
    <w:p w14:paraId="0E9A7BFB">
      <w:pPr>
        <w:ind w:firstLine="420" w:firstLineChars="200"/>
      </w:pPr>
      <w:r>
        <w:rPr>
          <w:rFonts w:hint="eastAsia"/>
        </w:rPr>
        <w:t>预算实际执行率满分5分，实际得分1.5分</w:t>
      </w:r>
    </w:p>
    <w:p w14:paraId="78FE0B95">
      <w:pPr>
        <w:ind w:firstLine="420" w:firstLineChars="200"/>
      </w:pPr>
      <w:r>
        <w:rPr>
          <w:rFonts w:hint="eastAsia"/>
        </w:rPr>
        <w:t>项目预算资金是否按照计划执行，用以反映或考核项目预算执行情况。该项目2020年度实际支出11226.59万元，预算实际执行率为61.19%（其中政府性基金预算执行率100%，地方专项债券执行率57.62%）。根据评分标准，此项得1.5分。</w:t>
      </w:r>
    </w:p>
    <w:p w14:paraId="6557716A">
      <w:pPr>
        <w:ind w:firstLine="420" w:firstLineChars="200"/>
      </w:pPr>
      <w:r>
        <w:rPr>
          <w:rFonts w:hint="eastAsia"/>
        </w:rPr>
        <w:t>（3）资金使用合规性满分3分，实际得分3分</w:t>
      </w:r>
    </w:p>
    <w:p w14:paraId="19260385">
      <w:pPr>
        <w:ind w:firstLine="420" w:firstLineChars="200"/>
      </w:pPr>
      <w:r>
        <w:rPr>
          <w:rFonts w:hint="eastAsia"/>
        </w:rPr>
        <w:t>项目资金使用是否符合相关的财务管理制度规定，用以反映和考核项目资金的规范运行情况。该项目资金使用基本符合相关制度，无虚列项目支出情况，无截留挤占挪用情况，无超标准开支情况，资金的使用符合项目申报的用途。根据评分标准，此项得3分。</w:t>
      </w:r>
    </w:p>
    <w:p w14:paraId="42C95B10">
      <w:pPr>
        <w:ind w:firstLine="420" w:firstLineChars="200"/>
      </w:pPr>
      <w:r>
        <w:rPr>
          <w:rFonts w:hint="eastAsia"/>
        </w:rPr>
        <w:t>2.组织实施满分7分，实际得分7分</w:t>
      </w:r>
    </w:p>
    <w:p w14:paraId="155B801A">
      <w:pPr>
        <w:ind w:firstLine="420" w:firstLineChars="200"/>
      </w:pPr>
      <w:r>
        <w:rPr>
          <w:rFonts w:hint="eastAsia"/>
        </w:rPr>
        <w:t>（1）制度健全满分4分，实际得分4分</w:t>
      </w:r>
    </w:p>
    <w:p w14:paraId="61439455">
      <w:pPr>
        <w:ind w:firstLine="420" w:firstLineChars="200"/>
      </w:pPr>
      <w:r>
        <w:rPr>
          <w:rFonts w:hint="eastAsia"/>
        </w:rPr>
        <w:t>考核项目实施单位的财务与业务管理制度是否健全，用以反映和考核财务与业务管理制度对项目顺利实施的保障情况。该项目有相应的财务理制度，设立了专项资金管理办法；相关规章制度合法、合规、完整；业务方面，该项目有相应的业务管理制度，设立了木兰溪防洪工程建设管理制度和安全管理规章制度；相关管理制度合法、合规、完整。根据评分标准，此项得4分。</w:t>
      </w:r>
    </w:p>
    <w:p w14:paraId="20F3AE1D">
      <w:pPr>
        <w:ind w:firstLine="420" w:firstLineChars="200"/>
      </w:pPr>
      <w:r>
        <w:rPr>
          <w:rFonts w:hint="eastAsia"/>
        </w:rPr>
        <w:t>（2）制度执行时有效性满分3分，实际得分3分</w:t>
      </w:r>
    </w:p>
    <w:p w14:paraId="5669B74F">
      <w:pPr>
        <w:ind w:firstLine="420" w:firstLineChars="200"/>
      </w:pPr>
      <w:r>
        <w:rPr>
          <w:rFonts w:hint="eastAsia"/>
        </w:rPr>
        <w:t>该项目实施是否符合相关管理规定，用以反映和考核相关管理制度的有效执行情况。该项目执行过程中，相关手续完备；相关材料齐全；项目实施的人员条件、场地设备、信息支撑等均落实到位。根据评分标准，此项得3分。</w:t>
      </w:r>
      <w:bookmarkStart w:id="802" w:name="_Toc14433"/>
      <w:bookmarkStart w:id="803" w:name="_Toc26039"/>
      <w:bookmarkStart w:id="804" w:name="_Toc3431"/>
      <w:bookmarkStart w:id="805" w:name="_Toc32735"/>
      <w:bookmarkStart w:id="806" w:name="_Toc18866"/>
    </w:p>
    <w:p w14:paraId="4B90FB4C">
      <w:pPr>
        <w:ind w:firstLine="420" w:firstLineChars="200"/>
      </w:pPr>
      <w:bookmarkStart w:id="807" w:name="_Toc27959"/>
      <w:r>
        <w:rPr>
          <w:rFonts w:hint="eastAsia"/>
        </w:rPr>
        <w:t>（三）项目绩效满分62分，实际得60分</w:t>
      </w:r>
      <w:bookmarkEnd w:id="802"/>
      <w:bookmarkEnd w:id="803"/>
      <w:bookmarkEnd w:id="804"/>
      <w:bookmarkEnd w:id="805"/>
      <w:bookmarkEnd w:id="806"/>
      <w:bookmarkEnd w:id="807"/>
    </w:p>
    <w:p w14:paraId="04E1908A">
      <w:pPr>
        <w:ind w:firstLine="420" w:firstLineChars="200"/>
      </w:pPr>
      <w:bookmarkStart w:id="808" w:name="_Toc19188"/>
      <w:bookmarkStart w:id="809" w:name="_Toc16811"/>
      <w:bookmarkStart w:id="810" w:name="_Toc9787"/>
      <w:bookmarkStart w:id="811" w:name="_Toc4063"/>
      <w:bookmarkStart w:id="812" w:name="_Toc30004"/>
      <w:r>
        <w:rPr>
          <w:rFonts w:hint="eastAsia"/>
        </w:rPr>
        <w:t>1.项目产出满分35分，实际31分</w:t>
      </w:r>
      <w:bookmarkEnd w:id="808"/>
      <w:bookmarkEnd w:id="809"/>
    </w:p>
    <w:p w14:paraId="31C7F64D">
      <w:pPr>
        <w:ind w:firstLine="420" w:firstLineChars="200"/>
      </w:pPr>
      <w:r>
        <w:rPr>
          <w:rFonts w:hint="eastAsia"/>
        </w:rPr>
        <w:t>（1）产出数量满分13分，实际得分12.5分</w:t>
      </w:r>
      <w:bookmarkEnd w:id="810"/>
      <w:bookmarkEnd w:id="811"/>
      <w:bookmarkEnd w:id="812"/>
    </w:p>
    <w:p w14:paraId="078B5E9A">
      <w:pPr>
        <w:ind w:firstLine="420" w:firstLineChars="200"/>
      </w:pPr>
      <w:r>
        <w:rPr>
          <w:rFonts w:hint="eastAsia"/>
        </w:rPr>
        <w:t>①考核项目建设内容是否按项目实施方案的批复建设，满分4分，实际得分4分。该项目建设内容与2020年工作计划一致。根据评分标准，此项得4分。</w:t>
      </w:r>
    </w:p>
    <w:p w14:paraId="35F5F318">
      <w:pPr>
        <w:ind w:firstLine="420" w:firstLineChars="200"/>
      </w:pPr>
      <w:r>
        <w:rPr>
          <w:rFonts w:hint="eastAsia"/>
        </w:rPr>
        <w:t>②考核项目对防洪设施的管理维护情况（堤防维修养护长度），满分3分，实际得分3分。该项目2020年防洪堤左右岸绿化养护约30万平方米、河道管护28.03公里（一期工程7.2公里，二期郑坂段工程5.9公里，二期霞林段工程4.4公里，荔涵段工程10.53公里）。根据评分标准，此项得3分。</w:t>
      </w:r>
    </w:p>
    <w:p w14:paraId="40D260D9">
      <w:pPr>
        <w:ind w:firstLine="420" w:firstLineChars="200"/>
      </w:pPr>
      <w:r>
        <w:rPr>
          <w:rFonts w:hint="eastAsia"/>
        </w:rPr>
        <w:t>③考核项目对除险后检查加固情况，满分3分，实际得分3分。根据提供资料显示，木兰溪南箕水闸内引港护岸加固计划目标值木兰溪南箕水闸内引港总长度24.8m，主要对护岸两侧土体采用高压旋喷桩结合拉森钢板桩进行加固处理，便于护岸挡墙拆除修复。经核实目标值已完成。根据评分标准，此项得3分。</w:t>
      </w:r>
    </w:p>
    <w:p w14:paraId="528BD6EB">
      <w:pPr>
        <w:ind w:firstLine="420" w:firstLineChars="200"/>
      </w:pPr>
      <w:r>
        <w:rPr>
          <w:rFonts w:hint="eastAsia"/>
        </w:rPr>
        <w:t>④堤防巡查次数，满分2分，实际得分2.5分。经核实该项目第三季度巡查频次为6次，≤8次＞5次扣0.5分。根据评分标准，此项得1.5分。</w:t>
      </w:r>
      <w:bookmarkStart w:id="813" w:name="_Toc665"/>
      <w:bookmarkStart w:id="814" w:name="_Toc1285"/>
      <w:bookmarkStart w:id="815" w:name="_Toc19483"/>
    </w:p>
    <w:p w14:paraId="5FC0C422">
      <w:pPr>
        <w:ind w:firstLine="420" w:firstLineChars="200"/>
      </w:pPr>
      <w:r>
        <w:rPr>
          <w:rFonts w:hint="eastAsia"/>
        </w:rPr>
        <w:t>（2）产出质量满分10分，实际得分8.5分</w:t>
      </w:r>
      <w:bookmarkEnd w:id="813"/>
      <w:bookmarkEnd w:id="814"/>
      <w:bookmarkEnd w:id="815"/>
    </w:p>
    <w:p w14:paraId="56896100">
      <w:pPr>
        <w:ind w:firstLine="420" w:firstLineChars="200"/>
      </w:pPr>
      <w:r>
        <w:rPr>
          <w:rFonts w:hint="eastAsia"/>
        </w:rPr>
        <w:t>①考核项目建设内容验收质量是否合格，满分4分，实际得分4分。提供材料显示，2020已完成验收的华林段C1、华亭段C1、C2、C3项目合格率均达到100%。根据评分标准，此项得4分。</w:t>
      </w:r>
    </w:p>
    <w:p w14:paraId="281CD1D2">
      <w:pPr>
        <w:ind w:firstLine="420" w:firstLineChars="200"/>
      </w:pPr>
      <w:r>
        <w:rPr>
          <w:rFonts w:hint="eastAsia"/>
        </w:rPr>
        <w:t>②考核项目及时经审计部门进行工程竣工结算审计，满分3分，实际得分1.5分。依据提供的《莆田市木兰溪下游三期荔涵段防洪工程竣工财务决算审核报告》闽华达专审字（2021）第2016号文件显示，项目中的荔涵段防洪工程已进行竣工结算审计。其中宁海闸因工程项目正在开展前期工作，未达到工程竣工结算审计条件，华亭段和白塘段防洪工程项目均未达到竣工验收条件，不属于已竣工验收项目。根据评分标准，此项得1.5分。</w:t>
      </w:r>
    </w:p>
    <w:p w14:paraId="1EF9E591">
      <w:pPr>
        <w:ind w:firstLine="420" w:firstLineChars="200"/>
      </w:pPr>
      <w:r>
        <w:rPr>
          <w:rFonts w:hint="eastAsia"/>
        </w:rPr>
        <w:t>③考核安全生产宣传活动按要求普及完成率，满分3分，实际得分3分。该项目2020年度安全生产宣传活动按要求普及完成率为146%。根据评分标准，此项得3分。</w:t>
      </w:r>
    </w:p>
    <w:p w14:paraId="01B88F02">
      <w:pPr>
        <w:ind w:firstLine="420" w:firstLineChars="200"/>
      </w:pPr>
      <w:bookmarkStart w:id="816" w:name="_Toc3150"/>
      <w:bookmarkStart w:id="817" w:name="_Toc28772"/>
      <w:r>
        <w:rPr>
          <w:rFonts w:hint="eastAsia"/>
        </w:rPr>
        <w:t>产出时效满分5分，实际得分5分</w:t>
      </w:r>
    </w:p>
    <w:p w14:paraId="79EDA10F">
      <w:pPr>
        <w:ind w:firstLine="420" w:firstLineChars="200"/>
      </w:pPr>
      <w:r>
        <w:rPr>
          <w:rFonts w:hint="eastAsia"/>
        </w:rPr>
        <w:t>考核项目是否按时完成。该项目2020年依计划逐步推进上报给莆田市水利局的2020年度工作计划。其中2020年度华亭段、白塘段计划完成投资10000万元，2020年已完成投资9390万元，完成年计划投资的93.9%；2020年度莆田宁海闸及配套工程计划完成投资10000万元，2020年已完成投资9180万元，完成年计划投资的91.8%。根据评分标准，此项得5分。</w:t>
      </w:r>
    </w:p>
    <w:p w14:paraId="57C79A55">
      <w:pPr>
        <w:ind w:firstLine="420" w:firstLineChars="200"/>
      </w:pPr>
      <w:r>
        <w:rPr>
          <w:rFonts w:hint="eastAsia"/>
        </w:rPr>
        <w:t>产出成本满分5分，实际得分5分</w:t>
      </w:r>
    </w:p>
    <w:p w14:paraId="0A8E7F16">
      <w:pPr>
        <w:ind w:firstLine="420" w:firstLineChars="200"/>
      </w:pPr>
      <w:r>
        <w:rPr>
          <w:rFonts w:hint="eastAsia"/>
        </w:rPr>
        <w:t>经调查该项目2020年度计划投资20000万元，由于项目均未竣工验收并经结算审计，截止2020年12月31日，实际支出11226.59万，该项目建设成本未超预算使用。根据评分标准，此项得5分。</w:t>
      </w:r>
    </w:p>
    <w:p w14:paraId="36986C68">
      <w:pPr>
        <w:ind w:firstLine="420" w:firstLineChars="200"/>
      </w:pPr>
      <w:r>
        <w:rPr>
          <w:rFonts w:hint="eastAsia"/>
        </w:rPr>
        <w:t>2.项目效益满分24分，实际得分24分</w:t>
      </w:r>
      <w:bookmarkEnd w:id="816"/>
      <w:bookmarkEnd w:id="817"/>
    </w:p>
    <w:p w14:paraId="28907CAF">
      <w:pPr>
        <w:ind w:firstLine="420" w:firstLineChars="200"/>
      </w:pPr>
      <w:bookmarkStart w:id="818" w:name="_Toc23273"/>
      <w:bookmarkStart w:id="819" w:name="_Toc7940"/>
      <w:bookmarkStart w:id="820" w:name="_Toc22189"/>
      <w:r>
        <w:rPr>
          <w:rFonts w:hint="eastAsia"/>
        </w:rPr>
        <w:t>（1）</w:t>
      </w:r>
      <w:bookmarkEnd w:id="818"/>
      <w:bookmarkEnd w:id="819"/>
      <w:bookmarkEnd w:id="820"/>
      <w:r>
        <w:rPr>
          <w:rFonts w:hint="eastAsia"/>
        </w:rPr>
        <w:t>经济效益满分6分，实际得分6分</w:t>
      </w:r>
    </w:p>
    <w:p w14:paraId="688ACDD4">
      <w:pPr>
        <w:ind w:firstLine="420" w:firstLineChars="200"/>
      </w:pPr>
      <w:r>
        <w:rPr>
          <w:rFonts w:hint="eastAsia"/>
        </w:rPr>
        <w:t>①挽回经济损失满分3分，实际得分3分。该项目挽回经济损失的年度目标值为300万元，以每年洪水给莆田城市造成的经济损失估计远超300万元。该项目建成后，木兰溪水患得到有效治理，莆田城市近几年无发生洪灾。根据评分标准，此项得3分。</w:t>
      </w:r>
    </w:p>
    <w:p w14:paraId="7A1FFD5D">
      <w:pPr>
        <w:ind w:firstLine="420" w:firstLineChars="200"/>
      </w:pPr>
      <w:r>
        <w:rPr>
          <w:rFonts w:hint="eastAsia"/>
        </w:rPr>
        <w:t>②水安全保障能力满分3分，实际得分3分。木兰溪治理工后防洪标准从不到2年一遇提高到50年一遇。良好的水安全保障能力也促进农业产业升级，使农业每年收益增加2000多万元。莆田全市工业园区面积从1999年以前的不足20平方公里，拓展到现在的170平方公里，城市发展空间大大拓宽，人均GDP增加近3万元。水安全的保障也有效的保障了莆田市人民的财产安全。根据评分标准，此项得3分。</w:t>
      </w:r>
    </w:p>
    <w:p w14:paraId="52C202FF">
      <w:pPr>
        <w:ind w:firstLine="420" w:firstLineChars="200"/>
      </w:pPr>
      <w:r>
        <w:rPr>
          <w:rFonts w:hint="eastAsia"/>
        </w:rPr>
        <w:t>（2）社会效益满分6分，实际得分6分</w:t>
      </w:r>
    </w:p>
    <w:p w14:paraId="782ED124">
      <w:pPr>
        <w:ind w:firstLine="420" w:firstLineChars="200"/>
      </w:pPr>
      <w:r>
        <w:rPr>
          <w:rFonts w:hint="eastAsia"/>
        </w:rPr>
        <w:t>①水景观自然保护情况满分3分，实际得分3分。根据打造海绵城市的有关要求，项目先后建成水文化教育基地、多样化绿道323公里，其中有效保护了木兰溪城区段22km水生态，建设两岸生态护岸、木兰陂等滨溪景观休闲空间，形成了木兰溪两岸人文及自然生态景观带。根据评分标准，此项得3分。</w:t>
      </w:r>
    </w:p>
    <w:p w14:paraId="494F4339">
      <w:pPr>
        <w:ind w:firstLine="420" w:firstLineChars="200"/>
      </w:pPr>
      <w:r>
        <w:rPr>
          <w:rFonts w:hint="eastAsia"/>
        </w:rPr>
        <w:t>②考核该项目工程运行故障发生次数，满分3分，实际得分3分。该项目2020年所涉及工程自开工至完工，工程质量安全均处于受控状态，未发生工程质量安全事故。根据评分标准，此项得3分。</w:t>
      </w:r>
    </w:p>
    <w:p w14:paraId="0D29C040">
      <w:pPr>
        <w:ind w:firstLine="420" w:firstLineChars="200"/>
      </w:pPr>
      <w:r>
        <w:rPr>
          <w:rFonts w:hint="eastAsia"/>
        </w:rPr>
        <w:t>（3）环境效益满分6分，实际得分6分</w:t>
      </w:r>
    </w:p>
    <w:p w14:paraId="36F3A14A">
      <w:pPr>
        <w:ind w:firstLine="420" w:firstLineChars="200"/>
      </w:pPr>
      <w:r>
        <w:rPr>
          <w:rFonts w:hint="eastAsia"/>
        </w:rPr>
        <w:t>①水系统健康水平，满分3分，实际得分3分。项目建成后有效提升了城市用水品质。城镇生活污水达标处理率达到88%以上，北洋河网消除了劣Ⅴ类水，木兰溪、延寿溪主要流域水质达到或优于Ⅲ类比例达90%以上，省控25条小流域29个考核断面水质达到或优于Ⅲ类比例由65.52%上升到72.41%，东圳水库水质由过去Ⅳ类水提高到Ⅱ类水标准。水环境质量实现整体改善，流域功能区水质达标率100%。根据评分标准，此项得3分。</w:t>
      </w:r>
    </w:p>
    <w:p w14:paraId="393D06AC">
      <w:pPr>
        <w:ind w:firstLine="420" w:firstLineChars="200"/>
      </w:pPr>
      <w:r>
        <w:rPr>
          <w:rFonts w:hint="eastAsia"/>
        </w:rPr>
        <w:t>②考核项目相关负面新闻报道情况，满分3分，实际得分3分。该项目2020年所涉及项目工程自开工至完工，权威媒体负面报道量为0，其中中央的党报、宣传部、组织部等官方或非官方权威新闻媒体，均对该项目有相关正面宣传报道。根据评分标准，此项得3分。</w:t>
      </w:r>
    </w:p>
    <w:p w14:paraId="33367116">
      <w:pPr>
        <w:ind w:firstLine="420" w:firstLineChars="200"/>
      </w:pPr>
      <w:r>
        <w:rPr>
          <w:rFonts w:hint="eastAsia"/>
        </w:rPr>
        <w:t>（4）可持续影响满分6分，实际得分6分</w:t>
      </w:r>
    </w:p>
    <w:p w14:paraId="3B72CDF3">
      <w:pPr>
        <w:ind w:firstLine="420" w:firstLineChars="200"/>
      </w:pPr>
      <w:r>
        <w:rPr>
          <w:rFonts w:hint="eastAsia"/>
        </w:rPr>
        <w:t>①水资源质量保障水平，满分3分，实际得分3分。依据提供资料，该项目秉持“山水林田湖草是一个生命共同体”的理念，对木兰溪流域实行系统治理，为莆田市经济实现高质量可持续发展提供强有力的水资源保障。根据评分标准，此项得3分。</w:t>
      </w:r>
    </w:p>
    <w:p w14:paraId="7B699FB7">
      <w:pPr>
        <w:ind w:firstLine="420" w:firstLineChars="200"/>
      </w:pPr>
      <w:r>
        <w:rPr>
          <w:rFonts w:hint="eastAsia"/>
        </w:rPr>
        <w:t>②新增排涝面积，满分3分，实际得分3分。该项目已完成莆田宁海闸及配套治理工程计划建设挡潮闸1座，排涝泵站3座，滞洪区2350亩,堤防410公里。预计新增排涝面积30万平方米。根据评分标准，此项得3分。</w:t>
      </w:r>
    </w:p>
    <w:p w14:paraId="6B6EB518">
      <w:pPr>
        <w:ind w:firstLine="420" w:firstLineChars="200"/>
      </w:pPr>
      <w:r>
        <w:rPr>
          <w:rFonts w:hint="eastAsia"/>
        </w:rPr>
        <w:t>3.服务对象满意度满分5分，实际得分5分</w:t>
      </w:r>
    </w:p>
    <w:p w14:paraId="761854F1">
      <w:pPr>
        <w:ind w:firstLine="420" w:firstLineChars="200"/>
      </w:pPr>
      <w:r>
        <w:rPr>
          <w:rFonts w:hint="eastAsia"/>
        </w:rPr>
        <w:t>考核项目周边居民对项目实施的满意程度，满分5分，实际得分5分。经过社会问卷抽查，居民对该项目实施满意度为93%。根据评分标准，此项得5分。</w:t>
      </w:r>
    </w:p>
    <w:p w14:paraId="3257E324">
      <w:pPr>
        <w:ind w:firstLine="420" w:firstLineChars="200"/>
      </w:pPr>
      <w:bookmarkStart w:id="821" w:name="_Toc16381"/>
      <w:bookmarkStart w:id="822" w:name="_Toc9713"/>
      <w:bookmarkStart w:id="823" w:name="_Toc17681"/>
      <w:r>
        <w:rPr>
          <w:rFonts w:hint="eastAsia"/>
        </w:rPr>
        <w:t>（四）评价结论</w:t>
      </w:r>
      <w:bookmarkEnd w:id="821"/>
      <w:bookmarkEnd w:id="822"/>
      <w:bookmarkEnd w:id="823"/>
    </w:p>
    <w:p w14:paraId="4CCAE539">
      <w:pPr>
        <w:ind w:firstLine="420" w:firstLineChars="200"/>
      </w:pPr>
      <w:r>
        <w:rPr>
          <w:rFonts w:hint="eastAsia"/>
        </w:rPr>
        <w:t>根据中共莆田市委、市政府《关于全面实施预算绩效管理的实施意见》（莆委发〔2019）2号）和《项目支出绩效评价管理办法》（莆财绩（2020）2号）等有关规定，莆田学院财政绩效管理研究中心对2020年莆田市木兰溪防洪工程及配套项目（含安全生态水系建设）绩效评价指标体系逐项分析评价，3个一级指标得分情况如下：项目决策满分18分，得15.5分；项目管理满分20分，得13.5分；项目绩效满分62分，得60分。总分89分，评价等级为良好。</w:t>
      </w:r>
    </w:p>
    <w:p w14:paraId="23C9869E">
      <w:pPr>
        <w:ind w:firstLine="420" w:firstLineChars="200"/>
      </w:pPr>
      <w:r>
        <w:rPr>
          <w:rFonts w:hint="eastAsia"/>
        </w:rPr>
        <w:t>经过综合评价，2020年莆田市木兰溪防洪工程及配套项目（含安全生态水系建设）</w:t>
      </w:r>
    </w:p>
    <w:p w14:paraId="04404A26">
      <w:pPr>
        <w:ind w:firstLine="420" w:firstLineChars="200"/>
      </w:pPr>
      <w:r>
        <w:rPr>
          <w:rFonts w:hint="eastAsia"/>
        </w:rPr>
        <w:t>建设后，城市的安全线得到有力保障，莆田治水兴水融入政治建设，莆田市委市政府强化组织领导，从单一的防洪工程到系统性治理的综合工程，建立重大项目工作台帐，把细化“六大体系、十八项工程”重点任务，实行清单化项目管理，全面持续推进木兰溪流域综合提升，打造绿心城市，把城市建设与生态保护相结合，全面完善城市道路、园林景观等基础设施建设，进一步提升宜居环境品质。木兰溪防洪生态治理也从单一的防洪功能，逐步转向全流域防洪保安、生态治理、文化景观“三位一体”治理的统筹兼顾，打造出全国生态文明建设的木兰溪样本。但评价过程中也发现在项目决策、资金管理、项目产出等方面需进一步规范和完善。</w:t>
      </w:r>
      <w:bookmarkStart w:id="824" w:name="_Toc312"/>
      <w:bookmarkStart w:id="825" w:name="_Toc13751"/>
      <w:bookmarkStart w:id="826" w:name="_Toc7392"/>
      <w:bookmarkStart w:id="827" w:name="_Toc23206"/>
      <w:bookmarkStart w:id="828" w:name="_Toc27019"/>
      <w:bookmarkStart w:id="829" w:name="_Toc7895"/>
    </w:p>
    <w:p w14:paraId="2E09392D">
      <w:pPr>
        <w:ind w:firstLine="420" w:firstLineChars="200"/>
        <w:outlineLvl w:val="0"/>
      </w:pPr>
      <w:bookmarkStart w:id="830" w:name="_Toc3828"/>
      <w:r>
        <w:rPr>
          <w:rFonts w:hint="eastAsia"/>
        </w:rPr>
        <w:t>五、存在的问题</w:t>
      </w:r>
      <w:bookmarkEnd w:id="824"/>
      <w:bookmarkEnd w:id="825"/>
      <w:bookmarkEnd w:id="826"/>
      <w:bookmarkEnd w:id="827"/>
      <w:bookmarkEnd w:id="828"/>
      <w:bookmarkEnd w:id="829"/>
      <w:bookmarkEnd w:id="830"/>
    </w:p>
    <w:p w14:paraId="78DE0AA9">
      <w:pPr>
        <w:ind w:firstLine="420" w:firstLineChars="200"/>
      </w:pPr>
      <w:bookmarkStart w:id="831" w:name="_Toc3538"/>
      <w:bookmarkStart w:id="832" w:name="_Toc12494"/>
      <w:bookmarkStart w:id="833" w:name="_Toc12743"/>
      <w:bookmarkStart w:id="834" w:name="_Toc32074"/>
      <w:bookmarkStart w:id="835" w:name="_Toc13960"/>
      <w:bookmarkStart w:id="836" w:name="_Toc5561"/>
      <w:r>
        <w:rPr>
          <w:rFonts w:hint="eastAsia"/>
        </w:rPr>
        <w:t>（一）项目绩效目标方面</w:t>
      </w:r>
      <w:bookmarkEnd w:id="831"/>
    </w:p>
    <w:bookmarkEnd w:id="832"/>
    <w:bookmarkEnd w:id="833"/>
    <w:bookmarkEnd w:id="834"/>
    <w:bookmarkEnd w:id="835"/>
    <w:bookmarkEnd w:id="836"/>
    <w:p w14:paraId="440D6114">
      <w:pPr>
        <w:ind w:firstLine="420" w:firstLineChars="200"/>
      </w:pPr>
      <w:r>
        <w:rPr>
          <w:rFonts w:hint="eastAsia"/>
        </w:rPr>
        <w:t>绩效目标是预算安排的前提条件，也是预算绩效考核的依据，科学、合理设置绩效目标市绩效管理的关键环节。经评价组资料收集、数据分析级现场核查发现，2020年木兰溪防洪工程及配套项目（含安全生态水系建设）制定绩效目标时，在绩效目标合理性和明确性等方面设置的不够全面、清晰、具体、可衡量。其中在项目投入和产出方面，未能参考国家财政部分行业分领域绩效指标和福建省省级预算绩效指标库的标准设定相应的绩效目标；在项目效益方面，未能够结合2020年水利局重大水利项目投资计划和本项目的年度任务数或计划数设定相应的绩效目标。</w:t>
      </w:r>
    </w:p>
    <w:p w14:paraId="4E287253">
      <w:pPr>
        <w:ind w:firstLine="420" w:firstLineChars="200"/>
      </w:pPr>
      <w:bookmarkStart w:id="837" w:name="_Toc15142"/>
      <w:bookmarkStart w:id="838" w:name="_Toc19656"/>
      <w:bookmarkStart w:id="839" w:name="_Toc4713"/>
      <w:bookmarkStart w:id="840" w:name="_Toc26300"/>
      <w:bookmarkStart w:id="841" w:name="_Toc22187"/>
      <w:bookmarkStart w:id="842" w:name="_Toc16452"/>
      <w:bookmarkStart w:id="843" w:name="_Toc4904"/>
      <w:bookmarkStart w:id="844" w:name="_Toc20674"/>
      <w:bookmarkStart w:id="845" w:name="_Toc29554"/>
      <w:bookmarkStart w:id="846" w:name="_Toc29392"/>
      <w:bookmarkStart w:id="847" w:name="_Toc3550"/>
      <w:r>
        <w:rPr>
          <w:rFonts w:hint="eastAsia"/>
        </w:rPr>
        <w:t>（二）项目</w:t>
      </w:r>
      <w:bookmarkEnd w:id="837"/>
      <w:bookmarkEnd w:id="838"/>
      <w:bookmarkEnd w:id="839"/>
      <w:bookmarkEnd w:id="840"/>
      <w:bookmarkEnd w:id="841"/>
      <w:r>
        <w:rPr>
          <w:rFonts w:hint="eastAsia"/>
        </w:rPr>
        <w:t>资金管理方面</w:t>
      </w:r>
      <w:bookmarkEnd w:id="842"/>
    </w:p>
    <w:p w14:paraId="35C755E4">
      <w:pPr>
        <w:ind w:firstLine="420" w:firstLineChars="200"/>
      </w:pPr>
      <w:r>
        <w:rPr>
          <w:rFonts w:hint="eastAsia"/>
        </w:rPr>
        <w:t>截止2020年12月31日，2020年木兰溪防洪工程及配套项目（含安全生态水系建设）实际到位金额18346万元，为全年预算金额（27508万元）的66.69%，资金到位率偏低。未能按计划全部满足年内资金需求，导致项目在产出数量、质量、时效方面均受到一定的影响。预算执行方面，由于地方债券资金16800万元下达到项目单位时间较晚（2020年11月份才下达），资金数庞大，支付期过短，故大部分资金在2020年未能及时投入到项目中去，造成资金执行率偏低的结果，影响了资金使用的效果。</w:t>
      </w:r>
    </w:p>
    <w:p w14:paraId="19B35D5B">
      <w:pPr>
        <w:ind w:firstLine="420" w:firstLineChars="200"/>
      </w:pPr>
      <w:r>
        <w:rPr>
          <w:rFonts w:hint="eastAsia"/>
        </w:rPr>
        <w:t>（三）项目质量监控</w:t>
      </w:r>
      <w:bookmarkEnd w:id="843"/>
      <w:bookmarkEnd w:id="844"/>
      <w:bookmarkEnd w:id="845"/>
      <w:bookmarkEnd w:id="846"/>
      <w:r>
        <w:rPr>
          <w:rFonts w:hint="eastAsia"/>
        </w:rPr>
        <w:t>方面</w:t>
      </w:r>
      <w:bookmarkEnd w:id="847"/>
    </w:p>
    <w:p w14:paraId="15689CC9">
      <w:pPr>
        <w:ind w:firstLine="420" w:firstLineChars="200"/>
      </w:pPr>
      <w:r>
        <w:rPr>
          <w:rFonts w:hint="eastAsia"/>
        </w:rPr>
        <w:t>项目虽制定规范、科学的监测质量评价标准，</w:t>
      </w:r>
      <w:bookmarkStart w:id="848" w:name="_Toc5490"/>
      <w:bookmarkStart w:id="849" w:name="_Toc10303"/>
      <w:bookmarkStart w:id="850" w:name="_Toc18944"/>
      <w:bookmarkStart w:id="851" w:name="_Toc23961"/>
      <w:bookmarkStart w:id="852" w:name="_Toc24433"/>
      <w:r>
        <w:rPr>
          <w:rFonts w:hint="eastAsia"/>
        </w:rPr>
        <w:t>但在项目质量监管的实施过程中存在管理不到位的情况。经评价组资料核查发现，在预算项目绩效监控情况中，存在资金安排使用情况统计表有误（第三季度累计支出金额应该是1546万元，但监控表显示第三季度累计支出为50.42万元与实际支出不符）；项目年度绩效目标与项目绩效监控情况表的项目投入和产出指标未能对应以及部分指标目标值与完成值统计有误等情况。</w:t>
      </w:r>
      <w:bookmarkStart w:id="853" w:name="_Toc27948"/>
    </w:p>
    <w:p w14:paraId="54158F5E">
      <w:pPr>
        <w:ind w:firstLine="420" w:firstLineChars="200"/>
        <w:outlineLvl w:val="0"/>
      </w:pPr>
      <w:bookmarkStart w:id="854" w:name="_Toc12379"/>
      <w:r>
        <w:rPr>
          <w:rFonts w:hint="eastAsia"/>
        </w:rPr>
        <w:t>六、建议</w:t>
      </w:r>
      <w:bookmarkEnd w:id="848"/>
      <w:bookmarkEnd w:id="849"/>
      <w:bookmarkEnd w:id="850"/>
      <w:bookmarkEnd w:id="851"/>
      <w:bookmarkEnd w:id="852"/>
      <w:bookmarkEnd w:id="853"/>
      <w:bookmarkEnd w:id="854"/>
    </w:p>
    <w:p w14:paraId="3755B5E0">
      <w:pPr>
        <w:ind w:firstLine="420" w:firstLineChars="200"/>
      </w:pPr>
      <w:bookmarkStart w:id="855" w:name="_Toc1973"/>
      <w:bookmarkStart w:id="856" w:name="_Toc3980"/>
      <w:bookmarkStart w:id="857" w:name="_Toc7418"/>
      <w:bookmarkStart w:id="858" w:name="_Toc32595"/>
      <w:bookmarkStart w:id="859" w:name="_Toc18755"/>
      <w:bookmarkStart w:id="860" w:name="_Toc21020"/>
      <w:r>
        <w:rPr>
          <w:rFonts w:hint="eastAsia"/>
        </w:rPr>
        <w:t>（一）完善绩效目标</w:t>
      </w:r>
      <w:bookmarkEnd w:id="855"/>
      <w:bookmarkEnd w:id="856"/>
      <w:bookmarkEnd w:id="857"/>
      <w:bookmarkEnd w:id="858"/>
      <w:bookmarkEnd w:id="859"/>
      <w:r>
        <w:rPr>
          <w:rFonts w:hint="eastAsia"/>
        </w:rPr>
        <w:t>，强化绩效管理意识</w:t>
      </w:r>
      <w:bookmarkEnd w:id="860"/>
    </w:p>
    <w:p w14:paraId="03824B79">
      <w:pPr>
        <w:ind w:firstLine="420" w:firstLineChars="200"/>
      </w:pPr>
      <w:r>
        <w:rPr>
          <w:rFonts w:hint="eastAsia"/>
        </w:rPr>
        <w:t>在目标设置方面围绕工程建设实际，及时确认绩效目标的完成进展，确保项目绩效监控成果与预算目标相对应。因此，绩效目标应从数量、质量、成本和时效等要素上进行细化，尽可能采用定量表述，设置指向明确、细化量化、合理可行并且有数据支撑的绩效指标，增强绩效目标的可操作性。</w:t>
      </w:r>
      <w:bookmarkStart w:id="861" w:name="_Toc1901"/>
      <w:bookmarkStart w:id="862" w:name="_Toc3858"/>
      <w:bookmarkStart w:id="863" w:name="_Toc6631"/>
      <w:bookmarkStart w:id="864" w:name="_Toc29727"/>
      <w:bookmarkStart w:id="865" w:name="_Toc10845"/>
      <w:r>
        <w:rPr>
          <w:rFonts w:hint="eastAsia"/>
        </w:rPr>
        <w:t>应尽快建立并完善预算绩效管理机制，组织预算单位和工作人员学习预算绩效管理的法律法规、规范要求，让绩效管理人员熟知政策法规、知行合一。各部门要根据自身职能特点将绩效通用指标与木兰溪防洪项目建设需要考虑的绩效评价指标相结合，制定出一套科学、合理、符合自身特点的绩效评价指标体系。对项目实施过程中出现的预算执行绩效与绩效目标发生偏离的问题，及时提出整改意见，跟踪核查整改结果，合理完善绩效自评报告。</w:t>
      </w:r>
    </w:p>
    <w:p w14:paraId="3C8DAA99">
      <w:pPr>
        <w:ind w:firstLine="420" w:firstLineChars="200"/>
      </w:pPr>
      <w:bookmarkStart w:id="866" w:name="_Toc18739"/>
      <w:r>
        <w:rPr>
          <w:rFonts w:hint="eastAsia"/>
        </w:rPr>
        <w:t>（二）逐步完善资金管理制度，并实施监控项目流程</w:t>
      </w:r>
      <w:bookmarkEnd w:id="861"/>
      <w:bookmarkEnd w:id="862"/>
      <w:bookmarkEnd w:id="863"/>
      <w:bookmarkEnd w:id="864"/>
      <w:bookmarkEnd w:id="865"/>
      <w:bookmarkEnd w:id="866"/>
    </w:p>
    <w:p w14:paraId="709F6CB7">
      <w:pPr>
        <w:ind w:firstLine="420" w:firstLineChars="200"/>
      </w:pPr>
      <w:bookmarkStart w:id="867" w:name="_Toc13825"/>
      <w:r>
        <w:rPr>
          <w:rFonts w:hint="eastAsia"/>
        </w:rPr>
        <w:t>加强项目预算管理，建立项目库，提高资金预算和资金执行的计划性，把控项目流程。</w:t>
      </w:r>
    </w:p>
    <w:p w14:paraId="6EBBFA34">
      <w:pPr>
        <w:ind w:firstLine="420" w:firstLineChars="200"/>
      </w:pPr>
      <w:r>
        <w:rPr>
          <w:rFonts w:hint="eastAsia"/>
        </w:rPr>
        <w:t>在项目的实施过程中，管理办法可能出现部分空缺，应当制定项目变更预案、应急预案，使得在项目实际与计划出现偏差时有据可循，能够全方位的管理项目。建议对现有的管理办法进行修订完善，及时进行项目风险评测，确定风险等级，制定相应的监控机制，采取有效的财务检查等必要的监控措施或手段，健全完善全过程跟踪管理制度，加强内部机制和外部监督，使管理办法能较好的约束执行部门，更好的对项目进行管理。最后建议部门主管单位建立全市水利项目库，预算资金分配直接和项目库匹配，其他转移支付资金也直接和项目挂钩，避免整合到其他项目中，这样能够有效加强对资金的管理与使用。</w:t>
      </w:r>
    </w:p>
    <w:bookmarkEnd w:id="867"/>
    <w:p w14:paraId="57338BA3">
      <w:pPr>
        <w:ind w:firstLine="420" w:firstLineChars="200"/>
      </w:pPr>
      <w:bookmarkStart w:id="868" w:name="_Toc14049"/>
      <w:bookmarkStart w:id="869" w:name="_Toc9562"/>
      <w:bookmarkStart w:id="870" w:name="_Toc30328"/>
      <w:bookmarkStart w:id="871" w:name="_Toc12324"/>
      <w:bookmarkStart w:id="872" w:name="_Toc16211"/>
      <w:bookmarkStart w:id="873" w:name="_Toc9966"/>
      <w:r>
        <w:rPr>
          <w:rFonts w:hint="eastAsia"/>
        </w:rPr>
        <w:t>（三）制定科学规范的质量监控</w:t>
      </w:r>
      <w:bookmarkEnd w:id="868"/>
      <w:bookmarkEnd w:id="869"/>
      <w:bookmarkEnd w:id="870"/>
      <w:bookmarkEnd w:id="871"/>
      <w:bookmarkEnd w:id="872"/>
      <w:r>
        <w:rPr>
          <w:rFonts w:hint="eastAsia"/>
        </w:rPr>
        <w:t>体系</w:t>
      </w:r>
      <w:bookmarkEnd w:id="873"/>
    </w:p>
    <w:p w14:paraId="1AC99B2C">
      <w:pPr>
        <w:ind w:firstLine="420" w:firstLineChars="200"/>
      </w:pPr>
      <w:bookmarkStart w:id="874" w:name="_Toc26570"/>
      <w:r>
        <w:rPr>
          <w:rFonts w:hint="eastAsia"/>
        </w:rPr>
        <w:t>部门工作人员应加强相关知识培训，熟悉项目程序步骤，提高业务能力，项目实施过程中及时跟进项目质量监控。</w:t>
      </w:r>
      <w:bookmarkEnd w:id="874"/>
      <w:r>
        <w:rPr>
          <w:rFonts w:hint="eastAsia"/>
        </w:rPr>
        <w:t>建议结合建设单位申报资料，质量监督单位应及时办理相关质量审批手续，编制质量监督计划，审核监理及施工单位及人员的资质，确保各参建方能在自身资历等级容许、合同限定的范畴中参与防洪工程建设活动。对已竣工验收项目应及时送审计部门进行工程竣工结算审计。</w:t>
      </w:r>
    </w:p>
    <w:p w14:paraId="3D8D7339">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3142E43">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636FB9BA">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70580BE5">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87BE333">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A4E14EA">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3854A8EA">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8CA9CC0">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3270D523">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1D1999C1">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2DC98D6">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52F194DD">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14:paraId="6085AA8A">
      <w:pPr>
        <w:pStyle w:val="2"/>
        <w:jc w:val="center"/>
      </w:pPr>
      <w:bookmarkStart w:id="875" w:name="_Toc19984"/>
      <w:r>
        <w:rPr>
          <w:rFonts w:hint="eastAsia"/>
        </w:rPr>
        <w:t>莆田市海洋与渔业局2020年度部门整体支出绩效评价报告</w:t>
      </w:r>
      <w:bookmarkEnd w:id="875"/>
    </w:p>
    <w:p w14:paraId="6B355954">
      <w:pPr>
        <w:spacing w:line="560" w:lineRule="exact"/>
        <w:jc w:val="center"/>
        <w:rPr>
          <w:rFonts w:ascii="方正小标宋简体" w:hAnsi="楷体" w:eastAsia="方正小标宋简体" w:cs="方正小标宋_GBK"/>
          <w:sz w:val="44"/>
        </w:rPr>
      </w:pPr>
    </w:p>
    <w:p w14:paraId="0E6B43C6">
      <w:pPr>
        <w:ind w:firstLine="420" w:firstLineChars="200"/>
      </w:pPr>
      <w:r>
        <w:rPr>
          <w:rFonts w:hint="eastAsia"/>
        </w:rPr>
        <w:t>为加强财政资金管理，提高财政资金的使用效益，建立科学、合理的财政支出绩效评价管理体系，莆田学院财政绩效管理研究中心接受莆田市财政局委托，对莆田市海洋与渔业局部门整体支出进行绩效评价。评价工作组根据各级相关文件规定，在莆田市财政局和海洋与渔业局的配合下，开展了第三方评价，形成该绩效评价报告。</w:t>
      </w:r>
    </w:p>
    <w:p w14:paraId="7F973726">
      <w:pPr>
        <w:ind w:firstLine="420" w:firstLineChars="200"/>
        <w:outlineLvl w:val="0"/>
      </w:pPr>
      <w:bookmarkStart w:id="876" w:name="_Toc78184417"/>
      <w:bookmarkStart w:id="877" w:name="_Toc31332"/>
      <w:bookmarkStart w:id="878" w:name="_Toc49477515"/>
      <w:r>
        <w:rPr>
          <w:rFonts w:hint="eastAsia"/>
        </w:rPr>
        <w:t>一、基本概况</w:t>
      </w:r>
      <w:bookmarkEnd w:id="876"/>
      <w:bookmarkEnd w:id="877"/>
      <w:bookmarkEnd w:id="878"/>
    </w:p>
    <w:p w14:paraId="41926F3B">
      <w:pPr>
        <w:ind w:firstLine="420" w:firstLineChars="200"/>
      </w:pPr>
      <w:r>
        <w:rPr>
          <w:rFonts w:hint="eastAsia"/>
        </w:rPr>
        <w:t>（一）部门职责与机构设置</w:t>
      </w:r>
    </w:p>
    <w:p w14:paraId="015D169F">
      <w:pPr>
        <w:ind w:firstLine="420" w:firstLineChars="200"/>
      </w:pPr>
      <w:r>
        <w:rPr>
          <w:rFonts w:hint="eastAsia"/>
        </w:rPr>
        <w:t>1.部门职责</w:t>
      </w:r>
    </w:p>
    <w:p w14:paraId="0C232EAC">
      <w:pPr>
        <w:ind w:firstLine="420" w:firstLineChars="200"/>
      </w:pPr>
      <w:r>
        <w:rPr>
          <w:rFonts w:hint="eastAsia"/>
        </w:rPr>
        <w:t>莆田市海洋与渔业局部门的主要职责是：实施海洋技术，渔业资源管理，渔业渔民生产等业务。承担渔业水域生态环境保护、水产品质量安全监督、渔港和渔船管理、海洋经济运行监测、评估及信息发布。并负责海洋、渔业防灾减灾工作。</w:t>
      </w:r>
    </w:p>
    <w:p w14:paraId="47449C13">
      <w:pPr>
        <w:ind w:firstLine="420" w:firstLineChars="200"/>
      </w:pPr>
      <w:r>
        <w:rPr>
          <w:rFonts w:hint="eastAsia"/>
        </w:rPr>
        <w:t>（1）贯彻执行海洋经济与渔业发展有关海洋与渔业的法律法规和政策，依法依规起草涉及海洋经济与渔业发展有关的地方性法规、政府规章草案，拟定海洋经济和渔业发展有关政策、规划并组织实施。</w:t>
      </w:r>
    </w:p>
    <w:p w14:paraId="577EEE54">
      <w:pPr>
        <w:ind w:firstLine="420" w:firstLineChars="200"/>
      </w:pPr>
      <w:r>
        <w:rPr>
          <w:rFonts w:hint="eastAsia"/>
        </w:rPr>
        <w:t>（2）协调推进我市海洋经济发展，开展海洋经济试点示范工作。会同有关部门提出优化海洋产业结构、调整产业布局的建议，指导推动渔业产业结构、产业布局调整。协调海洋战略性新兴产业、休闲渔业等相关产业的产发展。</w:t>
      </w:r>
    </w:p>
    <w:p w14:paraId="70AA1E02">
      <w:pPr>
        <w:ind w:firstLine="420" w:firstLineChars="200"/>
      </w:pPr>
      <w:r>
        <w:rPr>
          <w:rFonts w:hint="eastAsia"/>
        </w:rPr>
        <w:t>（3）推动海洋经济科技创新，负责海洋经济运行监测评估及信息发布等。</w:t>
      </w:r>
    </w:p>
    <w:p w14:paraId="222B1067">
      <w:pPr>
        <w:ind w:firstLine="420" w:firstLineChars="200"/>
      </w:pPr>
      <w:r>
        <w:rPr>
          <w:rFonts w:hint="eastAsia"/>
        </w:rPr>
        <w:t>（4）负责编制海洋经济和渔业渔政有关投资项目建设规划，提出相关投资项目需求和财政项目安排建议，并组织指导实施。</w:t>
      </w:r>
    </w:p>
    <w:p w14:paraId="00707EAB">
      <w:pPr>
        <w:ind w:firstLine="420" w:firstLineChars="200"/>
      </w:pPr>
      <w:r>
        <w:rPr>
          <w:rFonts w:hint="eastAsia"/>
        </w:rPr>
        <w:t>（5）组织实施海洋与渔业有关标准、技术规范和节能减排，指导渔业标准化生产。接分工提出海洋与渔业有关科研、技术推广项目建议，承担有关重大科研、技术推广项目的遴选及组织实施工作。指导水产技术推广体系建设。</w:t>
      </w:r>
    </w:p>
    <w:p w14:paraId="132840B9">
      <w:pPr>
        <w:ind w:firstLine="420" w:firstLineChars="200"/>
      </w:pPr>
      <w:r>
        <w:rPr>
          <w:rFonts w:hint="eastAsia"/>
        </w:rPr>
        <w:t>（6）依法监督管理水产品质量安全、水产养殖用兽药及其它投入品的使用。指导水产品加工流通。承担渔业统计监测工作。</w:t>
      </w:r>
    </w:p>
    <w:p w14:paraId="5DF89E73">
      <w:pPr>
        <w:ind w:firstLine="420" w:firstLineChars="200"/>
      </w:pPr>
      <w:r>
        <w:rPr>
          <w:rFonts w:hint="eastAsia"/>
        </w:rPr>
        <w:t>（7）组织实施水域滩涂养殖证制度，指导水产健康养殖，组织水产养殖污染防控工作。负责水产苗种管理。承担水生动物防疫检疫相关工作，组织水生动植物病害防控工作。</w:t>
      </w:r>
    </w:p>
    <w:p w14:paraId="2C2BAA42">
      <w:pPr>
        <w:ind w:firstLine="420" w:firstLineChars="200"/>
      </w:pPr>
      <w:r>
        <w:rPr>
          <w:rFonts w:hint="eastAsia"/>
        </w:rPr>
        <w:t>（8）组织实施渔业捕捞许可制度。负责渔船、渔机、渔具监督管理，组织渔船装备更新改造。监督管理远洋渔业，推动远洋渔业发展。</w:t>
      </w:r>
    </w:p>
    <w:p w14:paraId="4A50725B">
      <w:pPr>
        <w:ind w:firstLine="420" w:firstLineChars="200"/>
      </w:pPr>
      <w:r>
        <w:rPr>
          <w:rFonts w:hint="eastAsia"/>
        </w:rPr>
        <w:t>（9）负责渔业资源、水产种质资源和水生野生动植物的保护管理和合理开发利用。组织实施休渔禁渔制度，指导水生生物资源增殖。组织开展水生野生动物资源调查和评估，研究提出地方重点保护的水生野生动植物名录调整意见。负责水产种质资源保护区和水生野生动物栖息地相关工作。按规定承担生态环境保护相关工作。</w:t>
      </w:r>
    </w:p>
    <w:p w14:paraId="239B1C78">
      <w:pPr>
        <w:ind w:firstLine="420" w:firstLineChars="200"/>
      </w:pPr>
      <w:r>
        <w:rPr>
          <w:rFonts w:hint="eastAsia"/>
        </w:rPr>
        <w:t>（10）承担我市渔港监督管理职责，负责渔业航标、渔业船员、渔业通讯管理，组织渔船渔港管理信息系统建设。承担维护渔业生产秩序，指导监督渔业执法工作等职责。指导渔业行政执法队伍建设。</w:t>
      </w:r>
    </w:p>
    <w:p w14:paraId="16C149BE">
      <w:pPr>
        <w:ind w:firstLine="420" w:firstLineChars="200"/>
      </w:pPr>
      <w:r>
        <w:rPr>
          <w:rFonts w:hint="eastAsia"/>
        </w:rPr>
        <w:t>（11）指导渔业安全生产。负责渔港、渔业船舶（含休闲渔业船舶）安全监督管理。承担职责范围内的渔业应急处置和渔业安全生产事故调查处理工作。参与渔船涉外涉台事件处理，承担渔事纠纷处理工作。</w:t>
      </w:r>
    </w:p>
    <w:p w14:paraId="5D08525A">
      <w:pPr>
        <w:ind w:firstLine="420" w:firstLineChars="200"/>
      </w:pPr>
      <w:r>
        <w:rPr>
          <w:rFonts w:hint="eastAsia"/>
        </w:rPr>
        <w:t>（12）负责海洋、渔业防灾减灾工作。负责海洋观测预报和海洋灾害预警报。组织海洋灾害影响评估和灾后生产恢复工作。</w:t>
      </w:r>
    </w:p>
    <w:p w14:paraId="6FF64B60">
      <w:pPr>
        <w:ind w:firstLine="420" w:firstLineChars="200"/>
      </w:pPr>
      <w:r>
        <w:rPr>
          <w:rFonts w:hint="eastAsia"/>
        </w:rPr>
        <w:t>（13）按分工会同有关部门组织开展海洋、渔业对外以及对台港澳有关经济、技术交流与合作。</w:t>
      </w:r>
    </w:p>
    <w:p w14:paraId="15F0FE1C">
      <w:pPr>
        <w:ind w:firstLine="420" w:firstLineChars="200"/>
      </w:pPr>
      <w:r>
        <w:rPr>
          <w:rFonts w:hint="eastAsia"/>
        </w:rPr>
        <w:t>（14）负责加强本系统、本领域人才队伍建设。</w:t>
      </w:r>
    </w:p>
    <w:p w14:paraId="74DAA215">
      <w:pPr>
        <w:ind w:firstLine="420" w:firstLineChars="200"/>
      </w:pPr>
      <w:r>
        <w:rPr>
          <w:rFonts w:hint="eastAsia"/>
        </w:rPr>
        <w:t>（15）完成市委和市政府交办的其他任务。</w:t>
      </w:r>
    </w:p>
    <w:p w14:paraId="1CC45782">
      <w:pPr>
        <w:ind w:firstLine="420" w:firstLineChars="200"/>
      </w:pPr>
      <w:r>
        <w:rPr>
          <w:rFonts w:hint="eastAsia"/>
        </w:rPr>
        <w:t>（16）职能转变。市海洋与渔业局要加强对海洋经济发展的协调，推进实施海洋强市战略，加强海洋经济发展规划，统筹协调推进我市海洋经济发展。加快转变渔业发展方式，提升利用国际国内两种资源两个市场的水平，加快渔港经济区建设，促进渔业产业振兴。强化水生生物资源养护，强化渔政渔港监督，促进渔业生态良性发展。</w:t>
      </w:r>
    </w:p>
    <w:p w14:paraId="4D6DDF10">
      <w:pPr>
        <w:ind w:firstLine="420" w:firstLineChars="200"/>
      </w:pPr>
      <w:r>
        <w:rPr>
          <w:rFonts w:hint="eastAsia"/>
        </w:rPr>
        <w:t>2.机构设置与人员情况</w:t>
      </w:r>
    </w:p>
    <w:p w14:paraId="0B2CB038">
      <w:pPr>
        <w:ind w:firstLine="420" w:firstLineChars="200"/>
      </w:pPr>
      <w:r>
        <w:rPr>
          <w:rFonts w:hint="eastAsia"/>
        </w:rPr>
        <w:t>莆田市海洋与渔业局目前内设的机构总共有五个，包括办公室、渔政法规科（行政审批科）、海洋经济科、渔业产业科、防灾减灾科。莆田市海洋与渔业局目前的下属机构总共有五个，包括莆田市海洋与渔业执法支队、莆田市水产技术推广站、莆田市海洋与渔业环境监测站、莆田市后海围垦管理局、莆田市水产科学研究所。根据莆田市海洋与渔业局2020年部门预算，机构编制部门核定的人员编制数为115人。年初部门在职实有人数103人，年末在职实有人数104人，人员变动主要原因是各单位新招录、退休等情况造成的增减变动。具体情况如表1所示。</w:t>
      </w:r>
    </w:p>
    <w:p w14:paraId="20E8576E">
      <w:pPr>
        <w:ind w:firstLine="420" w:firstLineChars="200"/>
      </w:pPr>
      <w:r>
        <w:rPr>
          <w:rFonts w:hint="eastAsia"/>
        </w:rPr>
        <w:t>表1  莆田市海洋与渔业局2020年机构设置与人员情况</w:t>
      </w:r>
    </w:p>
    <w:tbl>
      <w:tblPr>
        <w:tblStyle w:val="17"/>
        <w:tblW w:w="5000" w:type="pct"/>
        <w:jc w:val="center"/>
        <w:tblLayout w:type="autofit"/>
        <w:tblCellMar>
          <w:top w:w="0" w:type="dxa"/>
          <w:left w:w="108" w:type="dxa"/>
          <w:bottom w:w="0" w:type="dxa"/>
          <w:right w:w="108" w:type="dxa"/>
        </w:tblCellMar>
      </w:tblPr>
      <w:tblGrid>
        <w:gridCol w:w="3187"/>
        <w:gridCol w:w="2393"/>
        <w:gridCol w:w="1604"/>
        <w:gridCol w:w="1338"/>
      </w:tblGrid>
      <w:tr w14:paraId="76467915">
        <w:tblPrEx>
          <w:tblCellMar>
            <w:top w:w="0" w:type="dxa"/>
            <w:left w:w="108" w:type="dxa"/>
            <w:bottom w:w="0" w:type="dxa"/>
            <w:right w:w="108" w:type="dxa"/>
          </w:tblCellMar>
        </w:tblPrEx>
        <w:trPr>
          <w:trHeight w:val="403" w:hRule="atLeast"/>
          <w:jc w:val="center"/>
        </w:trPr>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23D4">
            <w:r>
              <w:rPr>
                <w:rFonts w:hint="eastAsia"/>
              </w:rPr>
              <w:t>单位名称</w:t>
            </w:r>
          </w:p>
        </w:tc>
        <w:tc>
          <w:tcPr>
            <w:tcW w:w="1404" w:type="pct"/>
            <w:tcBorders>
              <w:top w:val="single" w:color="000000" w:sz="4" w:space="0"/>
              <w:left w:val="nil"/>
              <w:bottom w:val="single" w:color="000000" w:sz="4" w:space="0"/>
              <w:right w:val="single" w:color="000000" w:sz="4" w:space="0"/>
            </w:tcBorders>
            <w:shd w:val="clear" w:color="auto" w:fill="auto"/>
            <w:vAlign w:val="center"/>
          </w:tcPr>
          <w:p w14:paraId="10B3D095">
            <w:r>
              <w:rPr>
                <w:rFonts w:hint="eastAsia"/>
              </w:rPr>
              <w:t>经费性质</w:t>
            </w:r>
          </w:p>
        </w:tc>
        <w:tc>
          <w:tcPr>
            <w:tcW w:w="941" w:type="pct"/>
            <w:tcBorders>
              <w:top w:val="single" w:color="000000" w:sz="4" w:space="0"/>
              <w:left w:val="nil"/>
              <w:bottom w:val="single" w:color="000000" w:sz="4" w:space="0"/>
              <w:right w:val="single" w:color="000000" w:sz="4" w:space="0"/>
            </w:tcBorders>
            <w:shd w:val="clear" w:color="auto" w:fill="auto"/>
            <w:vAlign w:val="center"/>
          </w:tcPr>
          <w:p w14:paraId="150C2C49">
            <w:r>
              <w:rPr>
                <w:rFonts w:hint="eastAsia"/>
              </w:rPr>
              <w:t>人员编制数</w:t>
            </w:r>
          </w:p>
        </w:tc>
        <w:tc>
          <w:tcPr>
            <w:tcW w:w="785" w:type="pct"/>
            <w:tcBorders>
              <w:top w:val="single" w:color="000000" w:sz="4" w:space="0"/>
              <w:left w:val="nil"/>
              <w:bottom w:val="single" w:color="000000" w:sz="4" w:space="0"/>
              <w:right w:val="single" w:color="000000" w:sz="4" w:space="0"/>
            </w:tcBorders>
            <w:shd w:val="clear" w:color="auto" w:fill="auto"/>
            <w:vAlign w:val="center"/>
          </w:tcPr>
          <w:p w14:paraId="7ED8E088">
            <w:r>
              <w:rPr>
                <w:rFonts w:hint="eastAsia"/>
              </w:rPr>
              <w:t>在职人数</w:t>
            </w:r>
          </w:p>
        </w:tc>
      </w:tr>
      <w:tr w14:paraId="013A31F8">
        <w:tblPrEx>
          <w:tblCellMar>
            <w:top w:w="0" w:type="dxa"/>
            <w:left w:w="108" w:type="dxa"/>
            <w:bottom w:w="0" w:type="dxa"/>
            <w:right w:w="108" w:type="dxa"/>
          </w:tblCellMar>
        </w:tblPrEx>
        <w:trPr>
          <w:trHeight w:val="403" w:hRule="atLeast"/>
          <w:jc w:val="center"/>
        </w:trPr>
        <w:tc>
          <w:tcPr>
            <w:tcW w:w="1870" w:type="pct"/>
            <w:tcBorders>
              <w:top w:val="nil"/>
              <w:left w:val="single" w:color="000000" w:sz="4" w:space="0"/>
              <w:bottom w:val="single" w:color="000000" w:sz="4" w:space="0"/>
              <w:right w:val="single" w:color="000000" w:sz="4" w:space="0"/>
            </w:tcBorders>
            <w:shd w:val="clear" w:color="auto" w:fill="auto"/>
            <w:vAlign w:val="center"/>
          </w:tcPr>
          <w:p w14:paraId="240A068F">
            <w:r>
              <w:rPr>
                <w:rFonts w:hint="eastAsia"/>
              </w:rPr>
              <w:t>市海洋与渔业局本级</w:t>
            </w:r>
          </w:p>
        </w:tc>
        <w:tc>
          <w:tcPr>
            <w:tcW w:w="1404" w:type="pct"/>
            <w:tcBorders>
              <w:top w:val="nil"/>
              <w:left w:val="nil"/>
              <w:bottom w:val="single" w:color="000000" w:sz="4" w:space="0"/>
              <w:right w:val="single" w:color="000000" w:sz="4" w:space="0"/>
            </w:tcBorders>
            <w:shd w:val="clear" w:color="auto" w:fill="auto"/>
            <w:vAlign w:val="center"/>
          </w:tcPr>
          <w:p w14:paraId="169960D3">
            <w:r>
              <w:rPr>
                <w:rFonts w:hint="eastAsia"/>
              </w:rPr>
              <w:t>行政单位</w:t>
            </w:r>
          </w:p>
        </w:tc>
        <w:tc>
          <w:tcPr>
            <w:tcW w:w="941" w:type="pct"/>
            <w:tcBorders>
              <w:top w:val="nil"/>
              <w:left w:val="nil"/>
              <w:bottom w:val="single" w:color="000000" w:sz="4" w:space="0"/>
              <w:right w:val="single" w:color="000000" w:sz="4" w:space="0"/>
            </w:tcBorders>
            <w:shd w:val="clear" w:color="auto" w:fill="auto"/>
            <w:vAlign w:val="center"/>
          </w:tcPr>
          <w:p w14:paraId="4BBA1A66">
            <w:r>
              <w:rPr>
                <w:rFonts w:hint="eastAsia"/>
              </w:rPr>
              <w:t>14</w:t>
            </w:r>
          </w:p>
        </w:tc>
        <w:tc>
          <w:tcPr>
            <w:tcW w:w="785" w:type="pct"/>
            <w:tcBorders>
              <w:top w:val="nil"/>
              <w:left w:val="nil"/>
              <w:bottom w:val="single" w:color="000000" w:sz="4" w:space="0"/>
              <w:right w:val="single" w:color="000000" w:sz="4" w:space="0"/>
            </w:tcBorders>
            <w:shd w:val="clear" w:color="auto" w:fill="auto"/>
            <w:vAlign w:val="center"/>
          </w:tcPr>
          <w:p w14:paraId="786BBEA6">
            <w:r>
              <w:rPr>
                <w:rFonts w:hint="eastAsia"/>
              </w:rPr>
              <w:t>14</w:t>
            </w:r>
          </w:p>
        </w:tc>
      </w:tr>
      <w:tr w14:paraId="323A0E94">
        <w:tblPrEx>
          <w:tblCellMar>
            <w:top w:w="0" w:type="dxa"/>
            <w:left w:w="108" w:type="dxa"/>
            <w:bottom w:w="0" w:type="dxa"/>
            <w:right w:w="108" w:type="dxa"/>
          </w:tblCellMar>
        </w:tblPrEx>
        <w:trPr>
          <w:trHeight w:val="403" w:hRule="atLeast"/>
          <w:jc w:val="center"/>
        </w:trPr>
        <w:tc>
          <w:tcPr>
            <w:tcW w:w="1870" w:type="pct"/>
            <w:tcBorders>
              <w:top w:val="nil"/>
              <w:left w:val="single" w:color="000000" w:sz="4" w:space="0"/>
              <w:bottom w:val="single" w:color="000000" w:sz="4" w:space="0"/>
              <w:right w:val="single" w:color="000000" w:sz="4" w:space="0"/>
            </w:tcBorders>
            <w:shd w:val="clear" w:color="auto" w:fill="auto"/>
            <w:vAlign w:val="center"/>
          </w:tcPr>
          <w:p w14:paraId="26A46668">
            <w:r>
              <w:rPr>
                <w:rFonts w:hint="eastAsia"/>
              </w:rPr>
              <w:t>市海洋与渔业执法支队</w:t>
            </w:r>
          </w:p>
        </w:tc>
        <w:tc>
          <w:tcPr>
            <w:tcW w:w="1404" w:type="pct"/>
            <w:tcBorders>
              <w:top w:val="nil"/>
              <w:left w:val="nil"/>
              <w:bottom w:val="single" w:color="000000" w:sz="4" w:space="0"/>
              <w:right w:val="single" w:color="000000" w:sz="4" w:space="0"/>
            </w:tcBorders>
            <w:shd w:val="clear" w:color="auto" w:fill="auto"/>
            <w:vAlign w:val="center"/>
          </w:tcPr>
          <w:p w14:paraId="7A1AF909">
            <w:r>
              <w:rPr>
                <w:rFonts w:hint="eastAsia"/>
              </w:rPr>
              <w:t>参公事业单位</w:t>
            </w:r>
          </w:p>
        </w:tc>
        <w:tc>
          <w:tcPr>
            <w:tcW w:w="941" w:type="pct"/>
            <w:tcBorders>
              <w:top w:val="nil"/>
              <w:left w:val="nil"/>
              <w:bottom w:val="single" w:color="000000" w:sz="4" w:space="0"/>
              <w:right w:val="single" w:color="000000" w:sz="4" w:space="0"/>
            </w:tcBorders>
            <w:shd w:val="clear" w:color="auto" w:fill="auto"/>
            <w:vAlign w:val="center"/>
          </w:tcPr>
          <w:p w14:paraId="24F07A0B">
            <w:r>
              <w:rPr>
                <w:rFonts w:hint="eastAsia"/>
              </w:rPr>
              <w:t>52</w:t>
            </w:r>
          </w:p>
        </w:tc>
        <w:tc>
          <w:tcPr>
            <w:tcW w:w="785" w:type="pct"/>
            <w:tcBorders>
              <w:top w:val="nil"/>
              <w:left w:val="nil"/>
              <w:bottom w:val="single" w:color="000000" w:sz="4" w:space="0"/>
              <w:right w:val="single" w:color="000000" w:sz="4" w:space="0"/>
            </w:tcBorders>
            <w:shd w:val="clear" w:color="auto" w:fill="auto"/>
            <w:vAlign w:val="center"/>
          </w:tcPr>
          <w:p w14:paraId="56251B8E">
            <w:r>
              <w:rPr>
                <w:rFonts w:hint="eastAsia"/>
              </w:rPr>
              <w:t>47</w:t>
            </w:r>
          </w:p>
        </w:tc>
      </w:tr>
      <w:tr w14:paraId="602A1CE6">
        <w:tblPrEx>
          <w:tblCellMar>
            <w:top w:w="0" w:type="dxa"/>
            <w:left w:w="108" w:type="dxa"/>
            <w:bottom w:w="0" w:type="dxa"/>
            <w:right w:w="108" w:type="dxa"/>
          </w:tblCellMar>
        </w:tblPrEx>
        <w:trPr>
          <w:trHeight w:val="421" w:hRule="atLeast"/>
          <w:jc w:val="center"/>
        </w:trPr>
        <w:tc>
          <w:tcPr>
            <w:tcW w:w="1870" w:type="pct"/>
            <w:tcBorders>
              <w:top w:val="nil"/>
              <w:left w:val="single" w:color="000000" w:sz="4" w:space="0"/>
              <w:bottom w:val="single" w:color="000000" w:sz="4" w:space="0"/>
              <w:right w:val="single" w:color="000000" w:sz="4" w:space="0"/>
            </w:tcBorders>
            <w:shd w:val="clear" w:color="auto" w:fill="auto"/>
            <w:vAlign w:val="center"/>
          </w:tcPr>
          <w:p w14:paraId="141BBB7A">
            <w:r>
              <w:rPr>
                <w:rFonts w:hint="eastAsia"/>
              </w:rPr>
              <w:t>市海洋与渔业环境监测站</w:t>
            </w:r>
          </w:p>
        </w:tc>
        <w:tc>
          <w:tcPr>
            <w:tcW w:w="1404" w:type="pct"/>
            <w:tcBorders>
              <w:top w:val="nil"/>
              <w:left w:val="nil"/>
              <w:bottom w:val="single" w:color="000000" w:sz="4" w:space="0"/>
              <w:right w:val="single" w:color="000000" w:sz="4" w:space="0"/>
            </w:tcBorders>
            <w:shd w:val="clear" w:color="auto" w:fill="auto"/>
            <w:vAlign w:val="center"/>
          </w:tcPr>
          <w:p w14:paraId="495064A9">
            <w:r>
              <w:rPr>
                <w:rFonts w:hint="eastAsia"/>
              </w:rPr>
              <w:t>全额拨款事业单位</w:t>
            </w:r>
          </w:p>
        </w:tc>
        <w:tc>
          <w:tcPr>
            <w:tcW w:w="941" w:type="pct"/>
            <w:tcBorders>
              <w:top w:val="nil"/>
              <w:left w:val="nil"/>
              <w:bottom w:val="single" w:color="000000" w:sz="4" w:space="0"/>
              <w:right w:val="single" w:color="000000" w:sz="4" w:space="0"/>
            </w:tcBorders>
            <w:shd w:val="clear" w:color="auto" w:fill="auto"/>
            <w:vAlign w:val="center"/>
          </w:tcPr>
          <w:p w14:paraId="447EB3E2">
            <w:r>
              <w:rPr>
                <w:rFonts w:hint="eastAsia"/>
              </w:rPr>
              <w:t>7</w:t>
            </w:r>
          </w:p>
        </w:tc>
        <w:tc>
          <w:tcPr>
            <w:tcW w:w="785" w:type="pct"/>
            <w:tcBorders>
              <w:top w:val="nil"/>
              <w:left w:val="nil"/>
              <w:bottom w:val="single" w:color="000000" w:sz="4" w:space="0"/>
              <w:right w:val="single" w:color="000000" w:sz="4" w:space="0"/>
            </w:tcBorders>
            <w:shd w:val="clear" w:color="auto" w:fill="auto"/>
            <w:vAlign w:val="center"/>
          </w:tcPr>
          <w:p w14:paraId="1F307F8E">
            <w:r>
              <w:rPr>
                <w:rFonts w:hint="eastAsia"/>
              </w:rPr>
              <w:t>5</w:t>
            </w:r>
          </w:p>
        </w:tc>
      </w:tr>
      <w:tr w14:paraId="33B58238">
        <w:tblPrEx>
          <w:tblCellMar>
            <w:top w:w="0" w:type="dxa"/>
            <w:left w:w="108" w:type="dxa"/>
            <w:bottom w:w="0" w:type="dxa"/>
            <w:right w:w="108" w:type="dxa"/>
          </w:tblCellMar>
        </w:tblPrEx>
        <w:trPr>
          <w:trHeight w:val="403" w:hRule="atLeast"/>
          <w:jc w:val="center"/>
        </w:trPr>
        <w:tc>
          <w:tcPr>
            <w:tcW w:w="1870" w:type="pct"/>
            <w:tcBorders>
              <w:top w:val="nil"/>
              <w:left w:val="single" w:color="000000" w:sz="4" w:space="0"/>
              <w:bottom w:val="single" w:color="000000" w:sz="4" w:space="0"/>
              <w:right w:val="single" w:color="000000" w:sz="4" w:space="0"/>
            </w:tcBorders>
            <w:shd w:val="clear" w:color="auto" w:fill="auto"/>
            <w:vAlign w:val="center"/>
          </w:tcPr>
          <w:p w14:paraId="3F6F46C1">
            <w:r>
              <w:rPr>
                <w:rFonts w:hint="eastAsia"/>
              </w:rPr>
              <w:t>市水产技术推广站</w:t>
            </w:r>
          </w:p>
        </w:tc>
        <w:tc>
          <w:tcPr>
            <w:tcW w:w="1404" w:type="pct"/>
            <w:tcBorders>
              <w:top w:val="nil"/>
              <w:left w:val="nil"/>
              <w:bottom w:val="single" w:color="000000" w:sz="4" w:space="0"/>
              <w:right w:val="single" w:color="000000" w:sz="4" w:space="0"/>
            </w:tcBorders>
            <w:shd w:val="clear" w:color="auto" w:fill="auto"/>
            <w:vAlign w:val="center"/>
          </w:tcPr>
          <w:p w14:paraId="39B272C2">
            <w:r>
              <w:rPr>
                <w:rFonts w:hint="eastAsia"/>
              </w:rPr>
              <w:t>全额拨款事业单位</w:t>
            </w:r>
          </w:p>
        </w:tc>
        <w:tc>
          <w:tcPr>
            <w:tcW w:w="941" w:type="pct"/>
            <w:tcBorders>
              <w:top w:val="nil"/>
              <w:left w:val="nil"/>
              <w:bottom w:val="single" w:color="000000" w:sz="4" w:space="0"/>
              <w:right w:val="single" w:color="000000" w:sz="4" w:space="0"/>
            </w:tcBorders>
            <w:shd w:val="clear" w:color="auto" w:fill="auto"/>
            <w:vAlign w:val="center"/>
          </w:tcPr>
          <w:p w14:paraId="65E477B4">
            <w:r>
              <w:rPr>
                <w:rFonts w:hint="eastAsia"/>
              </w:rPr>
              <w:t>10</w:t>
            </w:r>
          </w:p>
        </w:tc>
        <w:tc>
          <w:tcPr>
            <w:tcW w:w="785" w:type="pct"/>
            <w:tcBorders>
              <w:top w:val="nil"/>
              <w:left w:val="nil"/>
              <w:bottom w:val="single" w:color="000000" w:sz="4" w:space="0"/>
              <w:right w:val="single" w:color="000000" w:sz="4" w:space="0"/>
            </w:tcBorders>
            <w:shd w:val="clear" w:color="auto" w:fill="auto"/>
            <w:vAlign w:val="center"/>
          </w:tcPr>
          <w:p w14:paraId="2E4E2990">
            <w:r>
              <w:rPr>
                <w:rFonts w:hint="eastAsia"/>
              </w:rPr>
              <w:t>9</w:t>
            </w:r>
          </w:p>
        </w:tc>
      </w:tr>
      <w:tr w14:paraId="211AFBC9">
        <w:tblPrEx>
          <w:tblCellMar>
            <w:top w:w="0" w:type="dxa"/>
            <w:left w:w="108" w:type="dxa"/>
            <w:bottom w:w="0" w:type="dxa"/>
            <w:right w:w="108" w:type="dxa"/>
          </w:tblCellMar>
        </w:tblPrEx>
        <w:trPr>
          <w:trHeight w:val="421" w:hRule="atLeast"/>
          <w:jc w:val="center"/>
        </w:trPr>
        <w:tc>
          <w:tcPr>
            <w:tcW w:w="1870" w:type="pct"/>
            <w:tcBorders>
              <w:top w:val="nil"/>
              <w:left w:val="single" w:color="000000" w:sz="4" w:space="0"/>
              <w:bottom w:val="single" w:color="000000" w:sz="4" w:space="0"/>
              <w:right w:val="single" w:color="000000" w:sz="4" w:space="0"/>
            </w:tcBorders>
            <w:shd w:val="clear" w:color="auto" w:fill="auto"/>
            <w:vAlign w:val="center"/>
          </w:tcPr>
          <w:p w14:paraId="5A2B2926">
            <w:r>
              <w:rPr>
                <w:rFonts w:hint="eastAsia"/>
              </w:rPr>
              <w:t>市水产科学研究所</w:t>
            </w:r>
          </w:p>
        </w:tc>
        <w:tc>
          <w:tcPr>
            <w:tcW w:w="1404" w:type="pct"/>
            <w:tcBorders>
              <w:top w:val="nil"/>
              <w:left w:val="nil"/>
              <w:bottom w:val="single" w:color="000000" w:sz="4" w:space="0"/>
              <w:right w:val="single" w:color="000000" w:sz="4" w:space="0"/>
            </w:tcBorders>
            <w:shd w:val="clear" w:color="auto" w:fill="auto"/>
            <w:vAlign w:val="center"/>
          </w:tcPr>
          <w:p w14:paraId="1CD10A6E">
            <w:r>
              <w:rPr>
                <w:rFonts w:hint="eastAsia"/>
              </w:rPr>
              <w:t>全额拨款事业单位</w:t>
            </w:r>
          </w:p>
        </w:tc>
        <w:tc>
          <w:tcPr>
            <w:tcW w:w="941" w:type="pct"/>
            <w:tcBorders>
              <w:top w:val="nil"/>
              <w:left w:val="nil"/>
              <w:bottom w:val="single" w:color="000000" w:sz="4" w:space="0"/>
              <w:right w:val="single" w:color="000000" w:sz="4" w:space="0"/>
            </w:tcBorders>
            <w:shd w:val="clear" w:color="auto" w:fill="auto"/>
            <w:vAlign w:val="center"/>
          </w:tcPr>
          <w:p w14:paraId="6487EFA9">
            <w:r>
              <w:rPr>
                <w:rFonts w:hint="eastAsia"/>
              </w:rPr>
              <w:t>20</w:t>
            </w:r>
          </w:p>
        </w:tc>
        <w:tc>
          <w:tcPr>
            <w:tcW w:w="785" w:type="pct"/>
            <w:tcBorders>
              <w:top w:val="nil"/>
              <w:left w:val="nil"/>
              <w:bottom w:val="single" w:color="000000" w:sz="4" w:space="0"/>
              <w:right w:val="single" w:color="000000" w:sz="4" w:space="0"/>
            </w:tcBorders>
            <w:shd w:val="clear" w:color="auto" w:fill="auto"/>
            <w:vAlign w:val="center"/>
          </w:tcPr>
          <w:p w14:paraId="3EED643D">
            <w:r>
              <w:rPr>
                <w:rFonts w:hint="eastAsia"/>
              </w:rPr>
              <w:t>18</w:t>
            </w:r>
          </w:p>
        </w:tc>
      </w:tr>
      <w:tr w14:paraId="347E0E22">
        <w:tblPrEx>
          <w:tblCellMar>
            <w:top w:w="0" w:type="dxa"/>
            <w:left w:w="108" w:type="dxa"/>
            <w:bottom w:w="0" w:type="dxa"/>
            <w:right w:w="108" w:type="dxa"/>
          </w:tblCellMar>
        </w:tblPrEx>
        <w:trPr>
          <w:trHeight w:val="421" w:hRule="atLeast"/>
          <w:jc w:val="center"/>
        </w:trPr>
        <w:tc>
          <w:tcPr>
            <w:tcW w:w="1870" w:type="pct"/>
            <w:tcBorders>
              <w:top w:val="nil"/>
              <w:left w:val="single" w:color="000000" w:sz="4" w:space="0"/>
              <w:bottom w:val="single" w:color="000000" w:sz="4" w:space="0"/>
              <w:right w:val="single" w:color="000000" w:sz="4" w:space="0"/>
            </w:tcBorders>
            <w:shd w:val="clear" w:color="auto" w:fill="auto"/>
            <w:vAlign w:val="center"/>
          </w:tcPr>
          <w:p w14:paraId="606D938D">
            <w:r>
              <w:rPr>
                <w:rFonts w:hint="eastAsia"/>
              </w:rPr>
              <w:t>市后海围垦管理局</w:t>
            </w:r>
          </w:p>
        </w:tc>
        <w:tc>
          <w:tcPr>
            <w:tcW w:w="1404" w:type="pct"/>
            <w:tcBorders>
              <w:top w:val="nil"/>
              <w:left w:val="nil"/>
              <w:bottom w:val="single" w:color="000000" w:sz="4" w:space="0"/>
              <w:right w:val="single" w:color="000000" w:sz="4" w:space="0"/>
            </w:tcBorders>
            <w:shd w:val="clear" w:color="auto" w:fill="auto"/>
            <w:vAlign w:val="center"/>
          </w:tcPr>
          <w:p w14:paraId="099D0EA3">
            <w:r>
              <w:rPr>
                <w:rFonts w:hint="eastAsia"/>
              </w:rPr>
              <w:t>差额补助事业单位</w:t>
            </w:r>
          </w:p>
        </w:tc>
        <w:tc>
          <w:tcPr>
            <w:tcW w:w="941" w:type="pct"/>
            <w:tcBorders>
              <w:top w:val="nil"/>
              <w:left w:val="nil"/>
              <w:bottom w:val="single" w:color="000000" w:sz="4" w:space="0"/>
              <w:right w:val="single" w:color="000000" w:sz="4" w:space="0"/>
            </w:tcBorders>
            <w:shd w:val="clear" w:color="auto" w:fill="auto"/>
            <w:vAlign w:val="center"/>
          </w:tcPr>
          <w:p w14:paraId="6E5AB7CE">
            <w:r>
              <w:rPr>
                <w:rFonts w:hint="eastAsia"/>
              </w:rPr>
              <w:t>12</w:t>
            </w:r>
          </w:p>
        </w:tc>
        <w:tc>
          <w:tcPr>
            <w:tcW w:w="785" w:type="pct"/>
            <w:tcBorders>
              <w:top w:val="nil"/>
              <w:left w:val="nil"/>
              <w:bottom w:val="single" w:color="000000" w:sz="4" w:space="0"/>
              <w:right w:val="single" w:color="000000" w:sz="4" w:space="0"/>
            </w:tcBorders>
            <w:shd w:val="clear" w:color="auto" w:fill="auto"/>
            <w:vAlign w:val="center"/>
          </w:tcPr>
          <w:p w14:paraId="7A802C85">
            <w:r>
              <w:rPr>
                <w:rFonts w:hint="eastAsia"/>
              </w:rPr>
              <w:t>11</w:t>
            </w:r>
          </w:p>
        </w:tc>
      </w:tr>
    </w:tbl>
    <w:p w14:paraId="71059DB7">
      <w:pPr>
        <w:ind w:firstLine="420" w:firstLineChars="200"/>
      </w:pPr>
      <w:r>
        <w:rPr>
          <w:rFonts w:hint="eastAsia"/>
        </w:rPr>
        <w:t>（二）年度总体工作和重点工作任务</w:t>
      </w:r>
    </w:p>
    <w:p w14:paraId="2519F8F2">
      <w:pPr>
        <w:ind w:firstLine="420" w:firstLineChars="200"/>
      </w:pPr>
      <w:r>
        <w:rPr>
          <w:rFonts w:hint="eastAsia"/>
        </w:rPr>
        <w:t>1.年度总体工作</w:t>
      </w:r>
    </w:p>
    <w:p w14:paraId="440725EB">
      <w:pPr>
        <w:ind w:firstLine="420" w:firstLineChars="200"/>
      </w:pPr>
      <w:r>
        <w:rPr>
          <w:rFonts w:hint="eastAsia"/>
        </w:rPr>
        <w:t>2020年是全面建成小康社会和“十三五”规划收官之年，我市海洋与渔业工作坚持以习近平新时代中国特色社会主义思想为指导，全面贯彻党的十九大和十九届二中、三中、四中全会精神，深入贯彻习近平总书记对福建工作的重要指示批示精神和治理木兰溪的重要理念，围绕市委、市政府“突出开放招商、强化项目带动”决策部署，积极主动作为，扎实推动海洋与渔业高质量发展落实赶超，为加快建设美丽莆田作出更大贡献。2020年，力争全市海洋生产总值比增8%以上，渔业产值比增3%以上，水产品总产量比增3%以上。</w:t>
      </w:r>
    </w:p>
    <w:p w14:paraId="4BC6073A">
      <w:pPr>
        <w:ind w:firstLine="420" w:firstLineChars="200"/>
      </w:pPr>
      <w:r>
        <w:rPr>
          <w:rFonts w:hint="eastAsia"/>
        </w:rPr>
        <w:t>2.年度重点工作任务</w:t>
      </w:r>
    </w:p>
    <w:p w14:paraId="7411D9DD">
      <w:pPr>
        <w:ind w:firstLine="420" w:firstLineChars="200"/>
      </w:pPr>
      <w:r>
        <w:rPr>
          <w:rFonts w:hint="eastAsia"/>
        </w:rPr>
        <w:t>（1）提升海洋经济发展质量。组织实施海洋强省建重大在建项目15个以上；安排重大前期项目15个以上。此外，组织实施海洋强市重点在建项目15个以上。加快推进秀屿海洋产业发展示范县建设。充分发挥市级海洋经济、现代渔业和海洋牧场三位一体的财政支持政策优势，切实培育省市两级海洋产业龙头企业。积极运用“四经普”和“一海调”成果。加快启动“十四五”海洋经济发展专项规划编制程序。</w:t>
      </w:r>
    </w:p>
    <w:p w14:paraId="69942E65">
      <w:pPr>
        <w:ind w:firstLine="420" w:firstLineChars="200"/>
      </w:pPr>
      <w:r>
        <w:rPr>
          <w:rFonts w:hint="eastAsia"/>
        </w:rPr>
        <w:t>（2）促进现代渔业绿色发展。进一步推动实施渔业养殖设施升级改造工程，争取建设全塑胶养殖渔排3000方米。扶持水产品加工生产线项目建设。积极发展水产品加工、水产品冷链物流，推进涵江区水产品冷链物流项目建设。发展休闲渔业，促进“水乡渔村”“最美渔村”“休闲渔业示范基地”等休闲渔业品牌建设。强化水产品质量安全监管，推进水产品“一品一码”可追溯系统实施。持续开展渔业养殖尾水监测、渔业区赤潮加密监测、增养殖区环境趋势监测、渔业污染事故监测等。</w:t>
      </w:r>
    </w:p>
    <w:p w14:paraId="1B574AAE">
      <w:pPr>
        <w:ind w:firstLine="420" w:firstLineChars="200"/>
      </w:pPr>
      <w:r>
        <w:rPr>
          <w:rFonts w:hint="eastAsia"/>
        </w:rPr>
        <w:t>（3）提升渔船渔港管理水平。强化渔船船员管理，严禁渔船缺配或配备不适任船员以及超乘员出海生产作业。加强渔港监管，落实渔船进出渔港报告制度，执行渔港巡查工作规则。加大渔港规划力度和建设力度，重点推进平海一级渔港提升前期工作和湄洲岛一级渔港建设。落实渔业安全生产监管，组织开展全市渔船安全生产隐患排查治理专项行动，强化安全终端配备使用及安全措施落实情况检查。强化敏感海域管控，运用应急指挥平台和“电子围栏”等科技手段，密切监控辖区内60马力以上渔船动态，确保渔船不赴敏感海域、不“越界”捕捞。</w:t>
      </w:r>
    </w:p>
    <w:p w14:paraId="511E9399">
      <w:pPr>
        <w:ind w:firstLine="420" w:firstLineChars="200"/>
      </w:pPr>
      <w:r>
        <w:rPr>
          <w:rFonts w:hint="eastAsia"/>
        </w:rPr>
        <w:t>（4）</w:t>
      </w:r>
      <w:r>
        <w:t>筑牢海洋防灾减灾安全屏障。</w:t>
      </w:r>
      <w:r>
        <w:rPr>
          <w:rFonts w:hint="eastAsia"/>
        </w:rPr>
        <w:t>继续强化渔业防台应急管理，落实渔业防台联络人制度，严格执行渔业防台预案。加强与各海洋预报台、气象机构的沟通联系，做好灾害趋势预判，提升灾害性天气预警报服务。加强防灾减灾知识培训和普及，利用好渔港LED加强防灾减灾宣传，提高渔区群众防灾减灾意识和能力</w:t>
      </w:r>
      <w:r>
        <w:t>。</w:t>
      </w:r>
      <w:r>
        <w:rPr>
          <w:rFonts w:hint="eastAsia"/>
        </w:rPr>
        <w:t>完善海上渔业安全应急指挥系统建设，加强对渔港渔排视频监控设备的巡查和维护。加强终端管理，有效利用北斗示位仪定位功能。进一步完善渔业救助体系建设，加强与市海上搜救各成员单位的合作。开展海上渔业安全应急指挥系统的升级改造，强化系统监督管理，保持海上信息畅通。强化渔船海上自救互救建设，建立健全渔船海上互救奖惩机制。</w:t>
      </w:r>
    </w:p>
    <w:p w14:paraId="72C34A61">
      <w:pPr>
        <w:ind w:firstLine="420" w:firstLineChars="200"/>
      </w:pPr>
      <w:r>
        <w:rPr>
          <w:rFonts w:hint="eastAsia"/>
        </w:rPr>
        <w:t>（5）严格海洋与渔业执法监管。采取日常巡查监管、重点区域值勤防控、联合执法综合整治、发挥协作协管作用等措施，严格施行渔业船舶检验规范，开展渔船修造企业定期执法巡查。组织打击非法捕捞专项联合执法行动，打击非法海洋捕捞行为。</w:t>
      </w:r>
    </w:p>
    <w:p w14:paraId="6EB7392A">
      <w:pPr>
        <w:ind w:firstLine="420" w:firstLineChars="200"/>
      </w:pPr>
      <w:r>
        <w:rPr>
          <w:rFonts w:hint="eastAsia"/>
        </w:rPr>
        <w:t>（三）部门整体支出绩效目标</w:t>
      </w:r>
    </w:p>
    <w:p w14:paraId="5A6C1EA1">
      <w:pPr>
        <w:ind w:firstLine="420" w:firstLineChars="200"/>
      </w:pPr>
      <w:r>
        <w:rPr>
          <w:rFonts w:hint="eastAsia"/>
        </w:rPr>
        <w:t>1.整体绩效目标</w:t>
      </w:r>
    </w:p>
    <w:p w14:paraId="16514C4B">
      <w:pPr>
        <w:ind w:firstLine="420" w:firstLineChars="200"/>
      </w:pPr>
      <w:r>
        <w:rPr>
          <w:rFonts w:hint="eastAsia"/>
        </w:rPr>
        <w:t>维持日常工作运行，保障项目进度有序进行，顺利完成2020年承诺发展目标任务。</w:t>
      </w:r>
    </w:p>
    <w:p w14:paraId="6222B2C5">
      <w:pPr>
        <w:ind w:firstLine="420" w:firstLineChars="200"/>
      </w:pPr>
      <w:r>
        <w:rPr>
          <w:rFonts w:hint="eastAsia"/>
        </w:rPr>
        <w:t>表2  莆田市海洋与渔业局2020年度部门整体支出绩效目标指标体系</w:t>
      </w:r>
    </w:p>
    <w:tbl>
      <w:tblPr>
        <w:tblStyle w:val="17"/>
        <w:tblW w:w="5000" w:type="pct"/>
        <w:jc w:val="center"/>
        <w:tblLayout w:type="autofit"/>
        <w:tblCellMar>
          <w:top w:w="0" w:type="dxa"/>
          <w:left w:w="108" w:type="dxa"/>
          <w:bottom w:w="0" w:type="dxa"/>
          <w:right w:w="108" w:type="dxa"/>
        </w:tblCellMar>
      </w:tblPr>
      <w:tblGrid>
        <w:gridCol w:w="1386"/>
        <w:gridCol w:w="1304"/>
        <w:gridCol w:w="2041"/>
        <w:gridCol w:w="1911"/>
        <w:gridCol w:w="1880"/>
      </w:tblGrid>
      <w:tr w14:paraId="3A1510C7">
        <w:tblPrEx>
          <w:tblCellMar>
            <w:top w:w="0" w:type="dxa"/>
            <w:left w:w="108" w:type="dxa"/>
            <w:bottom w:w="0" w:type="dxa"/>
            <w:right w:w="108" w:type="dxa"/>
          </w:tblCellMar>
        </w:tblPrEx>
        <w:trPr>
          <w:trHeight w:val="267" w:hRule="atLeast"/>
          <w:jc w:val="center"/>
        </w:trPr>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08B49679">
            <w:r>
              <w:rPr>
                <w:rFonts w:hint="eastAsia"/>
              </w:rPr>
              <w:t>一级指标</w:t>
            </w:r>
          </w:p>
        </w:tc>
        <w:tc>
          <w:tcPr>
            <w:tcW w:w="765" w:type="pct"/>
            <w:tcBorders>
              <w:top w:val="single" w:color="auto" w:sz="4" w:space="0"/>
              <w:left w:val="nil"/>
              <w:bottom w:val="single" w:color="auto" w:sz="4" w:space="0"/>
              <w:right w:val="single" w:color="auto" w:sz="4" w:space="0"/>
            </w:tcBorders>
            <w:shd w:val="clear" w:color="auto" w:fill="auto"/>
            <w:vAlign w:val="center"/>
          </w:tcPr>
          <w:p w14:paraId="060A3B11">
            <w:r>
              <w:rPr>
                <w:rFonts w:hint="eastAsia"/>
              </w:rPr>
              <w:t>二级指标</w:t>
            </w:r>
          </w:p>
        </w:tc>
        <w:tc>
          <w:tcPr>
            <w:tcW w:w="1197" w:type="pct"/>
            <w:tcBorders>
              <w:top w:val="single" w:color="auto" w:sz="4" w:space="0"/>
              <w:left w:val="nil"/>
              <w:bottom w:val="single" w:color="auto" w:sz="4" w:space="0"/>
              <w:right w:val="single" w:color="auto" w:sz="4" w:space="0"/>
            </w:tcBorders>
            <w:shd w:val="clear" w:color="auto" w:fill="auto"/>
            <w:noWrap/>
            <w:vAlign w:val="center"/>
          </w:tcPr>
          <w:p w14:paraId="2401C8DE">
            <w:r>
              <w:rPr>
                <w:rFonts w:hint="eastAsia"/>
              </w:rPr>
              <w:t>三级指标</w:t>
            </w:r>
          </w:p>
        </w:tc>
        <w:tc>
          <w:tcPr>
            <w:tcW w:w="1121" w:type="pct"/>
            <w:tcBorders>
              <w:top w:val="single" w:color="auto" w:sz="4" w:space="0"/>
              <w:left w:val="nil"/>
              <w:bottom w:val="single" w:color="auto" w:sz="4" w:space="0"/>
              <w:right w:val="single" w:color="auto" w:sz="4" w:space="0"/>
            </w:tcBorders>
            <w:shd w:val="clear" w:color="auto" w:fill="auto"/>
            <w:vAlign w:val="center"/>
          </w:tcPr>
          <w:p w14:paraId="3441B69E">
            <w:r>
              <w:rPr>
                <w:rFonts w:hint="eastAsia"/>
              </w:rPr>
              <w:t>上年实际值</w:t>
            </w:r>
          </w:p>
        </w:tc>
        <w:tc>
          <w:tcPr>
            <w:tcW w:w="1103" w:type="pct"/>
            <w:tcBorders>
              <w:top w:val="single" w:color="auto" w:sz="4" w:space="0"/>
              <w:left w:val="nil"/>
              <w:bottom w:val="single" w:color="auto" w:sz="4" w:space="0"/>
              <w:right w:val="single" w:color="auto" w:sz="4" w:space="0"/>
            </w:tcBorders>
            <w:shd w:val="clear" w:color="auto" w:fill="auto"/>
            <w:vAlign w:val="center"/>
          </w:tcPr>
          <w:p w14:paraId="2AE40C9B">
            <w:r>
              <w:rPr>
                <w:rFonts w:hint="eastAsia"/>
              </w:rPr>
              <w:t>本年目标值</w:t>
            </w:r>
          </w:p>
        </w:tc>
      </w:tr>
      <w:tr w14:paraId="516E2A95">
        <w:tblPrEx>
          <w:tblCellMar>
            <w:top w:w="0" w:type="dxa"/>
            <w:left w:w="108" w:type="dxa"/>
            <w:bottom w:w="0" w:type="dxa"/>
            <w:right w:w="108" w:type="dxa"/>
          </w:tblCellMar>
        </w:tblPrEx>
        <w:trPr>
          <w:trHeight w:val="658" w:hRule="atLeast"/>
          <w:jc w:val="center"/>
        </w:trPr>
        <w:tc>
          <w:tcPr>
            <w:tcW w:w="813" w:type="pct"/>
            <w:vMerge w:val="restart"/>
            <w:tcBorders>
              <w:top w:val="nil"/>
              <w:left w:val="single" w:color="auto" w:sz="4" w:space="0"/>
              <w:bottom w:val="single" w:color="auto" w:sz="4" w:space="0"/>
              <w:right w:val="single" w:color="auto" w:sz="4" w:space="0"/>
            </w:tcBorders>
            <w:shd w:val="clear" w:color="auto" w:fill="auto"/>
            <w:vAlign w:val="center"/>
          </w:tcPr>
          <w:p w14:paraId="71826876">
            <w:r>
              <w:rPr>
                <w:rFonts w:hint="eastAsia"/>
              </w:rPr>
              <w:t>投入</w:t>
            </w:r>
          </w:p>
        </w:tc>
        <w:tc>
          <w:tcPr>
            <w:tcW w:w="765" w:type="pct"/>
            <w:vMerge w:val="restart"/>
            <w:tcBorders>
              <w:top w:val="nil"/>
              <w:left w:val="single" w:color="auto" w:sz="4" w:space="0"/>
              <w:bottom w:val="single" w:color="auto" w:sz="4" w:space="0"/>
              <w:right w:val="single" w:color="auto" w:sz="4" w:space="0"/>
            </w:tcBorders>
            <w:shd w:val="clear" w:color="auto" w:fill="auto"/>
            <w:vAlign w:val="center"/>
          </w:tcPr>
          <w:p w14:paraId="49944312">
            <w:r>
              <w:rPr>
                <w:rFonts w:hint="eastAsia"/>
              </w:rPr>
              <w:t>预算配置</w:t>
            </w:r>
          </w:p>
        </w:tc>
        <w:tc>
          <w:tcPr>
            <w:tcW w:w="1197" w:type="pct"/>
            <w:tcBorders>
              <w:top w:val="nil"/>
              <w:left w:val="nil"/>
              <w:bottom w:val="single" w:color="auto" w:sz="4" w:space="0"/>
              <w:right w:val="single" w:color="auto" w:sz="4" w:space="0"/>
            </w:tcBorders>
            <w:shd w:val="clear" w:color="auto" w:fill="auto"/>
            <w:vAlign w:val="center"/>
          </w:tcPr>
          <w:p w14:paraId="660727BE">
            <w:r>
              <w:rPr>
                <w:rFonts w:hint="eastAsia"/>
              </w:rPr>
              <w:t>在职人员控制率</w:t>
            </w:r>
          </w:p>
        </w:tc>
        <w:tc>
          <w:tcPr>
            <w:tcW w:w="1121" w:type="pct"/>
            <w:tcBorders>
              <w:top w:val="nil"/>
              <w:left w:val="nil"/>
              <w:bottom w:val="single" w:color="auto" w:sz="4" w:space="0"/>
              <w:right w:val="single" w:color="auto" w:sz="4" w:space="0"/>
            </w:tcBorders>
            <w:shd w:val="clear" w:color="auto" w:fill="auto"/>
            <w:vAlign w:val="center"/>
          </w:tcPr>
          <w:p w14:paraId="1E7A436B">
            <w:r>
              <w:rPr>
                <w:rFonts w:hint="eastAsia"/>
              </w:rPr>
              <w:t>89.57</w:t>
            </w:r>
          </w:p>
        </w:tc>
        <w:tc>
          <w:tcPr>
            <w:tcW w:w="1103" w:type="pct"/>
            <w:tcBorders>
              <w:top w:val="nil"/>
              <w:left w:val="nil"/>
              <w:bottom w:val="single" w:color="auto" w:sz="4" w:space="0"/>
              <w:right w:val="single" w:color="auto" w:sz="4" w:space="0"/>
            </w:tcBorders>
            <w:shd w:val="clear" w:color="auto" w:fill="auto"/>
            <w:vAlign w:val="center"/>
          </w:tcPr>
          <w:p w14:paraId="3D88E4A6">
            <w:r>
              <w:rPr>
                <w:rFonts w:hint="eastAsia"/>
              </w:rPr>
              <w:t>92.00</w:t>
            </w:r>
          </w:p>
        </w:tc>
      </w:tr>
      <w:tr w14:paraId="41CDEE93">
        <w:tblPrEx>
          <w:tblCellMar>
            <w:top w:w="0" w:type="dxa"/>
            <w:left w:w="108" w:type="dxa"/>
            <w:bottom w:w="0" w:type="dxa"/>
            <w:right w:w="108" w:type="dxa"/>
          </w:tblCellMar>
        </w:tblPrEx>
        <w:trPr>
          <w:trHeight w:val="756" w:hRule="atLeast"/>
          <w:jc w:val="center"/>
        </w:trPr>
        <w:tc>
          <w:tcPr>
            <w:tcW w:w="813" w:type="pct"/>
            <w:vMerge w:val="continue"/>
            <w:tcBorders>
              <w:top w:val="nil"/>
              <w:left w:val="single" w:color="auto" w:sz="4" w:space="0"/>
              <w:bottom w:val="single" w:color="auto" w:sz="4" w:space="0"/>
              <w:right w:val="single" w:color="auto" w:sz="4" w:space="0"/>
            </w:tcBorders>
            <w:shd w:val="clear" w:color="auto" w:fill="auto"/>
            <w:vAlign w:val="center"/>
          </w:tcPr>
          <w:p w14:paraId="2283D3A1"/>
        </w:tc>
        <w:tc>
          <w:tcPr>
            <w:tcW w:w="765" w:type="pct"/>
            <w:vMerge w:val="continue"/>
            <w:tcBorders>
              <w:top w:val="nil"/>
              <w:left w:val="single" w:color="auto" w:sz="4" w:space="0"/>
              <w:bottom w:val="single" w:color="auto" w:sz="4" w:space="0"/>
              <w:right w:val="single" w:color="auto" w:sz="4" w:space="0"/>
            </w:tcBorders>
            <w:shd w:val="clear" w:color="auto" w:fill="auto"/>
            <w:vAlign w:val="center"/>
          </w:tcPr>
          <w:p w14:paraId="65063129"/>
        </w:tc>
        <w:tc>
          <w:tcPr>
            <w:tcW w:w="1197" w:type="pct"/>
            <w:tcBorders>
              <w:top w:val="nil"/>
              <w:left w:val="nil"/>
              <w:bottom w:val="single" w:color="auto" w:sz="4" w:space="0"/>
              <w:right w:val="single" w:color="auto" w:sz="4" w:space="0"/>
            </w:tcBorders>
            <w:shd w:val="clear" w:color="auto" w:fill="auto"/>
            <w:vAlign w:val="center"/>
          </w:tcPr>
          <w:p w14:paraId="7C4D8C20">
            <w:r>
              <w:rPr>
                <w:rFonts w:hint="eastAsia"/>
              </w:rPr>
              <w:t>“三公经费”变动率</w:t>
            </w:r>
          </w:p>
        </w:tc>
        <w:tc>
          <w:tcPr>
            <w:tcW w:w="1121" w:type="pct"/>
            <w:tcBorders>
              <w:top w:val="nil"/>
              <w:left w:val="nil"/>
              <w:bottom w:val="single" w:color="auto" w:sz="4" w:space="0"/>
              <w:right w:val="single" w:color="auto" w:sz="4" w:space="0"/>
            </w:tcBorders>
            <w:shd w:val="clear" w:color="auto" w:fill="auto"/>
            <w:vAlign w:val="center"/>
          </w:tcPr>
          <w:p w14:paraId="02D784B7">
            <w:r>
              <w:rPr>
                <w:rFonts w:hint="eastAsia"/>
              </w:rPr>
              <w:t>0.00</w:t>
            </w:r>
          </w:p>
        </w:tc>
        <w:tc>
          <w:tcPr>
            <w:tcW w:w="1103" w:type="pct"/>
            <w:tcBorders>
              <w:top w:val="nil"/>
              <w:left w:val="nil"/>
              <w:bottom w:val="single" w:color="auto" w:sz="4" w:space="0"/>
              <w:right w:val="single" w:color="auto" w:sz="4" w:space="0"/>
            </w:tcBorders>
            <w:shd w:val="clear" w:color="auto" w:fill="auto"/>
            <w:vAlign w:val="center"/>
          </w:tcPr>
          <w:p w14:paraId="3D885B9A">
            <w:r>
              <w:rPr>
                <w:rFonts w:hint="eastAsia"/>
              </w:rPr>
              <w:t>-28.45</w:t>
            </w:r>
          </w:p>
        </w:tc>
      </w:tr>
      <w:tr w14:paraId="682FD6DD">
        <w:tblPrEx>
          <w:tblCellMar>
            <w:top w:w="0" w:type="dxa"/>
            <w:left w:w="108" w:type="dxa"/>
            <w:bottom w:w="0" w:type="dxa"/>
            <w:right w:w="108" w:type="dxa"/>
          </w:tblCellMar>
        </w:tblPrEx>
        <w:trPr>
          <w:trHeight w:val="462" w:hRule="atLeast"/>
          <w:jc w:val="center"/>
        </w:trPr>
        <w:tc>
          <w:tcPr>
            <w:tcW w:w="813" w:type="pct"/>
            <w:vMerge w:val="restart"/>
            <w:tcBorders>
              <w:top w:val="nil"/>
              <w:left w:val="single" w:color="auto" w:sz="4" w:space="0"/>
              <w:bottom w:val="single" w:color="auto" w:sz="4" w:space="0"/>
              <w:right w:val="single" w:color="auto" w:sz="4" w:space="0"/>
            </w:tcBorders>
            <w:shd w:val="clear" w:color="auto" w:fill="auto"/>
            <w:vAlign w:val="center"/>
          </w:tcPr>
          <w:p w14:paraId="17CB2CC3">
            <w:r>
              <w:rPr>
                <w:rFonts w:hint="eastAsia"/>
              </w:rPr>
              <w:t>过程</w:t>
            </w:r>
          </w:p>
        </w:tc>
        <w:tc>
          <w:tcPr>
            <w:tcW w:w="765" w:type="pct"/>
            <w:vMerge w:val="restart"/>
            <w:tcBorders>
              <w:top w:val="nil"/>
              <w:left w:val="single" w:color="auto" w:sz="4" w:space="0"/>
              <w:bottom w:val="single" w:color="auto" w:sz="4" w:space="0"/>
              <w:right w:val="single" w:color="auto" w:sz="4" w:space="0"/>
            </w:tcBorders>
            <w:shd w:val="clear" w:color="auto" w:fill="auto"/>
            <w:vAlign w:val="center"/>
          </w:tcPr>
          <w:p w14:paraId="429A6584">
            <w:r>
              <w:rPr>
                <w:rFonts w:hint="eastAsia"/>
              </w:rPr>
              <w:t>预算执行</w:t>
            </w:r>
          </w:p>
        </w:tc>
        <w:tc>
          <w:tcPr>
            <w:tcW w:w="1197" w:type="pct"/>
            <w:tcBorders>
              <w:top w:val="nil"/>
              <w:left w:val="nil"/>
              <w:bottom w:val="single" w:color="auto" w:sz="4" w:space="0"/>
              <w:right w:val="single" w:color="auto" w:sz="4" w:space="0"/>
            </w:tcBorders>
            <w:shd w:val="clear" w:color="auto" w:fill="auto"/>
            <w:vAlign w:val="center"/>
          </w:tcPr>
          <w:p w14:paraId="31770C83">
            <w:r>
              <w:rPr>
                <w:rFonts w:hint="eastAsia"/>
              </w:rPr>
              <w:t>公用经费控制率</w:t>
            </w:r>
          </w:p>
        </w:tc>
        <w:tc>
          <w:tcPr>
            <w:tcW w:w="1121" w:type="pct"/>
            <w:tcBorders>
              <w:top w:val="nil"/>
              <w:left w:val="nil"/>
              <w:bottom w:val="single" w:color="auto" w:sz="4" w:space="0"/>
              <w:right w:val="single" w:color="auto" w:sz="4" w:space="0"/>
            </w:tcBorders>
            <w:shd w:val="clear" w:color="auto" w:fill="auto"/>
            <w:vAlign w:val="center"/>
          </w:tcPr>
          <w:p w14:paraId="3F212975">
            <w:r>
              <w:rPr>
                <w:rFonts w:hint="eastAsia"/>
              </w:rPr>
              <w:t>94.18</w:t>
            </w:r>
          </w:p>
        </w:tc>
        <w:tc>
          <w:tcPr>
            <w:tcW w:w="1103" w:type="pct"/>
            <w:tcBorders>
              <w:top w:val="nil"/>
              <w:left w:val="nil"/>
              <w:bottom w:val="single" w:color="auto" w:sz="4" w:space="0"/>
              <w:right w:val="single" w:color="auto" w:sz="4" w:space="0"/>
            </w:tcBorders>
            <w:shd w:val="clear" w:color="auto" w:fill="auto"/>
            <w:vAlign w:val="center"/>
          </w:tcPr>
          <w:p w14:paraId="25367B6C">
            <w:r>
              <w:rPr>
                <w:rFonts w:hint="eastAsia"/>
              </w:rPr>
              <w:t>95.00</w:t>
            </w:r>
          </w:p>
        </w:tc>
      </w:tr>
      <w:tr w14:paraId="0576B6CC">
        <w:tblPrEx>
          <w:tblCellMar>
            <w:top w:w="0" w:type="dxa"/>
            <w:left w:w="108" w:type="dxa"/>
            <w:bottom w:w="0" w:type="dxa"/>
            <w:right w:w="108" w:type="dxa"/>
          </w:tblCellMar>
        </w:tblPrEx>
        <w:trPr>
          <w:trHeight w:val="561" w:hRule="atLeast"/>
          <w:jc w:val="center"/>
        </w:trPr>
        <w:tc>
          <w:tcPr>
            <w:tcW w:w="813" w:type="pct"/>
            <w:vMerge w:val="continue"/>
            <w:tcBorders>
              <w:top w:val="nil"/>
              <w:left w:val="single" w:color="auto" w:sz="4" w:space="0"/>
              <w:bottom w:val="single" w:color="auto" w:sz="4" w:space="0"/>
              <w:right w:val="single" w:color="auto" w:sz="4" w:space="0"/>
            </w:tcBorders>
            <w:shd w:val="clear" w:color="auto" w:fill="auto"/>
            <w:vAlign w:val="center"/>
          </w:tcPr>
          <w:p w14:paraId="36C68A44"/>
        </w:tc>
        <w:tc>
          <w:tcPr>
            <w:tcW w:w="765" w:type="pct"/>
            <w:vMerge w:val="continue"/>
            <w:tcBorders>
              <w:top w:val="nil"/>
              <w:left w:val="single" w:color="auto" w:sz="4" w:space="0"/>
              <w:bottom w:val="single" w:color="auto" w:sz="4" w:space="0"/>
              <w:right w:val="single" w:color="auto" w:sz="4" w:space="0"/>
            </w:tcBorders>
            <w:shd w:val="clear" w:color="auto" w:fill="auto"/>
            <w:vAlign w:val="center"/>
          </w:tcPr>
          <w:p w14:paraId="48783697"/>
        </w:tc>
        <w:tc>
          <w:tcPr>
            <w:tcW w:w="1197" w:type="pct"/>
            <w:tcBorders>
              <w:top w:val="nil"/>
              <w:left w:val="nil"/>
              <w:bottom w:val="single" w:color="auto" w:sz="4" w:space="0"/>
              <w:right w:val="single" w:color="auto" w:sz="4" w:space="0"/>
            </w:tcBorders>
            <w:shd w:val="clear" w:color="auto" w:fill="auto"/>
            <w:vAlign w:val="center"/>
          </w:tcPr>
          <w:p w14:paraId="62878DA2">
            <w:r>
              <w:rPr>
                <w:rFonts w:hint="eastAsia"/>
              </w:rPr>
              <w:t>“三公经费”控制率</w:t>
            </w:r>
          </w:p>
        </w:tc>
        <w:tc>
          <w:tcPr>
            <w:tcW w:w="1121" w:type="pct"/>
            <w:tcBorders>
              <w:top w:val="nil"/>
              <w:left w:val="nil"/>
              <w:bottom w:val="single" w:color="auto" w:sz="4" w:space="0"/>
              <w:right w:val="single" w:color="auto" w:sz="4" w:space="0"/>
            </w:tcBorders>
            <w:shd w:val="clear" w:color="auto" w:fill="auto"/>
            <w:vAlign w:val="center"/>
          </w:tcPr>
          <w:p w14:paraId="7FE5A718">
            <w:r>
              <w:rPr>
                <w:rFonts w:hint="eastAsia"/>
              </w:rPr>
              <w:t>38.32</w:t>
            </w:r>
          </w:p>
        </w:tc>
        <w:tc>
          <w:tcPr>
            <w:tcW w:w="1103" w:type="pct"/>
            <w:tcBorders>
              <w:top w:val="nil"/>
              <w:left w:val="nil"/>
              <w:bottom w:val="single" w:color="auto" w:sz="4" w:space="0"/>
              <w:right w:val="single" w:color="auto" w:sz="4" w:space="0"/>
            </w:tcBorders>
            <w:shd w:val="clear" w:color="auto" w:fill="auto"/>
            <w:vAlign w:val="center"/>
          </w:tcPr>
          <w:p w14:paraId="5608C9EA">
            <w:r>
              <w:rPr>
                <w:rFonts w:hint="eastAsia"/>
              </w:rPr>
              <w:t>40.00</w:t>
            </w:r>
          </w:p>
        </w:tc>
      </w:tr>
      <w:tr w14:paraId="2065248B">
        <w:tblPrEx>
          <w:tblCellMar>
            <w:top w:w="0" w:type="dxa"/>
            <w:left w:w="108" w:type="dxa"/>
            <w:bottom w:w="0" w:type="dxa"/>
            <w:right w:w="108" w:type="dxa"/>
          </w:tblCellMar>
        </w:tblPrEx>
        <w:trPr>
          <w:trHeight w:val="462" w:hRule="atLeast"/>
          <w:jc w:val="center"/>
        </w:trPr>
        <w:tc>
          <w:tcPr>
            <w:tcW w:w="813" w:type="pct"/>
            <w:vMerge w:val="continue"/>
            <w:tcBorders>
              <w:top w:val="nil"/>
              <w:left w:val="single" w:color="auto" w:sz="4" w:space="0"/>
              <w:bottom w:val="single" w:color="auto" w:sz="4" w:space="0"/>
              <w:right w:val="single" w:color="auto" w:sz="4" w:space="0"/>
            </w:tcBorders>
            <w:shd w:val="clear" w:color="auto" w:fill="auto"/>
            <w:vAlign w:val="center"/>
          </w:tcPr>
          <w:p w14:paraId="739D9AB7"/>
        </w:tc>
        <w:tc>
          <w:tcPr>
            <w:tcW w:w="765" w:type="pct"/>
            <w:vMerge w:val="continue"/>
            <w:tcBorders>
              <w:top w:val="nil"/>
              <w:left w:val="single" w:color="auto" w:sz="4" w:space="0"/>
              <w:bottom w:val="single" w:color="auto" w:sz="4" w:space="0"/>
              <w:right w:val="single" w:color="auto" w:sz="4" w:space="0"/>
            </w:tcBorders>
            <w:shd w:val="clear" w:color="auto" w:fill="auto"/>
            <w:vAlign w:val="center"/>
          </w:tcPr>
          <w:p w14:paraId="2BA879B7"/>
        </w:tc>
        <w:tc>
          <w:tcPr>
            <w:tcW w:w="1197" w:type="pct"/>
            <w:tcBorders>
              <w:top w:val="nil"/>
              <w:left w:val="nil"/>
              <w:bottom w:val="single" w:color="auto" w:sz="4" w:space="0"/>
              <w:right w:val="single" w:color="auto" w:sz="4" w:space="0"/>
            </w:tcBorders>
            <w:shd w:val="clear" w:color="auto" w:fill="auto"/>
            <w:vAlign w:val="center"/>
          </w:tcPr>
          <w:p w14:paraId="0455355A">
            <w:r>
              <w:rPr>
                <w:rFonts w:hint="eastAsia"/>
              </w:rPr>
              <w:t>固定资产利用率</w:t>
            </w:r>
          </w:p>
        </w:tc>
        <w:tc>
          <w:tcPr>
            <w:tcW w:w="1121" w:type="pct"/>
            <w:tcBorders>
              <w:top w:val="nil"/>
              <w:left w:val="nil"/>
              <w:bottom w:val="single" w:color="auto" w:sz="4" w:space="0"/>
              <w:right w:val="single" w:color="auto" w:sz="4" w:space="0"/>
            </w:tcBorders>
            <w:shd w:val="clear" w:color="auto" w:fill="auto"/>
            <w:vAlign w:val="center"/>
          </w:tcPr>
          <w:p w14:paraId="731765B3">
            <w:r>
              <w:rPr>
                <w:rFonts w:hint="eastAsia"/>
              </w:rPr>
              <w:t>80.00</w:t>
            </w:r>
          </w:p>
        </w:tc>
        <w:tc>
          <w:tcPr>
            <w:tcW w:w="1103" w:type="pct"/>
            <w:tcBorders>
              <w:top w:val="nil"/>
              <w:left w:val="nil"/>
              <w:bottom w:val="single" w:color="auto" w:sz="4" w:space="0"/>
              <w:right w:val="single" w:color="auto" w:sz="4" w:space="0"/>
            </w:tcBorders>
            <w:shd w:val="clear" w:color="auto" w:fill="auto"/>
            <w:vAlign w:val="center"/>
          </w:tcPr>
          <w:p w14:paraId="0DED2079">
            <w:r>
              <w:rPr>
                <w:rFonts w:hint="eastAsia"/>
              </w:rPr>
              <w:t>85.00</w:t>
            </w:r>
          </w:p>
        </w:tc>
      </w:tr>
      <w:tr w14:paraId="21FDEF58">
        <w:tblPrEx>
          <w:tblCellMar>
            <w:top w:w="0" w:type="dxa"/>
            <w:left w:w="108" w:type="dxa"/>
            <w:bottom w:w="0" w:type="dxa"/>
            <w:right w:w="108" w:type="dxa"/>
          </w:tblCellMar>
        </w:tblPrEx>
        <w:trPr>
          <w:trHeight w:val="462" w:hRule="atLeast"/>
          <w:jc w:val="center"/>
        </w:trPr>
        <w:tc>
          <w:tcPr>
            <w:tcW w:w="813" w:type="pct"/>
            <w:vMerge w:val="continue"/>
            <w:tcBorders>
              <w:top w:val="nil"/>
              <w:left w:val="single" w:color="auto" w:sz="4" w:space="0"/>
              <w:bottom w:val="single" w:color="auto" w:sz="4" w:space="0"/>
              <w:right w:val="single" w:color="auto" w:sz="4" w:space="0"/>
            </w:tcBorders>
            <w:shd w:val="clear" w:color="auto" w:fill="auto"/>
            <w:vAlign w:val="center"/>
          </w:tcPr>
          <w:p w14:paraId="6DCA6FE9"/>
        </w:tc>
        <w:tc>
          <w:tcPr>
            <w:tcW w:w="765" w:type="pct"/>
            <w:vMerge w:val="continue"/>
            <w:tcBorders>
              <w:top w:val="nil"/>
              <w:left w:val="single" w:color="auto" w:sz="4" w:space="0"/>
              <w:bottom w:val="single" w:color="auto" w:sz="4" w:space="0"/>
              <w:right w:val="single" w:color="auto" w:sz="4" w:space="0"/>
            </w:tcBorders>
            <w:shd w:val="clear" w:color="auto" w:fill="auto"/>
            <w:vAlign w:val="center"/>
          </w:tcPr>
          <w:p w14:paraId="0FC75B41"/>
        </w:tc>
        <w:tc>
          <w:tcPr>
            <w:tcW w:w="1197" w:type="pct"/>
            <w:tcBorders>
              <w:top w:val="nil"/>
              <w:left w:val="nil"/>
              <w:bottom w:val="single" w:color="auto" w:sz="4" w:space="0"/>
              <w:right w:val="single" w:color="auto" w:sz="4" w:space="0"/>
            </w:tcBorders>
            <w:shd w:val="clear" w:color="auto" w:fill="auto"/>
            <w:vAlign w:val="center"/>
          </w:tcPr>
          <w:p w14:paraId="02545C39">
            <w:r>
              <w:rPr>
                <w:rFonts w:hint="eastAsia"/>
              </w:rPr>
              <w:t>预算执行率</w:t>
            </w:r>
          </w:p>
        </w:tc>
        <w:tc>
          <w:tcPr>
            <w:tcW w:w="1121" w:type="pct"/>
            <w:tcBorders>
              <w:top w:val="nil"/>
              <w:left w:val="nil"/>
              <w:bottom w:val="single" w:color="auto" w:sz="4" w:space="0"/>
              <w:right w:val="single" w:color="auto" w:sz="4" w:space="0"/>
            </w:tcBorders>
            <w:shd w:val="clear" w:color="auto" w:fill="auto"/>
            <w:vAlign w:val="center"/>
          </w:tcPr>
          <w:p w14:paraId="50B7A140">
            <w:r>
              <w:rPr>
                <w:rFonts w:hint="eastAsia"/>
              </w:rPr>
              <w:t>67.00</w:t>
            </w:r>
          </w:p>
        </w:tc>
        <w:tc>
          <w:tcPr>
            <w:tcW w:w="1103" w:type="pct"/>
            <w:tcBorders>
              <w:top w:val="nil"/>
              <w:left w:val="nil"/>
              <w:bottom w:val="single" w:color="auto" w:sz="4" w:space="0"/>
              <w:right w:val="single" w:color="auto" w:sz="4" w:space="0"/>
            </w:tcBorders>
            <w:shd w:val="clear" w:color="auto" w:fill="auto"/>
            <w:vAlign w:val="center"/>
          </w:tcPr>
          <w:p w14:paraId="2073B2DA">
            <w:r>
              <w:rPr>
                <w:rFonts w:hint="eastAsia"/>
              </w:rPr>
              <w:t>70.00</w:t>
            </w:r>
          </w:p>
        </w:tc>
      </w:tr>
      <w:tr w14:paraId="5CC9B8FD">
        <w:tblPrEx>
          <w:tblCellMar>
            <w:top w:w="0" w:type="dxa"/>
            <w:left w:w="108" w:type="dxa"/>
            <w:bottom w:w="0" w:type="dxa"/>
            <w:right w:w="108" w:type="dxa"/>
          </w:tblCellMar>
        </w:tblPrEx>
        <w:trPr>
          <w:trHeight w:val="1049" w:hRule="atLeast"/>
          <w:jc w:val="center"/>
        </w:trPr>
        <w:tc>
          <w:tcPr>
            <w:tcW w:w="813" w:type="pct"/>
            <w:vMerge w:val="restart"/>
            <w:tcBorders>
              <w:top w:val="nil"/>
              <w:left w:val="single" w:color="auto" w:sz="4" w:space="0"/>
              <w:bottom w:val="single" w:color="auto" w:sz="4" w:space="0"/>
              <w:right w:val="single" w:color="auto" w:sz="4" w:space="0"/>
            </w:tcBorders>
            <w:shd w:val="clear" w:color="auto" w:fill="auto"/>
            <w:vAlign w:val="center"/>
          </w:tcPr>
          <w:p w14:paraId="428AA841">
            <w:r>
              <w:rPr>
                <w:rFonts w:hint="eastAsia"/>
              </w:rPr>
              <w:t>产出和效益指标</w:t>
            </w:r>
          </w:p>
        </w:tc>
        <w:tc>
          <w:tcPr>
            <w:tcW w:w="765" w:type="pct"/>
            <w:vMerge w:val="restart"/>
            <w:tcBorders>
              <w:top w:val="nil"/>
              <w:left w:val="single" w:color="auto" w:sz="4" w:space="0"/>
              <w:bottom w:val="single" w:color="auto" w:sz="4" w:space="0"/>
              <w:right w:val="single" w:color="auto" w:sz="4" w:space="0"/>
            </w:tcBorders>
            <w:shd w:val="clear" w:color="auto" w:fill="auto"/>
            <w:vAlign w:val="center"/>
          </w:tcPr>
          <w:p w14:paraId="53EA2155">
            <w:r>
              <w:rPr>
                <w:rFonts w:hint="eastAsia"/>
              </w:rPr>
              <w:t>履职情况</w:t>
            </w:r>
          </w:p>
        </w:tc>
        <w:tc>
          <w:tcPr>
            <w:tcW w:w="1197" w:type="pct"/>
            <w:tcBorders>
              <w:top w:val="nil"/>
              <w:left w:val="nil"/>
              <w:bottom w:val="single" w:color="auto" w:sz="4" w:space="0"/>
              <w:right w:val="single" w:color="auto" w:sz="4" w:space="0"/>
            </w:tcBorders>
            <w:shd w:val="clear" w:color="auto" w:fill="auto"/>
            <w:vAlign w:val="center"/>
          </w:tcPr>
          <w:p w14:paraId="2AFFA653">
            <w:r>
              <w:rPr>
                <w:rFonts w:hint="eastAsia"/>
              </w:rPr>
              <w:t>财政支出项目完成率</w:t>
            </w:r>
          </w:p>
        </w:tc>
        <w:tc>
          <w:tcPr>
            <w:tcW w:w="1121" w:type="pct"/>
            <w:tcBorders>
              <w:top w:val="nil"/>
              <w:left w:val="nil"/>
              <w:bottom w:val="single" w:color="auto" w:sz="4" w:space="0"/>
              <w:right w:val="single" w:color="auto" w:sz="4" w:space="0"/>
            </w:tcBorders>
            <w:shd w:val="clear" w:color="auto" w:fill="auto"/>
            <w:vAlign w:val="center"/>
          </w:tcPr>
          <w:p w14:paraId="4796E3D8">
            <w:r>
              <w:rPr>
                <w:rFonts w:hint="eastAsia"/>
              </w:rPr>
              <w:t>70.00</w:t>
            </w:r>
          </w:p>
        </w:tc>
        <w:tc>
          <w:tcPr>
            <w:tcW w:w="1103" w:type="pct"/>
            <w:tcBorders>
              <w:top w:val="nil"/>
              <w:left w:val="nil"/>
              <w:bottom w:val="single" w:color="auto" w:sz="4" w:space="0"/>
              <w:right w:val="single" w:color="auto" w:sz="4" w:space="0"/>
            </w:tcBorders>
            <w:shd w:val="clear" w:color="auto" w:fill="auto"/>
            <w:vAlign w:val="center"/>
          </w:tcPr>
          <w:p w14:paraId="6577C944">
            <w:r>
              <w:rPr>
                <w:rFonts w:hint="eastAsia"/>
              </w:rPr>
              <w:t>75.00</w:t>
            </w:r>
          </w:p>
        </w:tc>
      </w:tr>
      <w:tr w14:paraId="2BA0A44D">
        <w:tblPrEx>
          <w:tblCellMar>
            <w:top w:w="0" w:type="dxa"/>
            <w:left w:w="108" w:type="dxa"/>
            <w:bottom w:w="0" w:type="dxa"/>
            <w:right w:w="108" w:type="dxa"/>
          </w:tblCellMar>
        </w:tblPrEx>
        <w:trPr>
          <w:trHeight w:val="756" w:hRule="atLeast"/>
          <w:jc w:val="center"/>
        </w:trPr>
        <w:tc>
          <w:tcPr>
            <w:tcW w:w="813" w:type="pct"/>
            <w:vMerge w:val="continue"/>
            <w:tcBorders>
              <w:top w:val="nil"/>
              <w:left w:val="single" w:color="auto" w:sz="4" w:space="0"/>
              <w:bottom w:val="single" w:color="auto" w:sz="4" w:space="0"/>
              <w:right w:val="single" w:color="auto" w:sz="4" w:space="0"/>
            </w:tcBorders>
            <w:shd w:val="clear" w:color="auto" w:fill="auto"/>
            <w:vAlign w:val="center"/>
          </w:tcPr>
          <w:p w14:paraId="6E64D5E1"/>
        </w:tc>
        <w:tc>
          <w:tcPr>
            <w:tcW w:w="765" w:type="pct"/>
            <w:vMerge w:val="continue"/>
            <w:tcBorders>
              <w:top w:val="nil"/>
              <w:left w:val="single" w:color="auto" w:sz="4" w:space="0"/>
              <w:bottom w:val="single" w:color="auto" w:sz="4" w:space="0"/>
              <w:right w:val="single" w:color="auto" w:sz="4" w:space="0"/>
            </w:tcBorders>
            <w:shd w:val="clear" w:color="auto" w:fill="auto"/>
            <w:vAlign w:val="center"/>
          </w:tcPr>
          <w:p w14:paraId="368DE878"/>
        </w:tc>
        <w:tc>
          <w:tcPr>
            <w:tcW w:w="1197" w:type="pct"/>
            <w:tcBorders>
              <w:top w:val="nil"/>
              <w:left w:val="nil"/>
              <w:bottom w:val="single" w:color="auto" w:sz="4" w:space="0"/>
              <w:right w:val="single" w:color="auto" w:sz="4" w:space="0"/>
            </w:tcBorders>
            <w:shd w:val="clear" w:color="auto" w:fill="auto"/>
            <w:vAlign w:val="center"/>
          </w:tcPr>
          <w:p w14:paraId="354A7107">
            <w:r>
              <w:rPr>
                <w:rFonts w:hint="eastAsia"/>
              </w:rPr>
              <w:t>重点工作办结率</w:t>
            </w:r>
          </w:p>
        </w:tc>
        <w:tc>
          <w:tcPr>
            <w:tcW w:w="1121" w:type="pct"/>
            <w:tcBorders>
              <w:top w:val="nil"/>
              <w:left w:val="nil"/>
              <w:bottom w:val="single" w:color="auto" w:sz="4" w:space="0"/>
              <w:right w:val="single" w:color="auto" w:sz="4" w:space="0"/>
            </w:tcBorders>
            <w:shd w:val="clear" w:color="auto" w:fill="auto"/>
            <w:vAlign w:val="center"/>
          </w:tcPr>
          <w:p w14:paraId="0CB5E846">
            <w:r>
              <w:rPr>
                <w:rFonts w:hint="eastAsia"/>
              </w:rPr>
              <w:t>100.00</w:t>
            </w:r>
          </w:p>
        </w:tc>
        <w:tc>
          <w:tcPr>
            <w:tcW w:w="1103" w:type="pct"/>
            <w:tcBorders>
              <w:top w:val="nil"/>
              <w:left w:val="nil"/>
              <w:bottom w:val="single" w:color="auto" w:sz="4" w:space="0"/>
              <w:right w:val="single" w:color="auto" w:sz="4" w:space="0"/>
            </w:tcBorders>
            <w:shd w:val="clear" w:color="auto" w:fill="auto"/>
            <w:vAlign w:val="center"/>
          </w:tcPr>
          <w:p w14:paraId="652F1D43">
            <w:r>
              <w:rPr>
                <w:rFonts w:hint="eastAsia"/>
              </w:rPr>
              <w:t>100.00</w:t>
            </w:r>
          </w:p>
        </w:tc>
      </w:tr>
      <w:tr w14:paraId="32C0EECD">
        <w:tblPrEx>
          <w:tblCellMar>
            <w:top w:w="0" w:type="dxa"/>
            <w:left w:w="108" w:type="dxa"/>
            <w:bottom w:w="0" w:type="dxa"/>
            <w:right w:w="108" w:type="dxa"/>
          </w:tblCellMar>
        </w:tblPrEx>
        <w:trPr>
          <w:trHeight w:val="363" w:hRule="atLeast"/>
          <w:jc w:val="center"/>
        </w:trPr>
        <w:tc>
          <w:tcPr>
            <w:tcW w:w="813" w:type="pct"/>
            <w:vMerge w:val="continue"/>
            <w:tcBorders>
              <w:top w:val="nil"/>
              <w:left w:val="single" w:color="auto" w:sz="4" w:space="0"/>
              <w:bottom w:val="single" w:color="auto" w:sz="4" w:space="0"/>
              <w:right w:val="single" w:color="auto" w:sz="4" w:space="0"/>
            </w:tcBorders>
            <w:shd w:val="clear" w:color="auto" w:fill="auto"/>
            <w:vAlign w:val="center"/>
          </w:tcPr>
          <w:p w14:paraId="710253EB"/>
        </w:tc>
        <w:tc>
          <w:tcPr>
            <w:tcW w:w="765" w:type="pct"/>
            <w:tcBorders>
              <w:top w:val="nil"/>
              <w:left w:val="nil"/>
              <w:bottom w:val="single" w:color="auto" w:sz="4" w:space="0"/>
              <w:right w:val="single" w:color="auto" w:sz="4" w:space="0"/>
            </w:tcBorders>
            <w:shd w:val="clear" w:color="auto" w:fill="auto"/>
            <w:vAlign w:val="center"/>
          </w:tcPr>
          <w:p w14:paraId="73C6CBF8">
            <w:r>
              <w:rPr>
                <w:rFonts w:hint="eastAsia"/>
              </w:rPr>
              <w:t>履职效益-经济效益目标</w:t>
            </w:r>
          </w:p>
        </w:tc>
        <w:tc>
          <w:tcPr>
            <w:tcW w:w="1197" w:type="pct"/>
            <w:tcBorders>
              <w:top w:val="nil"/>
              <w:left w:val="nil"/>
              <w:bottom w:val="single" w:color="auto" w:sz="4" w:space="0"/>
              <w:right w:val="single" w:color="auto" w:sz="4" w:space="0"/>
            </w:tcBorders>
            <w:shd w:val="clear" w:color="auto" w:fill="auto"/>
            <w:vAlign w:val="center"/>
          </w:tcPr>
          <w:p w14:paraId="5387E586">
            <w:r>
              <w:rPr>
                <w:rFonts w:hint="eastAsia"/>
              </w:rPr>
              <w:t>推动海洋经济生产总值比率</w:t>
            </w:r>
          </w:p>
        </w:tc>
        <w:tc>
          <w:tcPr>
            <w:tcW w:w="1121" w:type="pct"/>
            <w:tcBorders>
              <w:top w:val="nil"/>
              <w:left w:val="nil"/>
              <w:bottom w:val="single" w:color="auto" w:sz="4" w:space="0"/>
              <w:right w:val="single" w:color="auto" w:sz="4" w:space="0"/>
            </w:tcBorders>
            <w:shd w:val="clear" w:color="auto" w:fill="auto"/>
            <w:vAlign w:val="center"/>
          </w:tcPr>
          <w:p w14:paraId="45631481">
            <w:r>
              <w:rPr>
                <w:rFonts w:hint="eastAsia"/>
              </w:rPr>
              <w:t>2.00</w:t>
            </w:r>
          </w:p>
        </w:tc>
        <w:tc>
          <w:tcPr>
            <w:tcW w:w="1103" w:type="pct"/>
            <w:tcBorders>
              <w:top w:val="nil"/>
              <w:left w:val="nil"/>
              <w:bottom w:val="single" w:color="auto" w:sz="4" w:space="0"/>
              <w:right w:val="single" w:color="auto" w:sz="4" w:space="0"/>
            </w:tcBorders>
            <w:shd w:val="clear" w:color="auto" w:fill="auto"/>
            <w:vAlign w:val="center"/>
          </w:tcPr>
          <w:p w14:paraId="514F032C">
            <w:r>
              <w:rPr>
                <w:rFonts w:hint="eastAsia"/>
              </w:rPr>
              <w:t>3.00</w:t>
            </w:r>
          </w:p>
        </w:tc>
      </w:tr>
      <w:tr w14:paraId="5AFF0604">
        <w:tblPrEx>
          <w:tblCellMar>
            <w:top w:w="0" w:type="dxa"/>
            <w:left w:w="108" w:type="dxa"/>
            <w:bottom w:w="0" w:type="dxa"/>
            <w:right w:w="108" w:type="dxa"/>
          </w:tblCellMar>
        </w:tblPrEx>
        <w:trPr>
          <w:trHeight w:val="462" w:hRule="atLeast"/>
          <w:jc w:val="center"/>
        </w:trPr>
        <w:tc>
          <w:tcPr>
            <w:tcW w:w="813" w:type="pct"/>
            <w:vMerge w:val="continue"/>
            <w:tcBorders>
              <w:top w:val="nil"/>
              <w:left w:val="single" w:color="auto" w:sz="4" w:space="0"/>
              <w:bottom w:val="single" w:color="auto" w:sz="4" w:space="0"/>
              <w:right w:val="single" w:color="auto" w:sz="4" w:space="0"/>
            </w:tcBorders>
            <w:shd w:val="clear" w:color="auto" w:fill="auto"/>
            <w:vAlign w:val="center"/>
          </w:tcPr>
          <w:p w14:paraId="2B118CB7"/>
        </w:tc>
        <w:tc>
          <w:tcPr>
            <w:tcW w:w="765" w:type="pct"/>
            <w:tcBorders>
              <w:top w:val="nil"/>
              <w:left w:val="nil"/>
              <w:bottom w:val="single" w:color="auto" w:sz="4" w:space="0"/>
              <w:right w:val="single" w:color="auto" w:sz="4" w:space="0"/>
            </w:tcBorders>
            <w:shd w:val="clear" w:color="auto" w:fill="auto"/>
            <w:vAlign w:val="center"/>
          </w:tcPr>
          <w:p w14:paraId="22DB3395">
            <w:r>
              <w:rPr>
                <w:rFonts w:hint="eastAsia"/>
              </w:rPr>
              <w:t>履职效益-服务对象满意度目标</w:t>
            </w:r>
          </w:p>
        </w:tc>
        <w:tc>
          <w:tcPr>
            <w:tcW w:w="1197" w:type="pct"/>
            <w:tcBorders>
              <w:top w:val="nil"/>
              <w:left w:val="nil"/>
              <w:bottom w:val="single" w:color="auto" w:sz="4" w:space="0"/>
              <w:right w:val="single" w:color="auto" w:sz="4" w:space="0"/>
            </w:tcBorders>
            <w:shd w:val="clear" w:color="auto" w:fill="auto"/>
            <w:vAlign w:val="center"/>
          </w:tcPr>
          <w:p w14:paraId="5610157C">
            <w:r>
              <w:rPr>
                <w:rFonts w:hint="eastAsia"/>
              </w:rPr>
              <w:t>服务对象满意程度</w:t>
            </w:r>
          </w:p>
        </w:tc>
        <w:tc>
          <w:tcPr>
            <w:tcW w:w="1121" w:type="pct"/>
            <w:tcBorders>
              <w:top w:val="nil"/>
              <w:left w:val="nil"/>
              <w:bottom w:val="single" w:color="auto" w:sz="4" w:space="0"/>
              <w:right w:val="single" w:color="auto" w:sz="4" w:space="0"/>
            </w:tcBorders>
            <w:shd w:val="clear" w:color="auto" w:fill="auto"/>
            <w:vAlign w:val="center"/>
          </w:tcPr>
          <w:p w14:paraId="7DF8CE32">
            <w:r>
              <w:rPr>
                <w:rFonts w:hint="eastAsia"/>
              </w:rPr>
              <w:t>90.00</w:t>
            </w:r>
          </w:p>
        </w:tc>
        <w:tc>
          <w:tcPr>
            <w:tcW w:w="1103" w:type="pct"/>
            <w:tcBorders>
              <w:top w:val="nil"/>
              <w:left w:val="nil"/>
              <w:bottom w:val="single" w:color="auto" w:sz="4" w:space="0"/>
              <w:right w:val="single" w:color="auto" w:sz="4" w:space="0"/>
            </w:tcBorders>
            <w:shd w:val="clear" w:color="auto" w:fill="auto"/>
            <w:vAlign w:val="center"/>
          </w:tcPr>
          <w:p w14:paraId="480530B3">
            <w:r>
              <w:rPr>
                <w:rFonts w:hint="eastAsia"/>
              </w:rPr>
              <w:t>86.00</w:t>
            </w:r>
          </w:p>
        </w:tc>
      </w:tr>
    </w:tbl>
    <w:p w14:paraId="31554259">
      <w:pPr>
        <w:ind w:firstLine="420" w:firstLineChars="200"/>
      </w:pPr>
      <w:bookmarkStart w:id="879" w:name="_Toc43693237"/>
      <w:bookmarkStart w:id="880" w:name="_Toc49477520"/>
      <w:r>
        <w:rPr>
          <w:rFonts w:hint="eastAsia"/>
        </w:rPr>
        <w:t>2.</w:t>
      </w:r>
      <w:bookmarkEnd w:id="879"/>
      <w:bookmarkEnd w:id="880"/>
      <w:r>
        <w:rPr>
          <w:rFonts w:hint="eastAsia"/>
        </w:rPr>
        <w:t>部门业务费绩效目标</w:t>
      </w:r>
    </w:p>
    <w:p w14:paraId="00430E05">
      <w:pPr>
        <w:ind w:firstLine="420" w:firstLineChars="200"/>
      </w:pPr>
      <w:r>
        <w:rPr>
          <w:rFonts w:hint="eastAsia"/>
        </w:rPr>
        <w:t>2020年度莆田市海洋与渔业局部门共安排4项业务费，总额为836.8万元，具体内容和绩效目标如表3所示。</w:t>
      </w:r>
    </w:p>
    <w:p w14:paraId="3417D6DC">
      <w:pPr>
        <w:ind w:firstLine="420" w:firstLineChars="200"/>
      </w:pPr>
      <w:r>
        <w:rPr>
          <w:rFonts w:hint="eastAsia"/>
        </w:rPr>
        <w:t>表3  莆田市海洋与渔业局2020年度部门业务费绩效目标</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2170"/>
        <w:gridCol w:w="1404"/>
        <w:gridCol w:w="3830"/>
      </w:tblGrid>
      <w:tr w14:paraId="6F7D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tcPr>
          <w:p w14:paraId="69927620">
            <w:r>
              <w:rPr>
                <w:rFonts w:hint="eastAsia"/>
              </w:rPr>
              <w:t>序号</w:t>
            </w:r>
          </w:p>
        </w:tc>
        <w:tc>
          <w:tcPr>
            <w:tcW w:w="1273" w:type="pct"/>
          </w:tcPr>
          <w:p w14:paraId="7FD33C60">
            <w:r>
              <w:rPr>
                <w:rFonts w:hint="eastAsia"/>
              </w:rPr>
              <w:t>部门业务费</w:t>
            </w:r>
          </w:p>
        </w:tc>
        <w:tc>
          <w:tcPr>
            <w:tcW w:w="824" w:type="pct"/>
          </w:tcPr>
          <w:p w14:paraId="1C1A857E">
            <w:r>
              <w:rPr>
                <w:rFonts w:hint="eastAsia"/>
              </w:rPr>
              <w:t>预算总额</w:t>
            </w:r>
          </w:p>
        </w:tc>
        <w:tc>
          <w:tcPr>
            <w:tcW w:w="2247" w:type="pct"/>
          </w:tcPr>
          <w:p w14:paraId="41FEC3F1">
            <w:r>
              <w:rPr>
                <w:rFonts w:hint="eastAsia"/>
              </w:rPr>
              <w:t>总体目标</w:t>
            </w:r>
          </w:p>
        </w:tc>
      </w:tr>
      <w:tr w14:paraId="01F2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2895CE55">
            <w:r>
              <w:rPr>
                <w:rFonts w:hint="eastAsia"/>
              </w:rPr>
              <w:t>1</w:t>
            </w:r>
          </w:p>
        </w:tc>
        <w:tc>
          <w:tcPr>
            <w:tcW w:w="1273" w:type="pct"/>
            <w:vAlign w:val="center"/>
          </w:tcPr>
          <w:p w14:paraId="364F21A5">
            <w:r>
              <w:rPr>
                <w:rFonts w:hint="eastAsia"/>
              </w:rPr>
              <w:t>莆田市海洋与渔业局本级部门业务费</w:t>
            </w:r>
          </w:p>
        </w:tc>
        <w:tc>
          <w:tcPr>
            <w:tcW w:w="824" w:type="pct"/>
            <w:vAlign w:val="center"/>
          </w:tcPr>
          <w:p w14:paraId="61E27D15">
            <w:r>
              <w:rPr>
                <w:rFonts w:hint="eastAsia"/>
              </w:rPr>
              <w:t>160万元</w:t>
            </w:r>
          </w:p>
        </w:tc>
        <w:tc>
          <w:tcPr>
            <w:tcW w:w="2247" w:type="pct"/>
            <w:vAlign w:val="center"/>
          </w:tcPr>
          <w:p w14:paraId="57E8C6A6">
            <w:r>
              <w:rPr>
                <w:rFonts w:hint="eastAsia"/>
              </w:rPr>
              <w:t>维持日常工作运行，莆田市海洋生产总值研究核算2019年与海洋统计年报编制项目，经营性事业单位改革清算工作经费及人员安置费等。</w:t>
            </w:r>
          </w:p>
        </w:tc>
      </w:tr>
      <w:tr w14:paraId="79A7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24B0FA99">
            <w:r>
              <w:rPr>
                <w:rFonts w:hint="eastAsia"/>
              </w:rPr>
              <w:t>2</w:t>
            </w:r>
          </w:p>
        </w:tc>
        <w:tc>
          <w:tcPr>
            <w:tcW w:w="1273" w:type="pct"/>
            <w:vAlign w:val="center"/>
          </w:tcPr>
          <w:p w14:paraId="565F0D61">
            <w:r>
              <w:rPr>
                <w:rFonts w:hint="eastAsia"/>
              </w:rPr>
              <w:t>莆田市海洋与渔业执法支队部门业务费</w:t>
            </w:r>
          </w:p>
        </w:tc>
        <w:tc>
          <w:tcPr>
            <w:tcW w:w="824" w:type="pct"/>
            <w:vAlign w:val="center"/>
          </w:tcPr>
          <w:p w14:paraId="6AEB6B95">
            <w:r>
              <w:rPr>
                <w:rFonts w:hint="eastAsia"/>
              </w:rPr>
              <w:t>522.8万元</w:t>
            </w:r>
          </w:p>
        </w:tc>
        <w:tc>
          <w:tcPr>
            <w:tcW w:w="2247" w:type="pct"/>
            <w:vAlign w:val="center"/>
          </w:tcPr>
          <w:p w14:paraId="130E2CAC">
            <w:r>
              <w:rPr>
                <w:rFonts w:hint="eastAsia"/>
              </w:rPr>
              <w:t>应急管理机构系统运行工作经费及渔港养殖区视频监控系统运营费，维持日常工作经费，制服换装费，罚没款办案费。</w:t>
            </w:r>
          </w:p>
        </w:tc>
      </w:tr>
      <w:tr w14:paraId="37DF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350BE597">
            <w:r>
              <w:rPr>
                <w:rFonts w:hint="eastAsia"/>
              </w:rPr>
              <w:t>3</w:t>
            </w:r>
          </w:p>
        </w:tc>
        <w:tc>
          <w:tcPr>
            <w:tcW w:w="1273" w:type="pct"/>
            <w:vAlign w:val="center"/>
          </w:tcPr>
          <w:p w14:paraId="1E928E2C">
            <w:r>
              <w:rPr>
                <w:rFonts w:hint="eastAsia"/>
              </w:rPr>
              <w:t>莆田市海洋与渔业环境监测站部门业务费</w:t>
            </w:r>
          </w:p>
        </w:tc>
        <w:tc>
          <w:tcPr>
            <w:tcW w:w="824" w:type="pct"/>
            <w:vAlign w:val="center"/>
          </w:tcPr>
          <w:p w14:paraId="30A639B3">
            <w:r>
              <w:rPr>
                <w:rFonts w:hint="eastAsia"/>
              </w:rPr>
              <w:t>147万元</w:t>
            </w:r>
          </w:p>
        </w:tc>
        <w:tc>
          <w:tcPr>
            <w:tcW w:w="2247" w:type="pct"/>
            <w:vAlign w:val="center"/>
          </w:tcPr>
          <w:p w14:paraId="71D185C4">
            <w:r>
              <w:rPr>
                <w:rFonts w:hint="eastAsia"/>
              </w:rPr>
              <w:t>用于保障渔业养殖环境监测、产地水产品质量安全检测和赤潮等突发事件应急监测等各项监测业务的高效、平稳运行，通过对渔业养殖环境的调查监视监测、产地水产品质量安全检测、赤潮等突发事件跟踪监测、为保障食品（产地水产品）安全、渔业养殖和防灾减灾提供决策依据，为我市渔业经济增长提供技术依据。</w:t>
            </w:r>
          </w:p>
        </w:tc>
      </w:tr>
      <w:tr w14:paraId="4EB0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11743F61">
            <w:r>
              <w:rPr>
                <w:rFonts w:hint="eastAsia"/>
              </w:rPr>
              <w:t>4</w:t>
            </w:r>
          </w:p>
        </w:tc>
        <w:tc>
          <w:tcPr>
            <w:tcW w:w="1273" w:type="pct"/>
            <w:vAlign w:val="center"/>
          </w:tcPr>
          <w:p w14:paraId="547B91CC">
            <w:r>
              <w:rPr>
                <w:rFonts w:hint="eastAsia"/>
              </w:rPr>
              <w:t>莆田市水产科学研究所部门业务费</w:t>
            </w:r>
          </w:p>
        </w:tc>
        <w:tc>
          <w:tcPr>
            <w:tcW w:w="824" w:type="pct"/>
            <w:vAlign w:val="center"/>
          </w:tcPr>
          <w:p w14:paraId="094661AE">
            <w:r>
              <w:rPr>
                <w:rFonts w:hint="eastAsia"/>
              </w:rPr>
              <w:t>7万元</w:t>
            </w:r>
          </w:p>
        </w:tc>
        <w:tc>
          <w:tcPr>
            <w:tcW w:w="2247" w:type="pct"/>
            <w:vAlign w:val="center"/>
          </w:tcPr>
          <w:p w14:paraId="72F7ED5E">
            <w:r>
              <w:rPr>
                <w:rFonts w:hint="eastAsia"/>
              </w:rPr>
              <w:t>保障科研各项管理费用及科研人员办公场所。</w:t>
            </w:r>
          </w:p>
        </w:tc>
      </w:tr>
    </w:tbl>
    <w:p w14:paraId="35D69385">
      <w:pPr>
        <w:ind w:firstLine="420" w:firstLineChars="200"/>
      </w:pPr>
      <w:r>
        <w:rPr>
          <w:rFonts w:hint="eastAsia"/>
        </w:rPr>
        <w:t>3.部门专项资金绩效目标</w:t>
      </w:r>
    </w:p>
    <w:p w14:paraId="4DA6DA1B">
      <w:pPr>
        <w:ind w:firstLine="420" w:firstLineChars="200"/>
      </w:pPr>
      <w:r>
        <w:rPr>
          <w:rFonts w:hint="eastAsia"/>
        </w:rPr>
        <w:t>2020年度莆田市海洋与渔业局部门共安排13项专项资金，总额为815.78万元，具体内容和绩效目标如表4所示。</w:t>
      </w:r>
    </w:p>
    <w:p w14:paraId="090DA9E1">
      <w:pPr>
        <w:ind w:firstLine="420" w:firstLineChars="200"/>
      </w:pPr>
      <w:r>
        <w:rPr>
          <w:rFonts w:hint="eastAsia"/>
        </w:rPr>
        <w:t>表4  莆田市海洋与渔业局2020年度部门专项资金绩效目标</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2170"/>
        <w:gridCol w:w="1404"/>
        <w:gridCol w:w="3830"/>
      </w:tblGrid>
      <w:tr w14:paraId="694B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tcPr>
          <w:p w14:paraId="3813C49E">
            <w:r>
              <w:rPr>
                <w:rFonts w:hint="eastAsia"/>
              </w:rPr>
              <w:t>序号</w:t>
            </w:r>
          </w:p>
        </w:tc>
        <w:tc>
          <w:tcPr>
            <w:tcW w:w="1273" w:type="pct"/>
          </w:tcPr>
          <w:p w14:paraId="73A913B2">
            <w:r>
              <w:rPr>
                <w:rFonts w:hint="eastAsia"/>
              </w:rPr>
              <w:t>专项资金项目</w:t>
            </w:r>
          </w:p>
        </w:tc>
        <w:tc>
          <w:tcPr>
            <w:tcW w:w="824" w:type="pct"/>
          </w:tcPr>
          <w:p w14:paraId="38218CC3">
            <w:r>
              <w:rPr>
                <w:rFonts w:hint="eastAsia"/>
              </w:rPr>
              <w:t>预算总额</w:t>
            </w:r>
          </w:p>
        </w:tc>
        <w:tc>
          <w:tcPr>
            <w:tcW w:w="2247" w:type="pct"/>
          </w:tcPr>
          <w:p w14:paraId="6152C869">
            <w:r>
              <w:rPr>
                <w:rFonts w:hint="eastAsia"/>
              </w:rPr>
              <w:t>总体目标</w:t>
            </w:r>
          </w:p>
        </w:tc>
      </w:tr>
      <w:tr w14:paraId="7772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5C9EC638">
            <w:r>
              <w:rPr>
                <w:rFonts w:hint="eastAsia"/>
              </w:rPr>
              <w:t>1</w:t>
            </w:r>
          </w:p>
        </w:tc>
        <w:tc>
          <w:tcPr>
            <w:tcW w:w="1273" w:type="pct"/>
            <w:vAlign w:val="center"/>
          </w:tcPr>
          <w:p w14:paraId="554AD8EB">
            <w:r>
              <w:rPr>
                <w:rFonts w:hint="eastAsia"/>
              </w:rPr>
              <w:t>妈祖文化等海洋意识宣传教育，海洋文化建设和海洋特色品牌打造等</w:t>
            </w:r>
          </w:p>
        </w:tc>
        <w:tc>
          <w:tcPr>
            <w:tcW w:w="824" w:type="pct"/>
            <w:vAlign w:val="center"/>
          </w:tcPr>
          <w:p w14:paraId="6679D3F6">
            <w:r>
              <w:rPr>
                <w:rFonts w:hint="eastAsia"/>
              </w:rPr>
              <w:t>30万元</w:t>
            </w:r>
          </w:p>
        </w:tc>
        <w:tc>
          <w:tcPr>
            <w:tcW w:w="2247" w:type="pct"/>
            <w:vAlign w:val="center"/>
          </w:tcPr>
          <w:p w14:paraId="30530D0E">
            <w:r>
              <w:rPr>
                <w:rFonts w:hint="eastAsia"/>
              </w:rPr>
              <w:t>根据国家海洋局与市委市政府的布置每年在湄洲岛召开妈祖论坛会议及结合对我市海洋文化建设及宣传活动。</w:t>
            </w:r>
          </w:p>
        </w:tc>
      </w:tr>
      <w:tr w14:paraId="798A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27F767EE">
            <w:r>
              <w:rPr>
                <w:rFonts w:hint="eastAsia"/>
              </w:rPr>
              <w:t>2</w:t>
            </w:r>
          </w:p>
        </w:tc>
        <w:tc>
          <w:tcPr>
            <w:tcW w:w="1273" w:type="pct"/>
            <w:vAlign w:val="center"/>
          </w:tcPr>
          <w:p w14:paraId="467680DB">
            <w:r>
              <w:rPr>
                <w:rFonts w:hint="eastAsia"/>
              </w:rPr>
              <w:t>海洋环境测报经费</w:t>
            </w:r>
          </w:p>
        </w:tc>
        <w:tc>
          <w:tcPr>
            <w:tcW w:w="824" w:type="pct"/>
            <w:vAlign w:val="center"/>
          </w:tcPr>
          <w:p w14:paraId="34BBBF77">
            <w:r>
              <w:rPr>
                <w:rFonts w:hint="eastAsia"/>
              </w:rPr>
              <w:t>70万元</w:t>
            </w:r>
          </w:p>
        </w:tc>
        <w:tc>
          <w:tcPr>
            <w:tcW w:w="2247" w:type="pct"/>
            <w:vAlign w:val="center"/>
          </w:tcPr>
          <w:p w14:paraId="10D4D795">
            <w:r>
              <w:rPr>
                <w:rFonts w:hint="eastAsia"/>
              </w:rPr>
              <w:t>1.由我局每年与莆田电视台签订播出合同，在莆田电视台一套开设专栏，每日及时刊播省海洋预报台制作的海洋环境预报内容。2.通过服务购买对我市木兰溪流域水产养殖尾水监测及海水工厂化养殖尾水监测。</w:t>
            </w:r>
          </w:p>
        </w:tc>
      </w:tr>
      <w:tr w14:paraId="4C49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47AA184F">
            <w:r>
              <w:rPr>
                <w:rFonts w:hint="eastAsia"/>
              </w:rPr>
              <w:t>3</w:t>
            </w:r>
          </w:p>
        </w:tc>
        <w:tc>
          <w:tcPr>
            <w:tcW w:w="1273" w:type="pct"/>
            <w:vAlign w:val="center"/>
          </w:tcPr>
          <w:p w14:paraId="676A9CC0">
            <w:r>
              <w:rPr>
                <w:rFonts w:hint="eastAsia"/>
              </w:rPr>
              <w:t>渔业互保会费市级财政补贴资金</w:t>
            </w:r>
          </w:p>
        </w:tc>
        <w:tc>
          <w:tcPr>
            <w:tcW w:w="824" w:type="pct"/>
            <w:vAlign w:val="center"/>
          </w:tcPr>
          <w:p w14:paraId="4A6B84A0">
            <w:r>
              <w:rPr>
                <w:rFonts w:hint="eastAsia"/>
              </w:rPr>
              <w:t>70万元</w:t>
            </w:r>
          </w:p>
        </w:tc>
        <w:tc>
          <w:tcPr>
            <w:tcW w:w="2247" w:type="pct"/>
            <w:vAlign w:val="center"/>
          </w:tcPr>
          <w:p w14:paraId="02945475">
            <w:r>
              <w:rPr>
                <w:rFonts w:hint="eastAsia"/>
              </w:rPr>
              <w:t>符合条件按保险相关条列100%理赔；参保渔工≥1200名；参保渔船≥85艘；以保险带动渔民规避风险的能力，保障渔业灾后部分恢复生产资金，促进社会稳定。</w:t>
            </w:r>
          </w:p>
        </w:tc>
      </w:tr>
      <w:tr w14:paraId="346E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1D8EECAE">
            <w:r>
              <w:rPr>
                <w:rFonts w:hint="eastAsia"/>
              </w:rPr>
              <w:t>4</w:t>
            </w:r>
          </w:p>
        </w:tc>
        <w:tc>
          <w:tcPr>
            <w:tcW w:w="1273" w:type="pct"/>
            <w:vAlign w:val="center"/>
          </w:tcPr>
          <w:p w14:paraId="44895D3D">
            <w:r>
              <w:rPr>
                <w:rFonts w:hint="eastAsia"/>
              </w:rPr>
              <w:t>渔业养殖区垃圾入海治理</w:t>
            </w:r>
          </w:p>
        </w:tc>
        <w:tc>
          <w:tcPr>
            <w:tcW w:w="824" w:type="pct"/>
            <w:vAlign w:val="center"/>
          </w:tcPr>
          <w:p w14:paraId="34622B0D">
            <w:r>
              <w:rPr>
                <w:rFonts w:hint="eastAsia"/>
              </w:rPr>
              <w:t>50万元</w:t>
            </w:r>
          </w:p>
        </w:tc>
        <w:tc>
          <w:tcPr>
            <w:tcW w:w="2247" w:type="pct"/>
            <w:vAlign w:val="center"/>
          </w:tcPr>
          <w:p w14:paraId="42FE3093">
            <w:r>
              <w:rPr>
                <w:rFonts w:hint="eastAsia"/>
              </w:rPr>
              <w:t>按照国家环保督查要求，省环保厅出台了海漂垃圾整治方案，我局负责渔渔业养殖区及渔船渔港垃圾治理，现根据我市的垃圾治理方案给予县区垃圾治理补助资金。</w:t>
            </w:r>
          </w:p>
        </w:tc>
      </w:tr>
      <w:tr w14:paraId="2427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46ED2A46">
            <w:r>
              <w:rPr>
                <w:rFonts w:hint="eastAsia"/>
              </w:rPr>
              <w:t>5</w:t>
            </w:r>
          </w:p>
        </w:tc>
        <w:tc>
          <w:tcPr>
            <w:tcW w:w="1273" w:type="pct"/>
            <w:vAlign w:val="center"/>
          </w:tcPr>
          <w:p w14:paraId="6D63A4F3">
            <w:r>
              <w:rPr>
                <w:rFonts w:hint="eastAsia"/>
              </w:rPr>
              <w:t>水产品质量安全检测样品费</w:t>
            </w:r>
          </w:p>
        </w:tc>
        <w:tc>
          <w:tcPr>
            <w:tcW w:w="824" w:type="pct"/>
            <w:vAlign w:val="center"/>
          </w:tcPr>
          <w:p w14:paraId="50F2DA91">
            <w:r>
              <w:rPr>
                <w:rFonts w:hint="eastAsia"/>
              </w:rPr>
              <w:t>7.5万元</w:t>
            </w:r>
          </w:p>
        </w:tc>
        <w:tc>
          <w:tcPr>
            <w:tcW w:w="2247" w:type="pct"/>
            <w:vAlign w:val="center"/>
          </w:tcPr>
          <w:p w14:paraId="2FFE2F31">
            <w:r>
              <w:rPr>
                <w:rFonts w:hint="eastAsia"/>
              </w:rPr>
              <w:t>完成市级主要水产品质量安全抽检任务，贯彻实施“食安创城”和“菜篮子”工程要求，切实保障我市水产品质量安全。</w:t>
            </w:r>
          </w:p>
        </w:tc>
      </w:tr>
      <w:tr w14:paraId="1710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4E71CE71">
            <w:r>
              <w:rPr>
                <w:rFonts w:hint="eastAsia"/>
              </w:rPr>
              <w:t>6</w:t>
            </w:r>
          </w:p>
        </w:tc>
        <w:tc>
          <w:tcPr>
            <w:tcW w:w="1273" w:type="pct"/>
            <w:vAlign w:val="center"/>
          </w:tcPr>
          <w:p w14:paraId="7CE48FB0">
            <w:r>
              <w:rPr>
                <w:rFonts w:hint="eastAsia"/>
              </w:rPr>
              <w:t>养殖排污口监测经费（2019年项目尾款）</w:t>
            </w:r>
          </w:p>
        </w:tc>
        <w:tc>
          <w:tcPr>
            <w:tcW w:w="824" w:type="pct"/>
            <w:vAlign w:val="center"/>
          </w:tcPr>
          <w:p w14:paraId="15D8D529">
            <w:r>
              <w:rPr>
                <w:rFonts w:hint="eastAsia"/>
              </w:rPr>
              <w:t>40万元</w:t>
            </w:r>
          </w:p>
        </w:tc>
        <w:tc>
          <w:tcPr>
            <w:tcW w:w="2247" w:type="pct"/>
            <w:vAlign w:val="center"/>
          </w:tcPr>
          <w:p w14:paraId="2F26FFD9">
            <w:r>
              <w:rPr>
                <w:rFonts w:hint="eastAsia"/>
              </w:rPr>
              <w:t>对水产养殖场的进水口、排水口水质进行监测，共21家养殖场、42个尾水监测点，从签订合同当月开始监测，每隔1个月监测1次，共6次。</w:t>
            </w:r>
          </w:p>
        </w:tc>
      </w:tr>
      <w:tr w14:paraId="2D83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74232E14">
            <w:r>
              <w:rPr>
                <w:rFonts w:hint="eastAsia"/>
              </w:rPr>
              <w:t>7</w:t>
            </w:r>
          </w:p>
        </w:tc>
        <w:tc>
          <w:tcPr>
            <w:tcW w:w="1273" w:type="pct"/>
            <w:vAlign w:val="center"/>
          </w:tcPr>
          <w:p w14:paraId="19D2DB9E">
            <w:r>
              <w:rPr>
                <w:rFonts w:hint="eastAsia"/>
              </w:rPr>
              <w:t>2020年海洋与渔业发展专项资金</w:t>
            </w:r>
          </w:p>
        </w:tc>
        <w:tc>
          <w:tcPr>
            <w:tcW w:w="824" w:type="pct"/>
            <w:vAlign w:val="center"/>
          </w:tcPr>
          <w:p w14:paraId="1B45B6DE">
            <w:r>
              <w:rPr>
                <w:rFonts w:hint="eastAsia"/>
              </w:rPr>
              <w:t>129.88万元</w:t>
            </w:r>
          </w:p>
        </w:tc>
        <w:tc>
          <w:tcPr>
            <w:tcW w:w="2247" w:type="pct"/>
            <w:vAlign w:val="center"/>
          </w:tcPr>
          <w:p w14:paraId="58F8D7EE">
            <w:r>
              <w:rPr>
                <w:rFonts w:hint="eastAsia"/>
              </w:rPr>
              <w:t>水产养殖动植物病情预报、测报、上报并参与编制月报9期，年报1期；开展水生动物疫病监测20批次；南日岛海水养殖水域监测监测4次，站位5个以上，要素10个以上；水产养殖排放口5个以上，监测2个以上，要素8个以上；平海一级渔港监测2次，站位5个以上，要素8个以上。常规水质监测（木兰溪及其东圳水库等增殖放流水域）计20个站次；环境水质要素监测（东圳水库等增殖放流水域）计10个站次；鱼类补充群体及浮游生物监测（东圳水库等增殖放流水域）计20个站次；重点池塘养殖区常规水质监测，监测养殖区4个。</w:t>
            </w:r>
          </w:p>
        </w:tc>
      </w:tr>
      <w:tr w14:paraId="1F6F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46E8928D">
            <w:r>
              <w:rPr>
                <w:rFonts w:hint="eastAsia"/>
              </w:rPr>
              <w:t>8</w:t>
            </w:r>
          </w:p>
        </w:tc>
        <w:tc>
          <w:tcPr>
            <w:tcW w:w="1273" w:type="pct"/>
            <w:vAlign w:val="center"/>
          </w:tcPr>
          <w:p w14:paraId="30D57C25">
            <w:r>
              <w:rPr>
                <w:rFonts w:hint="eastAsia"/>
              </w:rPr>
              <w:t>2020年海洋与渔业结构调整专项资金</w:t>
            </w:r>
          </w:p>
        </w:tc>
        <w:tc>
          <w:tcPr>
            <w:tcW w:w="824" w:type="pct"/>
            <w:vAlign w:val="center"/>
          </w:tcPr>
          <w:p w14:paraId="57ED9AA8">
            <w:r>
              <w:rPr>
                <w:rFonts w:hint="eastAsia"/>
              </w:rPr>
              <w:t>186万元</w:t>
            </w:r>
          </w:p>
        </w:tc>
        <w:tc>
          <w:tcPr>
            <w:tcW w:w="2247" w:type="pct"/>
            <w:vAlign w:val="center"/>
          </w:tcPr>
          <w:p w14:paraId="44464F1D">
            <w:r>
              <w:rPr>
                <w:rFonts w:hint="eastAsia"/>
              </w:rPr>
              <w:t>建设1条水产品加工生产线：支持1家以上省级、国家级休闲渔业示范基地。</w:t>
            </w:r>
          </w:p>
        </w:tc>
      </w:tr>
      <w:tr w14:paraId="1044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72710217">
            <w:r>
              <w:rPr>
                <w:rFonts w:hint="eastAsia"/>
              </w:rPr>
              <w:t>9</w:t>
            </w:r>
          </w:p>
        </w:tc>
        <w:tc>
          <w:tcPr>
            <w:tcW w:w="1273" w:type="pct"/>
            <w:vAlign w:val="center"/>
          </w:tcPr>
          <w:p w14:paraId="5E905CF7">
            <w:r>
              <w:rPr>
                <w:rFonts w:hint="eastAsia"/>
              </w:rPr>
              <w:t>莆田市沿海300吨级渔政船建造项目质保金</w:t>
            </w:r>
          </w:p>
        </w:tc>
        <w:tc>
          <w:tcPr>
            <w:tcW w:w="824" w:type="pct"/>
            <w:vAlign w:val="center"/>
          </w:tcPr>
          <w:p w14:paraId="5349A844">
            <w:r>
              <w:rPr>
                <w:rFonts w:hint="eastAsia"/>
              </w:rPr>
              <w:t>90.4万元</w:t>
            </w:r>
          </w:p>
        </w:tc>
        <w:tc>
          <w:tcPr>
            <w:tcW w:w="2247" w:type="pct"/>
            <w:vAlign w:val="center"/>
          </w:tcPr>
          <w:p w14:paraId="351C0704">
            <w:r>
              <w:rPr>
                <w:rFonts w:hint="eastAsia"/>
              </w:rPr>
              <w:t>《莆田市沿海300吨级渔政船建造合同》合同第4.2.6质量保证金规定，质保期24个月后扣除建造方应承担的费用后给予支付。</w:t>
            </w:r>
          </w:p>
        </w:tc>
      </w:tr>
      <w:tr w14:paraId="03FE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0C17AEF8">
            <w:r>
              <w:rPr>
                <w:rFonts w:hint="eastAsia"/>
              </w:rPr>
              <w:t>10</w:t>
            </w:r>
          </w:p>
        </w:tc>
        <w:tc>
          <w:tcPr>
            <w:tcW w:w="1273" w:type="pct"/>
            <w:vAlign w:val="center"/>
          </w:tcPr>
          <w:p w14:paraId="72F15AF6">
            <w:r>
              <w:rPr>
                <w:rFonts w:hint="eastAsia"/>
              </w:rPr>
              <w:t>莆田市龙须菜新品种“鲁龙1号”示范推广项目（2019年项目尾款）</w:t>
            </w:r>
          </w:p>
        </w:tc>
        <w:tc>
          <w:tcPr>
            <w:tcW w:w="824" w:type="pct"/>
            <w:vAlign w:val="center"/>
          </w:tcPr>
          <w:p w14:paraId="0A19E0CB">
            <w:r>
              <w:rPr>
                <w:rFonts w:hint="eastAsia"/>
              </w:rPr>
              <w:t>50万元</w:t>
            </w:r>
          </w:p>
        </w:tc>
        <w:tc>
          <w:tcPr>
            <w:tcW w:w="2247" w:type="pct"/>
            <w:vAlign w:val="center"/>
          </w:tcPr>
          <w:p w14:paraId="350445BD">
            <w:r>
              <w:rPr>
                <w:rFonts w:hint="eastAsia"/>
              </w:rPr>
              <w:t>建设多功能实验室100平方米，实验室装修、仪器设备及海上监控设施采购，推广“鲁龙1号”龙须菜面积500亩，培育优质种苗20吨，成活率达80%，举办技术培训班1期，培训从业人员120人次。</w:t>
            </w:r>
          </w:p>
        </w:tc>
      </w:tr>
      <w:tr w14:paraId="6D5D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29A3081A">
            <w:r>
              <w:rPr>
                <w:rFonts w:hint="eastAsia"/>
              </w:rPr>
              <w:t>11</w:t>
            </w:r>
          </w:p>
        </w:tc>
        <w:tc>
          <w:tcPr>
            <w:tcW w:w="1273" w:type="pct"/>
            <w:vAlign w:val="center"/>
          </w:tcPr>
          <w:p w14:paraId="7939DD32">
            <w:r>
              <w:rPr>
                <w:rFonts w:hint="eastAsia"/>
              </w:rPr>
              <w:t>莆田市龙须菜新品种“鲁龙1号”示范推广项目</w:t>
            </w:r>
          </w:p>
        </w:tc>
        <w:tc>
          <w:tcPr>
            <w:tcW w:w="824" w:type="pct"/>
            <w:vAlign w:val="center"/>
          </w:tcPr>
          <w:p w14:paraId="7B36D5B6">
            <w:r>
              <w:rPr>
                <w:rFonts w:hint="eastAsia"/>
              </w:rPr>
              <w:t>50万元</w:t>
            </w:r>
          </w:p>
        </w:tc>
        <w:tc>
          <w:tcPr>
            <w:tcW w:w="2247" w:type="pct"/>
            <w:vAlign w:val="center"/>
          </w:tcPr>
          <w:p w14:paraId="380B2694">
            <w:r>
              <w:rPr>
                <w:rFonts w:hint="eastAsia"/>
              </w:rPr>
              <w:t>建设多功能实验室100平方米，实验室装修、仪器设备及海上监控设施采购，推广“鲁龙1号”龙须菜面积500亩，培育优质种苗20吨，成活率达80%，举办技术培训班1期，培训从业人员120人次。</w:t>
            </w:r>
          </w:p>
        </w:tc>
      </w:tr>
      <w:tr w14:paraId="2A5D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4A6E3262">
            <w:r>
              <w:rPr>
                <w:rFonts w:hint="eastAsia"/>
              </w:rPr>
              <w:t>12</w:t>
            </w:r>
          </w:p>
        </w:tc>
        <w:tc>
          <w:tcPr>
            <w:tcW w:w="1273" w:type="pct"/>
            <w:vAlign w:val="center"/>
          </w:tcPr>
          <w:p w14:paraId="69BEE5B6">
            <w:r>
              <w:rPr>
                <w:rFonts w:hint="eastAsia"/>
              </w:rPr>
              <w:t>水生动物病害疫病监测及健康养殖技术培训等工作经费</w:t>
            </w:r>
          </w:p>
        </w:tc>
        <w:tc>
          <w:tcPr>
            <w:tcW w:w="824" w:type="pct"/>
            <w:vAlign w:val="center"/>
          </w:tcPr>
          <w:p w14:paraId="24BA0578">
            <w:r>
              <w:rPr>
                <w:rFonts w:hint="eastAsia"/>
              </w:rPr>
              <w:t>22万元</w:t>
            </w:r>
          </w:p>
        </w:tc>
        <w:tc>
          <w:tcPr>
            <w:tcW w:w="2247" w:type="pct"/>
            <w:vAlign w:val="center"/>
          </w:tcPr>
          <w:p w14:paraId="4F8400F6">
            <w:r>
              <w:rPr>
                <w:rFonts w:hint="eastAsia"/>
              </w:rPr>
              <w:t>进一步推进我市水产养殖病情测报工作顺利开展，保障渔业健康发展、渔民持续增收，建设水产养殖病害测报点10个以上，培训人员100以上，推进我市渔业实现可持续发展。</w:t>
            </w:r>
          </w:p>
        </w:tc>
      </w:tr>
      <w:tr w14:paraId="11EC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3512709E">
            <w:r>
              <w:rPr>
                <w:rFonts w:hint="eastAsia"/>
              </w:rPr>
              <w:t>13</w:t>
            </w:r>
          </w:p>
        </w:tc>
        <w:tc>
          <w:tcPr>
            <w:tcW w:w="1273" w:type="pct"/>
            <w:vAlign w:val="center"/>
          </w:tcPr>
          <w:p w14:paraId="72442E39">
            <w:r>
              <w:rPr>
                <w:rFonts w:hint="eastAsia"/>
              </w:rPr>
              <w:t>福建莆田淡水增养殖科研中试基地清算费用及债务偿还</w:t>
            </w:r>
          </w:p>
        </w:tc>
        <w:tc>
          <w:tcPr>
            <w:tcW w:w="824" w:type="pct"/>
            <w:vAlign w:val="center"/>
          </w:tcPr>
          <w:p w14:paraId="3AE92F4F">
            <w:r>
              <w:rPr>
                <w:rFonts w:hint="eastAsia"/>
              </w:rPr>
              <w:t>20万元</w:t>
            </w:r>
          </w:p>
        </w:tc>
        <w:tc>
          <w:tcPr>
            <w:tcW w:w="2247" w:type="pct"/>
            <w:vAlign w:val="center"/>
          </w:tcPr>
          <w:p w14:paraId="1E3590EA">
            <w:r>
              <w:rPr>
                <w:rFonts w:hint="eastAsia"/>
              </w:rPr>
              <w:t>完成清算，盘点财产，上报审核。</w:t>
            </w:r>
          </w:p>
        </w:tc>
      </w:tr>
    </w:tbl>
    <w:p w14:paraId="4F2C5E45">
      <w:pPr>
        <w:ind w:firstLine="420" w:firstLineChars="200"/>
      </w:pPr>
      <w:r>
        <w:rPr>
          <w:rFonts w:hint="eastAsia"/>
        </w:rPr>
        <w:t>（四）部门整体支出情况</w:t>
      </w:r>
    </w:p>
    <w:p w14:paraId="2626BB9E">
      <w:pPr>
        <w:ind w:firstLine="420" w:firstLineChars="200"/>
      </w:pPr>
      <w:r>
        <w:rPr>
          <w:rFonts w:hint="eastAsia"/>
        </w:rPr>
        <w:t>1.部门整体支出年初预算安排</w:t>
      </w:r>
    </w:p>
    <w:p w14:paraId="585CEC91">
      <w:pPr>
        <w:ind w:firstLine="420" w:firstLineChars="200"/>
      </w:pPr>
      <w:r>
        <w:rPr>
          <w:rFonts w:hint="eastAsia"/>
        </w:rPr>
        <w:t>2020年，莆田市海洋与渔业局部门收入预算为3411.73万元，比上年增加747.51万元，主要原因是省提前下达结转资金较多。其中：一般公共预算拨款3203.93万元，基金预算财政拨款0万元，财政专户拨款0万元，其他收入0万元，单位结余结转资金207.80万元。相应安排支出预算3411.73万元，比上年增加747.51万元，其中：人员支出1695.67万元，对个人和家庭补助支出5.64万元，公用支出157.84万元，项目支出1652.58万元。部门一般公共预算“三公”经费预算26.91万，其中因公出国（境）经费预算安排0万元，公务接待费预算安排14.61万元，公务用车购置及运行费预算安排12.3万元。</w:t>
      </w:r>
    </w:p>
    <w:p w14:paraId="5BE3BD7D">
      <w:pPr>
        <w:ind w:firstLine="420" w:firstLineChars="200"/>
      </w:pPr>
      <w:r>
        <w:rPr>
          <w:rFonts w:hint="eastAsia"/>
        </w:rPr>
        <w:t>2.部门整体实际支出</w:t>
      </w:r>
    </w:p>
    <w:p w14:paraId="74ABB9E4">
      <w:pPr>
        <w:ind w:firstLine="420" w:firstLineChars="200"/>
      </w:pPr>
      <w:r>
        <w:rPr>
          <w:rFonts w:hint="eastAsia"/>
        </w:rPr>
        <w:t>2020年莆田市海洋与渔业部门年初结转和结余207.80万元，本年收入3470.47万元，本年支出3315.40万元，事业基金弥补收支差额0万元，结余分配0万元，年末结转和结余362.86万元。2020年人员支出经费决算数为2076.61万元，公用支出经费决算数为135.72万元，项目支出决算数为1103.08万元。按功能分类一般公共服务支出为21.52万元，社会保障和就业支出为129.37万元，卫生健康支出为88.65万元，城乡社区支出为44.52万元，农林水支出为2870.76万元，自然资源海洋气象等支出为160.59万元。</w:t>
      </w:r>
    </w:p>
    <w:p w14:paraId="4A91469F">
      <w:pPr>
        <w:ind w:firstLine="420" w:firstLineChars="200"/>
        <w:outlineLvl w:val="0"/>
      </w:pPr>
      <w:bookmarkStart w:id="881" w:name="_Toc49477522"/>
      <w:bookmarkStart w:id="882" w:name="_Toc78184422"/>
      <w:bookmarkStart w:id="883" w:name="_Toc891"/>
      <w:r>
        <w:rPr>
          <w:rFonts w:hint="eastAsia"/>
        </w:rPr>
        <w:t>二、绩效评价实施</w:t>
      </w:r>
      <w:bookmarkEnd w:id="881"/>
      <w:r>
        <w:rPr>
          <w:rFonts w:hint="eastAsia"/>
        </w:rPr>
        <w:t>过程</w:t>
      </w:r>
      <w:bookmarkEnd w:id="882"/>
      <w:bookmarkEnd w:id="883"/>
    </w:p>
    <w:p w14:paraId="55234AD1">
      <w:pPr>
        <w:ind w:firstLine="420" w:firstLineChars="200"/>
      </w:pPr>
      <w:bookmarkStart w:id="884" w:name="_Toc49477523"/>
      <w:bookmarkStart w:id="885" w:name="_Toc78184423"/>
      <w:r>
        <w:rPr>
          <w:rFonts w:hint="eastAsia"/>
        </w:rPr>
        <w:t>（一）评价目的</w:t>
      </w:r>
      <w:bookmarkEnd w:id="884"/>
      <w:bookmarkEnd w:id="885"/>
    </w:p>
    <w:p w14:paraId="4FC40EB2">
      <w:pPr>
        <w:ind w:firstLine="420" w:firstLineChars="200"/>
      </w:pPr>
      <w:r>
        <w:rPr>
          <w:rFonts w:hint="eastAsia"/>
        </w:rPr>
        <w:t>通过开展绩效评价工作，独立、客观、公正地核查2020年度莆田市海洋与渔业局部门整体支出安排的科学性、合理性、规范性及使用效益，系统、科学地考评部门整体支出的综合社会经济效果。对投入、过程、产出、效益等方面存在的不足提出合理化建议，使预算管理更加科学、完善，进而规范资金的使用管理，提高资金使用效益和效率，为以后年度预算安排提供依据。</w:t>
      </w:r>
    </w:p>
    <w:p w14:paraId="18887326">
      <w:pPr>
        <w:ind w:firstLine="420" w:firstLineChars="200"/>
      </w:pPr>
      <w:bookmarkStart w:id="886" w:name="_Toc78184424"/>
      <w:bookmarkStart w:id="887" w:name="_Toc49477524"/>
      <w:r>
        <w:rPr>
          <w:rFonts w:hint="eastAsia"/>
        </w:rPr>
        <w:t>（二）评价方法</w:t>
      </w:r>
      <w:bookmarkEnd w:id="886"/>
      <w:bookmarkEnd w:id="887"/>
    </w:p>
    <w:p w14:paraId="22BE6942">
      <w:pPr>
        <w:ind w:firstLine="420" w:firstLineChars="200"/>
      </w:pPr>
      <w:r>
        <w:rPr>
          <w:rFonts w:hint="eastAsia"/>
        </w:rPr>
        <w:t>本次绩效评价遵循“客观、公正、科学、规范”的原则，结合项目的特点，采用定性评价与定量评价相结合的方式，综合运用案卷研究法、现场勘查法、公众评判法、专家评议法等方法开展评价工作。工作组通过现场对项目资料进行逐一核实了解项目资金的使用和取得的效益情况，并在此基础上召开专家评价预备会、专家评价会，最终根据评价问卷调研及收集资料情况和专家评价会的专家组意见，完成绩效评价报告撰写。</w:t>
      </w:r>
    </w:p>
    <w:p w14:paraId="5F06EFAF">
      <w:pPr>
        <w:ind w:firstLine="420" w:firstLineChars="200"/>
      </w:pPr>
      <w:r>
        <w:rPr>
          <w:rFonts w:hint="eastAsia"/>
        </w:rPr>
        <w:t>1、比较法。是指将通过对绩效目标和实施效果、历史和当期情况、不同部门和地区同类支出的比较，综合分析其绩效目标的实现程度。</w:t>
      </w:r>
    </w:p>
    <w:p w14:paraId="0E2609DA">
      <w:pPr>
        <w:ind w:firstLine="420" w:firstLineChars="200"/>
      </w:pPr>
      <w:r>
        <w:rPr>
          <w:rFonts w:hint="eastAsia"/>
        </w:rPr>
        <w:t>2、成本效益分析法。是指将一定时期内的支出与效益进行对比分析以评价绩效目标实现程度。</w:t>
      </w:r>
    </w:p>
    <w:p w14:paraId="3EAF46DA">
      <w:pPr>
        <w:ind w:firstLine="420" w:firstLineChars="200"/>
      </w:pPr>
      <w:r>
        <w:rPr>
          <w:rFonts w:hint="eastAsia"/>
        </w:rPr>
        <w:t>3、公众评判法。是指通过专家评估、公众问卷及抽样调查等对财政支出效果进行评判，评价绩效目标实现程度。</w:t>
      </w:r>
    </w:p>
    <w:p w14:paraId="11E88CDD">
      <w:pPr>
        <w:ind w:firstLine="420" w:firstLineChars="200"/>
      </w:pPr>
      <w:r>
        <w:rPr>
          <w:rFonts w:hint="eastAsia"/>
        </w:rPr>
        <w:t>4、案卷研究法。针对评价对象设计主管单位自评表，实施单位自评表，组织单位进行绩效自评，并对单位提交的自评材料进行审核和梳理，撰写材料审核意见。</w:t>
      </w:r>
    </w:p>
    <w:p w14:paraId="5A5959D7">
      <w:pPr>
        <w:ind w:firstLine="420" w:firstLineChars="200"/>
      </w:pPr>
      <w:r>
        <w:rPr>
          <w:rFonts w:hint="eastAsia"/>
        </w:rPr>
        <w:t>5、问卷调查法。本次评价围绕莆田市海洋与渔业局部门整体支出方向和工作任务，面向行政事业单位工作者、企业员工、自由职业者、私营业主、渔民及其他类型服务对象设计调查问卷，最终获取公众对部门工作的满意度情况，调查问卷详见附件2。</w:t>
      </w:r>
    </w:p>
    <w:p w14:paraId="04A3545A">
      <w:pPr>
        <w:ind w:firstLine="420" w:firstLineChars="200"/>
      </w:pPr>
      <w:bookmarkStart w:id="888" w:name="_Toc78184425"/>
      <w:bookmarkStart w:id="889" w:name="_Toc49477525"/>
      <w:r>
        <w:rPr>
          <w:rFonts w:hint="eastAsia"/>
        </w:rPr>
        <w:t>（三）评价步骤</w:t>
      </w:r>
      <w:bookmarkEnd w:id="888"/>
      <w:bookmarkEnd w:id="889"/>
    </w:p>
    <w:p w14:paraId="22B2FB5E">
      <w:pPr>
        <w:ind w:firstLine="420" w:firstLineChars="200"/>
      </w:pPr>
      <w:r>
        <w:rPr>
          <w:rFonts w:hint="eastAsia"/>
        </w:rPr>
        <w:t>本次绩效评价工作包括绩效评价工作准备、绩效评价工作实施和绩效评价工作完成三个阶段，分六个步骤组织实施：</w:t>
      </w:r>
    </w:p>
    <w:p w14:paraId="63597D7B">
      <w:pPr>
        <w:ind w:firstLine="420" w:firstLineChars="200"/>
      </w:pPr>
      <w:r>
        <w:rPr>
          <w:rFonts w:hint="eastAsia"/>
        </w:rPr>
        <w:t>1.成立绩效评价工作小组。评价工作机构根据项目实际情况，结合评价人员的业务专长、专业素养和工作需要，确定评价小组的成员构成和具体分工。同时评价工作机构也对工作小组人员进行培训，主要包括项目开展要求、流程、重点关注内容等。</w:t>
      </w:r>
    </w:p>
    <w:p w14:paraId="28A77B52">
      <w:pPr>
        <w:ind w:firstLine="420" w:firstLineChars="200"/>
      </w:pPr>
      <w:r>
        <w:rPr>
          <w:rFonts w:hint="eastAsia"/>
        </w:rPr>
        <w:t>2.制定绩效评价工作方案。工作方案包括部门基本情况、绩效评价思路、评价工作的组织与实施等，为评价实施提供工作指引和具体安排。</w:t>
      </w:r>
    </w:p>
    <w:p w14:paraId="7E1FEB45">
      <w:pPr>
        <w:ind w:firstLine="420" w:firstLineChars="200"/>
      </w:pPr>
      <w:r>
        <w:rPr>
          <w:rFonts w:hint="eastAsia"/>
        </w:rPr>
        <w:t>3.收集绩效评价相关资料。评价工作小组在市财政局安排下，与莆田市海洋与渔业局进行对接，了解部门职能、2020年部门预算及决算情况、项目自评情况。评价工作小组根据评价对象的特点和评价内容及工作需要，分赴莆田市海洋与渔业局及其下属预算单位，进一步收集绩效评价相关资料。</w:t>
      </w:r>
    </w:p>
    <w:p w14:paraId="7A603DDA">
      <w:pPr>
        <w:ind w:firstLine="420" w:firstLineChars="200"/>
      </w:pPr>
      <w:r>
        <w:rPr>
          <w:rFonts w:hint="eastAsia"/>
        </w:rPr>
        <w:t>4.审查核实相关评价资料。评价工作小组根据所取得的资料，采用恰当的评价方法、评价指标和评价标准，对评价对象绩效目标实现程度等绩效情况进行评价，形成初步评价结论。为进一步验证材料的真实性和绩效管理及实施情况，评价工作小组对市海洋与渔业局的内设机构和下属单位进行现场复核，并选取部分项目进行座谈交流，对项目资料进行现场抽查。</w:t>
      </w:r>
    </w:p>
    <w:p w14:paraId="634F4BCF">
      <w:pPr>
        <w:ind w:firstLine="420" w:firstLineChars="200"/>
      </w:pPr>
      <w:r>
        <w:rPr>
          <w:rFonts w:hint="eastAsia"/>
        </w:rPr>
        <w:t>5.撰写绩效评价报告。根据评价工作小组的评价结论等相关资料，归纳问题、分析原因、补充调研、提出对策，形成并提交评价报告。市财政局组织专家组对评价报告和评价结果进行审核，评价工作小组根据审核情况修订报告并提交正式报告。</w:t>
      </w:r>
    </w:p>
    <w:p w14:paraId="111A15C7">
      <w:pPr>
        <w:ind w:firstLine="420" w:firstLineChars="200"/>
      </w:pPr>
      <w:r>
        <w:rPr>
          <w:rFonts w:hint="eastAsia"/>
        </w:rPr>
        <w:t>6.建立绩效评价档案。评价工作机构完成绩效评价工作后，根据绩效评价工作路径，整理、保管工作底稿和评价报告等有关资料，建立绩效评价档案并移交相关档案。</w:t>
      </w:r>
    </w:p>
    <w:p w14:paraId="07381332">
      <w:pPr>
        <w:ind w:firstLine="420" w:firstLineChars="200"/>
      </w:pPr>
      <w:r>
        <w:rPr>
          <w:rFonts w:hint="eastAsia"/>
        </w:rPr>
        <w:t>（四）评价指标体系</w:t>
      </w:r>
    </w:p>
    <w:p w14:paraId="04A2DBD9">
      <w:pPr>
        <w:ind w:firstLine="420" w:firstLineChars="200"/>
      </w:pPr>
      <w:r>
        <w:rPr>
          <w:rFonts w:hint="eastAsia"/>
        </w:rPr>
        <w:t>项目绩效评价工作组根据各级绩效评价管理办法的文件要求，基于相关性、重要性、可比性、系统性及经济性的原则，围绕投入、过程、产出和效益四个方面设计绩效评价指标体系以及相应的分值和评分标准。</w:t>
      </w:r>
    </w:p>
    <w:p w14:paraId="3C12CA38">
      <w:pPr>
        <w:ind w:firstLine="420" w:firstLineChars="200"/>
      </w:pPr>
      <w:r>
        <w:rPr>
          <w:rFonts w:hint="eastAsia"/>
        </w:rPr>
        <w:t>如附件1所示，指标体系共设置4个一级指标、10个二级指标、28个三级指标。指标体系设定满分100分，其中：“投入指标”15分，主要体现目标设定和预算配置是否符合相关规定；“过程指标”30分，主要体现预算执行、预算管理和资产管理的情况；“产出指标”20分，主要体现部门的目标完成情况、项目完成质量、项目完成及时性和完成重点工作的情况；“效益指标”35分，主要体现部门的经济效益、社会效益、生态效益、可持续效益以及服务对象满意度等方面的情况。</w:t>
      </w:r>
    </w:p>
    <w:p w14:paraId="31ADF667">
      <w:pPr>
        <w:ind w:firstLine="420" w:firstLineChars="200"/>
        <w:outlineLvl w:val="0"/>
      </w:pPr>
      <w:bookmarkStart w:id="890" w:name="_Toc78184427"/>
      <w:bookmarkStart w:id="891" w:name="_Toc8883"/>
      <w:bookmarkStart w:id="892" w:name="_Toc49477527"/>
      <w:r>
        <w:rPr>
          <w:rFonts w:hint="eastAsia"/>
        </w:rPr>
        <w:t>三、绩效分析及绩效评价结论</w:t>
      </w:r>
      <w:bookmarkEnd w:id="890"/>
      <w:bookmarkEnd w:id="891"/>
      <w:bookmarkEnd w:id="892"/>
    </w:p>
    <w:p w14:paraId="31F3105F">
      <w:pPr>
        <w:ind w:firstLine="420" w:firstLineChars="200"/>
      </w:pPr>
      <w:bookmarkStart w:id="893" w:name="_Toc49477528"/>
      <w:bookmarkStart w:id="894" w:name="_Toc78184428"/>
      <w:r>
        <w:rPr>
          <w:rFonts w:hint="eastAsia"/>
        </w:rPr>
        <w:t>（一）投入指标得13分（共15分）</w:t>
      </w:r>
      <w:bookmarkEnd w:id="893"/>
      <w:bookmarkEnd w:id="894"/>
    </w:p>
    <w:p w14:paraId="1274CC7F">
      <w:pPr>
        <w:ind w:firstLine="420" w:firstLineChars="200"/>
      </w:pPr>
      <w:r>
        <w:rPr>
          <w:rFonts w:hint="eastAsia"/>
        </w:rPr>
        <w:t>一级指标“投入指标”下设“目标设定”和“预算配置”2个二级指标。投入指标满分15分，实际评价得分13分。</w:t>
      </w:r>
    </w:p>
    <w:p w14:paraId="0EA1F7FA">
      <w:pPr>
        <w:ind w:firstLine="420" w:firstLineChars="200"/>
      </w:pPr>
      <w:bookmarkStart w:id="895" w:name="_Toc43693247"/>
      <w:bookmarkStart w:id="896" w:name="_Toc49477530"/>
      <w:r>
        <w:rPr>
          <w:rFonts w:hint="eastAsia"/>
        </w:rPr>
        <w:t>1.目标</w:t>
      </w:r>
      <w:bookmarkEnd w:id="895"/>
      <w:r>
        <w:rPr>
          <w:rFonts w:hint="eastAsia"/>
        </w:rPr>
        <w:t>设定得5分（共7分）</w:t>
      </w:r>
      <w:bookmarkEnd w:id="896"/>
    </w:p>
    <w:p w14:paraId="6D8090E0">
      <w:pPr>
        <w:ind w:firstLine="420" w:firstLineChars="200"/>
      </w:pPr>
      <w:r>
        <w:rPr>
          <w:rFonts w:hint="eastAsia"/>
        </w:rPr>
        <w:t>（1）绩效目标合理性3分，得分2分。绩效目标合理性主要是评价项目是否符合国家法律法规、国民经济和社会发展总体规划；是否符合部门“三定”方案确定的职责；是否符合部门制定的中长期实施规划。该部门并未设置合理充分的预算绩效目标，但相关的事业发展规划、年度工作任务目标设置合理，在一定程度上能反映部门支出绩效，为部门预算绩效目标设置提供良好的基础。年度工作计划并未进一步细化形成绩效目标作为编制年度部门支出预算的依据和基础，因而部门年度支出计划与部门工作计划、预期成效之间联系并不紧密。按照评分标准，扣1分，得2分。</w:t>
      </w:r>
    </w:p>
    <w:p w14:paraId="0756DC73">
      <w:pPr>
        <w:ind w:firstLine="420" w:firstLineChars="200"/>
      </w:pPr>
      <w:r>
        <w:rPr>
          <w:rFonts w:hint="eastAsia"/>
        </w:rPr>
        <w:t>（2）绩效指标明确性4分，得分3分。绩效指标明确性主要是评价海洋与渔业局是否将部门整体的绩效目标细化分解为具体的工作任务；是否通过清晰、可衡量的指标值予以体现；是否与部门年度的任务数或计划数相对应；是否与本年度部门预算资金相匹配。与绩效目标设置情况类似，该部门并未设置充分明确的预算绩效指标，但在制定事业发展规划、年度工作计划等与部门支出密切相关的任务部署时，制定合理目标的同时也设置了相应的明确指标，这些指标部分被用于对部门业务工作绩效的考核。按照评分标准，扣1分，得3分。</w:t>
      </w:r>
    </w:p>
    <w:p w14:paraId="31302DE8">
      <w:pPr>
        <w:ind w:firstLine="420" w:firstLineChars="200"/>
      </w:pPr>
      <w:bookmarkStart w:id="897" w:name="_Toc43693248"/>
      <w:bookmarkStart w:id="898" w:name="_Toc49477531"/>
      <w:r>
        <w:rPr>
          <w:rFonts w:hint="eastAsia"/>
        </w:rPr>
        <w:t>2.预算</w:t>
      </w:r>
      <w:bookmarkEnd w:id="897"/>
      <w:r>
        <w:rPr>
          <w:rFonts w:hint="eastAsia"/>
        </w:rPr>
        <w:t>配置得8分（共8分）</w:t>
      </w:r>
      <w:bookmarkEnd w:id="898"/>
    </w:p>
    <w:p w14:paraId="2CD35051">
      <w:pPr>
        <w:ind w:firstLine="420" w:firstLineChars="200"/>
      </w:pPr>
      <w:r>
        <w:rPr>
          <w:rFonts w:hint="eastAsia"/>
        </w:rPr>
        <w:t>（1）在职人员控制率4分，得分4分。在职人员控制率主要是评价部门在职人员人数占编制人数的比重。在职人员控制率=（在职人员人数/编制数）×100%。在职人员数是部门（单位）实际在职人数，以财政部确定的部门决算编制口径为准。该部门严格遵守人员编制管理规定，财政供养人员规模得到有效控制。该部门2020年度（财政供养）定编115人，实有在职104人，财政供养人员控制率为90.44%。按照评分标准，得满分4分。</w:t>
      </w:r>
    </w:p>
    <w:p w14:paraId="476C0BA8">
      <w:pPr>
        <w:ind w:firstLine="420" w:firstLineChars="200"/>
      </w:pPr>
      <w:r>
        <w:rPr>
          <w:rFonts w:hint="eastAsia"/>
        </w:rPr>
        <w:t>（2）“三公经费”变动率4分，得分4分。“三公经费”变动率主要是评价部门2020年“三公经费”预算数与2019年“三公经费”预算数的变动比率，用以反映和考核部门对控制重点行政成本的努力程度。</w:t>
      </w:r>
      <w:r>
        <w:t>据2019年、2020年</w:t>
      </w:r>
      <w:r>
        <w:rPr>
          <w:rFonts w:hint="eastAsia"/>
        </w:rPr>
        <w:t>莆田</w:t>
      </w:r>
      <w:r>
        <w:t>市财政</w:t>
      </w:r>
      <w:r>
        <w:rPr>
          <w:rFonts w:hint="eastAsia"/>
        </w:rPr>
        <w:t>局</w:t>
      </w:r>
      <w:r>
        <w:t>批复</w:t>
      </w:r>
      <w:r>
        <w:rPr>
          <w:rFonts w:hint="eastAsia"/>
        </w:rPr>
        <w:t>莆田市海洋与渔业局</w:t>
      </w:r>
      <w:r>
        <w:t>部门“三公经费”预算控制数文件</w:t>
      </w:r>
      <w:r>
        <w:rPr>
          <w:rFonts w:hint="eastAsia"/>
        </w:rPr>
        <w:t>，</w:t>
      </w:r>
      <w:r>
        <w:t>2020年“三公经费”预算数</w:t>
      </w:r>
      <w:r>
        <w:rPr>
          <w:rFonts w:hint="eastAsia"/>
        </w:rPr>
        <w:t>26.91</w:t>
      </w:r>
      <w:r>
        <w:t>万元</w:t>
      </w:r>
      <w:r>
        <w:rPr>
          <w:rFonts w:hint="eastAsia"/>
        </w:rPr>
        <w:t>，</w:t>
      </w:r>
      <w:r>
        <w:t>2019年“三公经费”预算数</w:t>
      </w:r>
      <w:r>
        <w:rPr>
          <w:rFonts w:hint="eastAsia"/>
        </w:rPr>
        <w:t>27.68</w:t>
      </w:r>
      <w:r>
        <w:t>万元</w:t>
      </w:r>
      <w:r>
        <w:rPr>
          <w:rFonts w:hint="eastAsia"/>
        </w:rPr>
        <w:t>。</w:t>
      </w:r>
      <w:r>
        <w:t>“三公经费”</w:t>
      </w:r>
      <w:r>
        <w:rPr>
          <w:rFonts w:hint="eastAsia"/>
        </w:rPr>
        <w:t>变动</w:t>
      </w:r>
      <w:r>
        <w:t>率</w:t>
      </w:r>
      <w:r>
        <w:rPr>
          <w:rFonts w:hint="eastAsia"/>
        </w:rPr>
        <w:t>=（26.91</w:t>
      </w:r>
      <w:r>
        <w:t>-</w:t>
      </w:r>
      <w:r>
        <w:rPr>
          <w:rFonts w:hint="eastAsia"/>
        </w:rPr>
        <w:t>27.68</w:t>
      </w:r>
      <w:r>
        <w:t>）/</w:t>
      </w:r>
      <w:r>
        <w:rPr>
          <w:rFonts w:hint="eastAsia"/>
        </w:rPr>
        <w:t>27.68</w:t>
      </w:r>
      <w:r>
        <w:t>×100%=</w:t>
      </w:r>
      <w:r>
        <w:rPr>
          <w:rFonts w:hint="eastAsia"/>
        </w:rPr>
        <w:t>-2.78</w:t>
      </w:r>
      <w:r>
        <w:t xml:space="preserve"> %</w:t>
      </w:r>
      <w:r>
        <w:rPr>
          <w:rFonts w:hint="eastAsia"/>
        </w:rPr>
        <w:t>。按照评分标准，得满分4分。</w:t>
      </w:r>
    </w:p>
    <w:p w14:paraId="6919C0D5">
      <w:pPr>
        <w:ind w:firstLine="420" w:firstLineChars="200"/>
      </w:pPr>
      <w:bookmarkStart w:id="899" w:name="_Toc78184429"/>
      <w:bookmarkStart w:id="900" w:name="_Toc49477532"/>
      <w:r>
        <w:rPr>
          <w:rFonts w:hint="eastAsia"/>
        </w:rPr>
        <w:t>（二）过程指标得28.11分（共30分）</w:t>
      </w:r>
      <w:bookmarkEnd w:id="899"/>
      <w:bookmarkEnd w:id="900"/>
    </w:p>
    <w:p w14:paraId="7BC97F22">
      <w:pPr>
        <w:ind w:firstLine="420" w:firstLineChars="200"/>
      </w:pPr>
      <w:r>
        <w:rPr>
          <w:rFonts w:hint="eastAsia"/>
        </w:rPr>
        <w:t>一级指标“过程指标”下设“预算执行”“预算管理”和“资产管理”3个二级指标。过程指标满分30分，实际评价得分28.11分。</w:t>
      </w:r>
    </w:p>
    <w:p w14:paraId="1B0ACA21">
      <w:pPr>
        <w:ind w:firstLine="420" w:firstLineChars="200"/>
      </w:pPr>
      <w:bookmarkStart w:id="901" w:name="_Toc43693250"/>
      <w:bookmarkStart w:id="902" w:name="_Toc49477533"/>
      <w:r>
        <w:rPr>
          <w:rFonts w:hint="eastAsia"/>
        </w:rPr>
        <w:t>1.</w:t>
      </w:r>
      <w:bookmarkEnd w:id="901"/>
      <w:r>
        <w:rPr>
          <w:rFonts w:hint="eastAsia"/>
        </w:rPr>
        <w:t>预算执行得13.11分（共14分）</w:t>
      </w:r>
      <w:bookmarkEnd w:id="902"/>
    </w:p>
    <w:p w14:paraId="71C43C40">
      <w:pPr>
        <w:ind w:firstLine="420" w:firstLineChars="200"/>
      </w:pPr>
      <w:r>
        <w:rPr>
          <w:rFonts w:hint="eastAsia"/>
        </w:rPr>
        <w:t xml:space="preserve">（1）预算完成率3分，得分2.92分。预算完成率主要是评价预算实际完成占比情况。预算完成率=（预算完成数/预算数）×100%。预算完成数是部门（单位）本年度实际完成的预算数。根据莆田市海洋渔业局提供的2020年决算报表数据，2020年度预算总支出为3411.73万元，2020年度决算总支出为3315.40万元。根据计算公式计算得出预算完成率为97.18%，按照评分标准，得分为97.18% </w:t>
      </w:r>
      <w:r>
        <w:t>×</w:t>
      </w:r>
      <w:r>
        <w:rPr>
          <w:rFonts w:hint="eastAsia"/>
        </w:rPr>
        <w:t>3=2.92。因此预算完成率得分为2.92分。</w:t>
      </w:r>
    </w:p>
    <w:p w14:paraId="11C3AAB6">
      <w:pPr>
        <w:ind w:firstLine="420" w:firstLineChars="200"/>
      </w:pPr>
      <w:r>
        <w:rPr>
          <w:rFonts w:hint="eastAsia"/>
        </w:rPr>
        <w:t>（2）预算调整率3分，得分2.79分。预算调整率主要是评价部门2020年预算调整数占年初预算数的比重。预算调整率=（预算调整数/年初预算数）×100%。根据莆田市海洋渔业局提供的2020年决算报表数据，2020年度预算调整数为236.81万，预算数为3411.73万。根据计算公式计算得出预算调整率为6.94%，按照评分标准，扣减分数为0.21，因此预算调整率得分为2.79分。</w:t>
      </w:r>
    </w:p>
    <w:p w14:paraId="32870B5F">
      <w:pPr>
        <w:ind w:firstLine="420" w:firstLineChars="200"/>
      </w:pPr>
      <w:r>
        <w:rPr>
          <w:rFonts w:hint="eastAsia"/>
        </w:rPr>
        <w:t>（3）结转结余变动率2分，得分2分。结转结余变动率主要是评价部门本年度累计结转结余资金总额与上年度累计结转结余资金总额的变动比率，用以反映和考核部门对控制结转结余资金的努力程度。结转结余变动率=（本年度累计结转结余资金总额/上年度累计结转结余资金总额-1）×100%。根据莆田市海洋渔业局提供的2020年决算报表数据，2019年度结转结余资金为467.15万元，2020年度结转结余资金为362.86万元。根据计算公式计算得出结转结余变动率为-22.32%，按照评分标准，得满分2分。</w:t>
      </w:r>
    </w:p>
    <w:p w14:paraId="28F043FA">
      <w:pPr>
        <w:ind w:firstLine="420" w:firstLineChars="200"/>
      </w:pPr>
      <w:r>
        <w:rPr>
          <w:rFonts w:hint="eastAsia"/>
        </w:rPr>
        <w:t>（4）公用经费控制率2分，得分2分。公用经费控制率主要是评价实际支出公用经费总额占预算安排公用经费总额的比重。公用经费控制率=实际支出公用经费总额/预算安排公用经费总额×100%。根据莆田市海洋渔业局提供的2020年决算报表数据，2020年度公用经费预算数为157.84万元，2020年度公用经费决算数为135.72万元。根据计算公式计算得出公用经费控制率为85.99%，按照评分标准，得满分2分。</w:t>
      </w:r>
    </w:p>
    <w:p w14:paraId="23D6C23B">
      <w:pPr>
        <w:ind w:firstLine="420" w:firstLineChars="200"/>
      </w:pPr>
      <w:r>
        <w:rPr>
          <w:rFonts w:hint="eastAsia"/>
        </w:rPr>
        <w:t>（5）“三公经费”控制率2分，得分2分。“三公经费”控制率主要是评价部门“三公经费”实际支出数占预算安排数的比重。“三公经费”控制率=（“三公经费”实际支出数/“三公经费”预算安排数）×100%。根据莆田市海洋渔业局提供的2020年决算报表数据，2020年度“三公经费”预算数为26.91万元，2020年度“三公经费”决算数为4.63万元，主要原因是报废两辆公务用车，并厉行节约。根据计算公式计算得出“三公经费”控制率为82.8%，按照评分标准，得满分2分。</w:t>
      </w:r>
    </w:p>
    <w:p w14:paraId="3BF464B0">
      <w:pPr>
        <w:ind w:firstLine="420" w:firstLineChars="200"/>
      </w:pPr>
      <w:r>
        <w:rPr>
          <w:rFonts w:hint="eastAsia"/>
        </w:rPr>
        <w:t>（6）政府采购执行率2分，得分1.4分。政府采购执行率主要是评价部门2020年实际政府采购金额占预算采购金额的比重。政府采购执行率=（政府实际采购金额/政府采购预算金额）×100%；政府采购预算是采购机关根据事业发展计划和行政任务编制的、并经过规定程序批准的年度政府采购计划。根据莆田市海洋渔业局提供的2020年决算报表数据，2020年度政府采购计划金额为492.1万元，2020年度政府实际采购金额为462.89万元。根据计算公式计算得出政府采购执行率为94.06%，按照评分标准，扣0.6分，得分为1.4分。</w:t>
      </w:r>
    </w:p>
    <w:p w14:paraId="5F510E8D">
      <w:pPr>
        <w:ind w:firstLine="420" w:firstLineChars="200"/>
      </w:pPr>
      <w:bookmarkStart w:id="903" w:name="_Toc43693251"/>
      <w:bookmarkStart w:id="904" w:name="_Toc49477534"/>
      <w:r>
        <w:rPr>
          <w:rFonts w:hint="eastAsia"/>
        </w:rPr>
        <w:t>2.预算管理</w:t>
      </w:r>
      <w:bookmarkEnd w:id="903"/>
      <w:r>
        <w:rPr>
          <w:rFonts w:hint="eastAsia"/>
        </w:rPr>
        <w:t>得6分（共7分）</w:t>
      </w:r>
      <w:bookmarkEnd w:id="904"/>
    </w:p>
    <w:p w14:paraId="6B190B38">
      <w:pPr>
        <w:ind w:firstLine="420" w:firstLineChars="200"/>
      </w:pPr>
      <w:r>
        <w:rPr>
          <w:rFonts w:hint="eastAsia"/>
        </w:rPr>
        <w:t>（1）财务制度健全性2分，得分1分。财务管理制度健全性主要是评价部门是否已制定或具有预算资金管理办法、内部财务管理制度、会计核算制度等管理制度；相关管理制度是否合法、合规、完整。根据案卷研究和现场调研，部门制定了一系列财务制度，部门职能履行与预算执行在一定程度上得到了制度的保障。但是，部门管理制度仍不健全，主要体现为部门项目支出存在缺少专门的资金管理办法的情况。财务制度还不够健全，按照评分标准，扣1分，得1分。</w:t>
      </w:r>
    </w:p>
    <w:p w14:paraId="4FE2F366">
      <w:pPr>
        <w:ind w:firstLine="420" w:firstLineChars="200"/>
      </w:pPr>
      <w:r>
        <w:rPr>
          <w:rFonts w:hint="eastAsia"/>
        </w:rPr>
        <w:t>（2）资金使用合规性3分，得分3分。资金使用合规性主要是评价部门的资金拨付是否有完整的审批程序和手续；是否符合部门预算批复的用途；是否存在截留、挤占、挪用、虚列支出等情况。根据所提供的账务数据、资料以及现场核查情况，该部门资金使用基本规范：一是事项支出符合相关费用标准、资金拨付的规定，未发现超范围、超标准支出，也未发现虚列支出、截留、挤占、挪用资金以及其他不符合制度规定的支出情况；二是会计核算执行会计核算制度，按规定设专账核算；三是严格执行账务报账制度，据现场核查及部门反馈，凡未提供相关账务充分佐证材料的，即暂停项目支出报账；四是重大项目严格履行必要的审批程序。资金使用合规，按照评分标准，得满分3分。</w:t>
      </w:r>
    </w:p>
    <w:p w14:paraId="2250CFB6">
      <w:pPr>
        <w:ind w:firstLine="420" w:firstLineChars="200"/>
      </w:pPr>
      <w:r>
        <w:rPr>
          <w:rFonts w:hint="eastAsia"/>
        </w:rPr>
        <w:t>（3）预决算信息公开性2分，得分2分。预决算信息公开性主要是评价部门是否按规定内容公开预、决算信息；是否按规定时限公开预、决算信息。预决算信息是指与部门预算、执行、决算、监督、绩效等管理相关的信息。根据现场和网站查询情况，该部门严格根据要求，按照规定内容、规定时限公开部门整体支出的预算信息和决算信息。预决算信息按规定公开，按照评分标准，得满分2分。</w:t>
      </w:r>
    </w:p>
    <w:p w14:paraId="4266536C">
      <w:pPr>
        <w:ind w:firstLine="420" w:firstLineChars="200"/>
      </w:pPr>
      <w:bookmarkStart w:id="905" w:name="_Toc43693252"/>
      <w:bookmarkStart w:id="906" w:name="_Toc49477535"/>
      <w:r>
        <w:rPr>
          <w:rFonts w:hint="eastAsia"/>
        </w:rPr>
        <w:t>3.资产管理</w:t>
      </w:r>
      <w:bookmarkEnd w:id="905"/>
      <w:r>
        <w:rPr>
          <w:rFonts w:hint="eastAsia"/>
        </w:rPr>
        <w:t>得9分（共9分）</w:t>
      </w:r>
      <w:bookmarkEnd w:id="906"/>
    </w:p>
    <w:p w14:paraId="47067FC6">
      <w:pPr>
        <w:ind w:firstLine="420" w:firstLineChars="200"/>
      </w:pPr>
      <w:r>
        <w:rPr>
          <w:rFonts w:hint="eastAsia"/>
        </w:rPr>
        <w:t>（1）管理制度健全性3分，得分3分。管理制度健全性主要是评价部门是否已制定或具有资产管理制度；相关资金管理制度是否合法、合规、完整；相关资产管理制度是否得到有效执行。根据案卷研究和现场调研，莆田市海洋与渔业局已制定资产管理制度、资金管理制度，并且制度合法、合规、完整，资产管理制度也得到有效执行。按照评分标准，得满分3分。</w:t>
      </w:r>
    </w:p>
    <w:p w14:paraId="413DDD2E">
      <w:pPr>
        <w:ind w:firstLine="420" w:firstLineChars="200"/>
      </w:pPr>
      <w:r>
        <w:rPr>
          <w:rFonts w:hint="eastAsia"/>
        </w:rPr>
        <w:t>（2）资产管理安全性3分，得分3分。资产管理安全性主要评价部门资产保存是否完整，配置是否合理；资产账务管理是否合规，是否帐实相符；资产处置是否规范，资产是否有偿使用及处置收入及时足额上缴。根据现场询问、核查相关资料，该部门资产保存完整、配置基本合理，资产账务管理合规、与账实相符，资产处置规范。按照评分标准，得满分3分。</w:t>
      </w:r>
    </w:p>
    <w:p w14:paraId="7B11D2C9">
      <w:pPr>
        <w:ind w:firstLine="420" w:firstLineChars="200"/>
      </w:pPr>
      <w:r>
        <w:rPr>
          <w:rFonts w:hint="eastAsia"/>
        </w:rPr>
        <w:t>（3）固定资产利用率3分，得分3分。固定资产利用率主要是评价部门实际在用的固定资产总额占所有固定资产总额的比重。固定资产利用率=（实际在用固定资产总额/所有固定资产总额）×100%。根据2020年度部门决算数据与现场核查情况，海洋与渔业部门本级及所属的预算单位共有车辆2辆，其中：一般执法执勤用车2辆，单位价值50万元以上通用设备4台（套），单位价值100万元以上专用设备4台（套）。办公用房280平方米。据部门现场反映，单位办公用地较为紧张、调配使用也比较及时，基本没出现闲置情况。车辆使用效率也比较高，未出现闲置情况。固定资产总利用率超过85%.按照评分标准，得满分3分。</w:t>
      </w:r>
    </w:p>
    <w:p w14:paraId="4B304EF1">
      <w:pPr>
        <w:ind w:firstLine="420" w:firstLineChars="200"/>
      </w:pPr>
      <w:bookmarkStart w:id="907" w:name="_Toc49477536"/>
      <w:bookmarkStart w:id="908" w:name="_Toc78184430"/>
      <w:r>
        <w:rPr>
          <w:rFonts w:hint="eastAsia"/>
        </w:rPr>
        <w:t>（三）产出指标得14.88分（共20分）</w:t>
      </w:r>
      <w:bookmarkEnd w:id="907"/>
      <w:bookmarkEnd w:id="908"/>
    </w:p>
    <w:p w14:paraId="7F41E0A9">
      <w:pPr>
        <w:ind w:firstLine="420" w:firstLineChars="200"/>
      </w:pPr>
      <w:r>
        <w:rPr>
          <w:rFonts w:hint="eastAsia"/>
        </w:rPr>
        <w:t>一级指标“产出指标”下设“职责履行”1个二级指标。产出指标满分20分，实际评价得分14.88分。</w:t>
      </w:r>
    </w:p>
    <w:p w14:paraId="433FF038">
      <w:pPr>
        <w:ind w:firstLine="420" w:firstLineChars="200"/>
      </w:pPr>
      <w:bookmarkStart w:id="909" w:name="_Toc43693254"/>
      <w:bookmarkStart w:id="910" w:name="_Toc49477537"/>
      <w:r>
        <w:rPr>
          <w:rFonts w:hint="eastAsia"/>
        </w:rPr>
        <w:t>1.</w:t>
      </w:r>
      <w:bookmarkEnd w:id="909"/>
      <w:r>
        <w:rPr>
          <w:rFonts w:hint="eastAsia"/>
        </w:rPr>
        <w:t xml:space="preserve"> 职责履行得14.88分（共20分）</w:t>
      </w:r>
      <w:bookmarkEnd w:id="910"/>
    </w:p>
    <w:p w14:paraId="6DBB4603">
      <w:pPr>
        <w:ind w:firstLine="420" w:firstLineChars="200"/>
      </w:pPr>
      <w:r>
        <w:rPr>
          <w:rFonts w:hint="eastAsia"/>
        </w:rPr>
        <w:t>（1）绩效目标完成率5分，得分4分。绩效目标完成率主要是评价部门整体支出绩效目标表中已实现目标数占申报目标数的比重。根据核算，莆田市海洋与渔业局2020年度部门整体支出绩效目标指标体系共有10个指标，其中在职人员工资率、“三公经费”变动率、公用经费控制率、“三公经费”控制率、预算执行率、财政支出项目完成率、重点工作办结率、服务对象满意程度这8个指标达到目标，固定资产利用率和推动海洋经济生产总值比率这两个指标未达到目标。根据计算公式，绩效目标完成率为80%，按照评分标准，目标完成率得分为4分。</w:t>
      </w:r>
    </w:p>
    <w:p w14:paraId="607F911D">
      <w:pPr>
        <w:ind w:firstLine="420" w:firstLineChars="200"/>
      </w:pPr>
      <w:r>
        <w:rPr>
          <w:rFonts w:hint="eastAsia"/>
        </w:rPr>
        <w:t>（2）项目完成质量达标率5分，得分2.06分。项目完成质量达标率主要是评价项目中自评结果为优良的项目数占资金到位项目数的比重。莆田市海洋与渔业局2020年度共有项目17个，项目的自评结果如表5所示，其中自评为优秀的项目有6个，自评为良好的项目有1个，自评为合格的项目有6个，自评为不合格的项目有4个。根据计算公式，项目完成质量达标率为41.18%，按照评分标准，项目完成质量达标率得分为2.06分。</w:t>
      </w:r>
    </w:p>
    <w:p w14:paraId="59602C47">
      <w:pPr>
        <w:ind w:firstLine="420" w:firstLineChars="200"/>
      </w:pPr>
      <w:r>
        <w:rPr>
          <w:rFonts w:hint="eastAsia"/>
        </w:rPr>
        <w:t>表5  莆田市海洋与渔业局2020年度项目完成及自评情况</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4123"/>
        <w:gridCol w:w="1389"/>
        <w:gridCol w:w="1009"/>
        <w:gridCol w:w="1231"/>
      </w:tblGrid>
      <w:tr w14:paraId="14A8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tcPr>
          <w:p w14:paraId="40CAD68B">
            <w:r>
              <w:rPr>
                <w:rFonts w:hint="eastAsia"/>
              </w:rPr>
              <w:t>序号</w:t>
            </w:r>
          </w:p>
        </w:tc>
        <w:tc>
          <w:tcPr>
            <w:tcW w:w="2419" w:type="pct"/>
          </w:tcPr>
          <w:p w14:paraId="0ED2A186">
            <w:r>
              <w:rPr>
                <w:rFonts w:hint="eastAsia"/>
              </w:rPr>
              <w:t>专项资金项目</w:t>
            </w:r>
          </w:p>
        </w:tc>
        <w:tc>
          <w:tcPr>
            <w:tcW w:w="815" w:type="pct"/>
          </w:tcPr>
          <w:p w14:paraId="58793050">
            <w:r>
              <w:rPr>
                <w:rFonts w:hint="eastAsia"/>
              </w:rPr>
              <w:t>预算执行率</w:t>
            </w:r>
          </w:p>
        </w:tc>
        <w:tc>
          <w:tcPr>
            <w:tcW w:w="592" w:type="pct"/>
          </w:tcPr>
          <w:p w14:paraId="743E6F34">
            <w:r>
              <w:rPr>
                <w:rFonts w:hint="eastAsia"/>
              </w:rPr>
              <w:t>自评等次</w:t>
            </w:r>
          </w:p>
        </w:tc>
        <w:tc>
          <w:tcPr>
            <w:tcW w:w="722" w:type="pct"/>
          </w:tcPr>
          <w:p w14:paraId="00C08C4E">
            <w:r>
              <w:rPr>
                <w:rFonts w:hint="eastAsia"/>
              </w:rPr>
              <w:t>完成情况</w:t>
            </w:r>
          </w:p>
        </w:tc>
      </w:tr>
      <w:tr w14:paraId="1EC2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6E4B736F">
            <w:r>
              <w:rPr>
                <w:rFonts w:hint="eastAsia"/>
              </w:rPr>
              <w:t>1</w:t>
            </w:r>
          </w:p>
        </w:tc>
        <w:tc>
          <w:tcPr>
            <w:tcW w:w="2419" w:type="pct"/>
            <w:vAlign w:val="center"/>
          </w:tcPr>
          <w:p w14:paraId="3D91D17C">
            <w:r>
              <w:rPr>
                <w:rFonts w:hint="eastAsia"/>
              </w:rPr>
              <w:t>莆田市海洋与渔业局本级部门业务费</w:t>
            </w:r>
          </w:p>
        </w:tc>
        <w:tc>
          <w:tcPr>
            <w:tcW w:w="815" w:type="pct"/>
            <w:vAlign w:val="center"/>
          </w:tcPr>
          <w:p w14:paraId="446454D0">
            <w:r>
              <w:rPr>
                <w:rFonts w:hint="eastAsia"/>
              </w:rPr>
              <w:t>73.00%</w:t>
            </w:r>
          </w:p>
        </w:tc>
        <w:tc>
          <w:tcPr>
            <w:tcW w:w="592" w:type="pct"/>
            <w:vAlign w:val="center"/>
          </w:tcPr>
          <w:p w14:paraId="6BE5ED7C">
            <w:r>
              <w:rPr>
                <w:rFonts w:hint="eastAsia"/>
              </w:rPr>
              <w:t>合格</w:t>
            </w:r>
          </w:p>
        </w:tc>
        <w:tc>
          <w:tcPr>
            <w:tcW w:w="722" w:type="pct"/>
            <w:vAlign w:val="center"/>
          </w:tcPr>
          <w:p w14:paraId="2416C0F7">
            <w:r>
              <w:rPr>
                <w:rFonts w:hint="eastAsia"/>
              </w:rPr>
              <w:t>完成</w:t>
            </w:r>
          </w:p>
        </w:tc>
      </w:tr>
      <w:tr w14:paraId="055D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1209ACFC">
            <w:r>
              <w:rPr>
                <w:rFonts w:hint="eastAsia"/>
              </w:rPr>
              <w:t>2</w:t>
            </w:r>
          </w:p>
        </w:tc>
        <w:tc>
          <w:tcPr>
            <w:tcW w:w="2419" w:type="pct"/>
            <w:vAlign w:val="center"/>
          </w:tcPr>
          <w:p w14:paraId="7D0152EC">
            <w:r>
              <w:rPr>
                <w:rFonts w:hint="eastAsia"/>
              </w:rPr>
              <w:t>莆田市海洋与渔业执法支队部门业务费</w:t>
            </w:r>
          </w:p>
        </w:tc>
        <w:tc>
          <w:tcPr>
            <w:tcW w:w="815" w:type="pct"/>
            <w:vAlign w:val="center"/>
          </w:tcPr>
          <w:p w14:paraId="00B4F722">
            <w:r>
              <w:rPr>
                <w:rFonts w:hint="eastAsia"/>
              </w:rPr>
              <w:t>52.00%</w:t>
            </w:r>
          </w:p>
        </w:tc>
        <w:tc>
          <w:tcPr>
            <w:tcW w:w="592" w:type="pct"/>
            <w:vAlign w:val="center"/>
          </w:tcPr>
          <w:p w14:paraId="3C42171C">
            <w:r>
              <w:rPr>
                <w:rFonts w:hint="eastAsia"/>
              </w:rPr>
              <w:t>合格</w:t>
            </w:r>
          </w:p>
        </w:tc>
        <w:tc>
          <w:tcPr>
            <w:tcW w:w="722" w:type="pct"/>
            <w:vAlign w:val="center"/>
          </w:tcPr>
          <w:p w14:paraId="64A770BF">
            <w:r>
              <w:rPr>
                <w:rFonts w:hint="eastAsia"/>
              </w:rPr>
              <w:t>完成</w:t>
            </w:r>
          </w:p>
        </w:tc>
      </w:tr>
      <w:tr w14:paraId="7CCE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5AD15A08">
            <w:r>
              <w:rPr>
                <w:rFonts w:hint="eastAsia"/>
              </w:rPr>
              <w:t>3</w:t>
            </w:r>
          </w:p>
        </w:tc>
        <w:tc>
          <w:tcPr>
            <w:tcW w:w="2419" w:type="pct"/>
            <w:vAlign w:val="center"/>
          </w:tcPr>
          <w:p w14:paraId="3E9EB781">
            <w:r>
              <w:rPr>
                <w:rFonts w:hint="eastAsia"/>
              </w:rPr>
              <w:t>莆田市海洋与渔业环境监测站部门业务费</w:t>
            </w:r>
          </w:p>
        </w:tc>
        <w:tc>
          <w:tcPr>
            <w:tcW w:w="815" w:type="pct"/>
            <w:vAlign w:val="center"/>
          </w:tcPr>
          <w:p w14:paraId="286B736F">
            <w:r>
              <w:rPr>
                <w:rFonts w:hint="eastAsia"/>
              </w:rPr>
              <w:t>71.00%</w:t>
            </w:r>
          </w:p>
        </w:tc>
        <w:tc>
          <w:tcPr>
            <w:tcW w:w="592" w:type="pct"/>
            <w:vAlign w:val="center"/>
          </w:tcPr>
          <w:p w14:paraId="4899B254">
            <w:r>
              <w:rPr>
                <w:rFonts w:hint="eastAsia"/>
              </w:rPr>
              <w:t>合格</w:t>
            </w:r>
          </w:p>
        </w:tc>
        <w:tc>
          <w:tcPr>
            <w:tcW w:w="722" w:type="pct"/>
            <w:vAlign w:val="center"/>
          </w:tcPr>
          <w:p w14:paraId="3D6846A1">
            <w:r>
              <w:rPr>
                <w:rFonts w:hint="eastAsia"/>
              </w:rPr>
              <w:t>完成</w:t>
            </w:r>
          </w:p>
        </w:tc>
      </w:tr>
      <w:tr w14:paraId="6141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00DB4CE5">
            <w:r>
              <w:rPr>
                <w:rFonts w:hint="eastAsia"/>
              </w:rPr>
              <w:t>4</w:t>
            </w:r>
          </w:p>
        </w:tc>
        <w:tc>
          <w:tcPr>
            <w:tcW w:w="2419" w:type="pct"/>
            <w:vAlign w:val="center"/>
          </w:tcPr>
          <w:p w14:paraId="119E817C">
            <w:r>
              <w:rPr>
                <w:rFonts w:hint="eastAsia"/>
              </w:rPr>
              <w:t>莆田市水产科学研究所部门业务费</w:t>
            </w:r>
          </w:p>
        </w:tc>
        <w:tc>
          <w:tcPr>
            <w:tcW w:w="815" w:type="pct"/>
            <w:vAlign w:val="center"/>
          </w:tcPr>
          <w:p w14:paraId="20BC050F">
            <w:r>
              <w:rPr>
                <w:rFonts w:hint="eastAsia"/>
              </w:rPr>
              <w:t>91.00%</w:t>
            </w:r>
          </w:p>
        </w:tc>
        <w:tc>
          <w:tcPr>
            <w:tcW w:w="592" w:type="pct"/>
            <w:vAlign w:val="center"/>
          </w:tcPr>
          <w:p w14:paraId="5A3A5E99">
            <w:r>
              <w:rPr>
                <w:rFonts w:hint="eastAsia"/>
              </w:rPr>
              <w:t>优秀</w:t>
            </w:r>
          </w:p>
        </w:tc>
        <w:tc>
          <w:tcPr>
            <w:tcW w:w="722" w:type="pct"/>
            <w:vAlign w:val="center"/>
          </w:tcPr>
          <w:p w14:paraId="0D28150B">
            <w:r>
              <w:rPr>
                <w:rFonts w:hint="eastAsia"/>
              </w:rPr>
              <w:t>部分完成</w:t>
            </w:r>
          </w:p>
        </w:tc>
      </w:tr>
      <w:tr w14:paraId="6E0E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7C816FD5">
            <w:r>
              <w:rPr>
                <w:rFonts w:hint="eastAsia"/>
              </w:rPr>
              <w:t>5</w:t>
            </w:r>
          </w:p>
        </w:tc>
        <w:tc>
          <w:tcPr>
            <w:tcW w:w="2419" w:type="pct"/>
            <w:vAlign w:val="center"/>
          </w:tcPr>
          <w:p w14:paraId="7E1CD8FF">
            <w:r>
              <w:rPr>
                <w:rFonts w:hint="eastAsia"/>
              </w:rPr>
              <w:t>妈祖文化等海洋意识宣传教育，海洋文化建设和海洋特色品牌打造等</w:t>
            </w:r>
          </w:p>
        </w:tc>
        <w:tc>
          <w:tcPr>
            <w:tcW w:w="815" w:type="pct"/>
            <w:vAlign w:val="center"/>
          </w:tcPr>
          <w:p w14:paraId="1F4C3C03">
            <w:r>
              <w:rPr>
                <w:rFonts w:hint="eastAsia"/>
              </w:rPr>
              <w:t>5.00%</w:t>
            </w:r>
          </w:p>
        </w:tc>
        <w:tc>
          <w:tcPr>
            <w:tcW w:w="592" w:type="pct"/>
            <w:vAlign w:val="center"/>
          </w:tcPr>
          <w:p w14:paraId="736F4E2D">
            <w:r>
              <w:rPr>
                <w:rFonts w:hint="eastAsia"/>
              </w:rPr>
              <w:t>不合格</w:t>
            </w:r>
          </w:p>
        </w:tc>
        <w:tc>
          <w:tcPr>
            <w:tcW w:w="722" w:type="pct"/>
            <w:vAlign w:val="center"/>
          </w:tcPr>
          <w:p w14:paraId="3726FEF0">
            <w:r>
              <w:rPr>
                <w:rFonts w:hint="eastAsia"/>
              </w:rPr>
              <w:t>部分完成</w:t>
            </w:r>
          </w:p>
        </w:tc>
      </w:tr>
      <w:tr w14:paraId="17DB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64ABE74B">
            <w:r>
              <w:rPr>
                <w:rFonts w:hint="eastAsia"/>
              </w:rPr>
              <w:t>6</w:t>
            </w:r>
          </w:p>
        </w:tc>
        <w:tc>
          <w:tcPr>
            <w:tcW w:w="2419" w:type="pct"/>
            <w:vAlign w:val="center"/>
          </w:tcPr>
          <w:p w14:paraId="607B78BC">
            <w:r>
              <w:rPr>
                <w:rFonts w:hint="eastAsia"/>
              </w:rPr>
              <w:t>海洋环境测报经费</w:t>
            </w:r>
          </w:p>
        </w:tc>
        <w:tc>
          <w:tcPr>
            <w:tcW w:w="815" w:type="pct"/>
            <w:vAlign w:val="center"/>
          </w:tcPr>
          <w:p w14:paraId="50429EC4">
            <w:r>
              <w:rPr>
                <w:rFonts w:hint="eastAsia"/>
              </w:rPr>
              <w:t>61.00%</w:t>
            </w:r>
          </w:p>
        </w:tc>
        <w:tc>
          <w:tcPr>
            <w:tcW w:w="592" w:type="pct"/>
            <w:vAlign w:val="center"/>
          </w:tcPr>
          <w:p w14:paraId="2E0BC3C7">
            <w:r>
              <w:rPr>
                <w:rFonts w:hint="eastAsia"/>
              </w:rPr>
              <w:t>合格</w:t>
            </w:r>
          </w:p>
        </w:tc>
        <w:tc>
          <w:tcPr>
            <w:tcW w:w="722" w:type="pct"/>
            <w:vAlign w:val="center"/>
          </w:tcPr>
          <w:p w14:paraId="4EDA0EC9">
            <w:r>
              <w:rPr>
                <w:rFonts w:hint="eastAsia"/>
              </w:rPr>
              <w:t>完成</w:t>
            </w:r>
          </w:p>
        </w:tc>
      </w:tr>
      <w:tr w14:paraId="706E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0BC0B470">
            <w:r>
              <w:rPr>
                <w:rFonts w:hint="eastAsia"/>
              </w:rPr>
              <w:t>7</w:t>
            </w:r>
          </w:p>
        </w:tc>
        <w:tc>
          <w:tcPr>
            <w:tcW w:w="2419" w:type="pct"/>
            <w:vAlign w:val="center"/>
          </w:tcPr>
          <w:p w14:paraId="42C6A873">
            <w:r>
              <w:rPr>
                <w:rFonts w:hint="eastAsia"/>
              </w:rPr>
              <w:t>渔业互保会费市级财政补贴资金</w:t>
            </w:r>
          </w:p>
        </w:tc>
        <w:tc>
          <w:tcPr>
            <w:tcW w:w="815" w:type="pct"/>
            <w:vAlign w:val="center"/>
          </w:tcPr>
          <w:p w14:paraId="46DCE5FF">
            <w:r>
              <w:rPr>
                <w:rFonts w:hint="eastAsia"/>
              </w:rPr>
              <w:t>86.00%</w:t>
            </w:r>
          </w:p>
        </w:tc>
        <w:tc>
          <w:tcPr>
            <w:tcW w:w="592" w:type="pct"/>
            <w:vAlign w:val="center"/>
          </w:tcPr>
          <w:p w14:paraId="52A074F2">
            <w:r>
              <w:rPr>
                <w:rFonts w:hint="eastAsia"/>
              </w:rPr>
              <w:t>良好</w:t>
            </w:r>
          </w:p>
        </w:tc>
        <w:tc>
          <w:tcPr>
            <w:tcW w:w="722" w:type="pct"/>
            <w:vAlign w:val="center"/>
          </w:tcPr>
          <w:p w14:paraId="66C0F620">
            <w:r>
              <w:rPr>
                <w:rFonts w:hint="eastAsia"/>
              </w:rPr>
              <w:t>完成</w:t>
            </w:r>
          </w:p>
        </w:tc>
      </w:tr>
      <w:tr w14:paraId="08D8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3EBE2DF5">
            <w:r>
              <w:rPr>
                <w:rFonts w:hint="eastAsia"/>
              </w:rPr>
              <w:t>8</w:t>
            </w:r>
          </w:p>
        </w:tc>
        <w:tc>
          <w:tcPr>
            <w:tcW w:w="2419" w:type="pct"/>
            <w:vAlign w:val="center"/>
          </w:tcPr>
          <w:p w14:paraId="56DFE234">
            <w:r>
              <w:rPr>
                <w:rFonts w:hint="eastAsia"/>
              </w:rPr>
              <w:t>渔业养殖区垃圾入海治理</w:t>
            </w:r>
          </w:p>
        </w:tc>
        <w:tc>
          <w:tcPr>
            <w:tcW w:w="815" w:type="pct"/>
            <w:vAlign w:val="center"/>
          </w:tcPr>
          <w:p w14:paraId="0AE7EE3A">
            <w:r>
              <w:rPr>
                <w:rFonts w:hint="eastAsia"/>
              </w:rPr>
              <w:t>100.00%</w:t>
            </w:r>
          </w:p>
        </w:tc>
        <w:tc>
          <w:tcPr>
            <w:tcW w:w="592" w:type="pct"/>
            <w:vAlign w:val="center"/>
          </w:tcPr>
          <w:p w14:paraId="64619E13">
            <w:r>
              <w:rPr>
                <w:rFonts w:hint="eastAsia"/>
              </w:rPr>
              <w:t>优秀</w:t>
            </w:r>
          </w:p>
        </w:tc>
        <w:tc>
          <w:tcPr>
            <w:tcW w:w="722" w:type="pct"/>
            <w:vAlign w:val="center"/>
          </w:tcPr>
          <w:p w14:paraId="00586A3F">
            <w:r>
              <w:rPr>
                <w:rFonts w:hint="eastAsia"/>
              </w:rPr>
              <w:t>完成</w:t>
            </w:r>
          </w:p>
        </w:tc>
      </w:tr>
      <w:tr w14:paraId="3630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2C76A6E2">
            <w:r>
              <w:rPr>
                <w:rFonts w:hint="eastAsia"/>
              </w:rPr>
              <w:t>9</w:t>
            </w:r>
          </w:p>
        </w:tc>
        <w:tc>
          <w:tcPr>
            <w:tcW w:w="2419" w:type="pct"/>
            <w:vAlign w:val="center"/>
          </w:tcPr>
          <w:p w14:paraId="422848A7">
            <w:r>
              <w:rPr>
                <w:rFonts w:hint="eastAsia"/>
              </w:rPr>
              <w:t>水产品质量安全检测样品费</w:t>
            </w:r>
          </w:p>
        </w:tc>
        <w:tc>
          <w:tcPr>
            <w:tcW w:w="815" w:type="pct"/>
            <w:vAlign w:val="center"/>
          </w:tcPr>
          <w:p w14:paraId="0F8D679A">
            <w:r>
              <w:rPr>
                <w:rFonts w:hint="eastAsia"/>
              </w:rPr>
              <w:t>100.00%</w:t>
            </w:r>
          </w:p>
        </w:tc>
        <w:tc>
          <w:tcPr>
            <w:tcW w:w="592" w:type="pct"/>
            <w:vAlign w:val="center"/>
          </w:tcPr>
          <w:p w14:paraId="3BDF4529">
            <w:r>
              <w:rPr>
                <w:rFonts w:hint="eastAsia"/>
              </w:rPr>
              <w:t>优秀</w:t>
            </w:r>
          </w:p>
        </w:tc>
        <w:tc>
          <w:tcPr>
            <w:tcW w:w="722" w:type="pct"/>
            <w:vAlign w:val="center"/>
          </w:tcPr>
          <w:p w14:paraId="00964F75">
            <w:r>
              <w:rPr>
                <w:rFonts w:hint="eastAsia"/>
              </w:rPr>
              <w:t>完成</w:t>
            </w:r>
          </w:p>
        </w:tc>
      </w:tr>
      <w:tr w14:paraId="5036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2A3015CC">
            <w:r>
              <w:rPr>
                <w:rFonts w:hint="eastAsia"/>
              </w:rPr>
              <w:t>10</w:t>
            </w:r>
          </w:p>
        </w:tc>
        <w:tc>
          <w:tcPr>
            <w:tcW w:w="2419" w:type="pct"/>
            <w:vAlign w:val="center"/>
          </w:tcPr>
          <w:p w14:paraId="573EE5EE">
            <w:r>
              <w:rPr>
                <w:rFonts w:hint="eastAsia"/>
              </w:rPr>
              <w:t>养殖排污口监测经费（2019年项目尾款）</w:t>
            </w:r>
          </w:p>
        </w:tc>
        <w:tc>
          <w:tcPr>
            <w:tcW w:w="815" w:type="pct"/>
            <w:vAlign w:val="center"/>
          </w:tcPr>
          <w:p w14:paraId="725CB09E">
            <w:r>
              <w:rPr>
                <w:rFonts w:hint="eastAsia"/>
              </w:rPr>
              <w:t>100.00%</w:t>
            </w:r>
          </w:p>
        </w:tc>
        <w:tc>
          <w:tcPr>
            <w:tcW w:w="592" w:type="pct"/>
            <w:vAlign w:val="center"/>
          </w:tcPr>
          <w:p w14:paraId="15AB2E31">
            <w:r>
              <w:rPr>
                <w:rFonts w:hint="eastAsia"/>
              </w:rPr>
              <w:t>优秀</w:t>
            </w:r>
          </w:p>
        </w:tc>
        <w:tc>
          <w:tcPr>
            <w:tcW w:w="722" w:type="pct"/>
            <w:vAlign w:val="center"/>
          </w:tcPr>
          <w:p w14:paraId="1A91D211">
            <w:r>
              <w:rPr>
                <w:rFonts w:hint="eastAsia"/>
              </w:rPr>
              <w:t>完成</w:t>
            </w:r>
          </w:p>
        </w:tc>
      </w:tr>
      <w:tr w14:paraId="253C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56CE0A2A">
            <w:r>
              <w:rPr>
                <w:rFonts w:hint="eastAsia"/>
              </w:rPr>
              <w:t>11</w:t>
            </w:r>
          </w:p>
        </w:tc>
        <w:tc>
          <w:tcPr>
            <w:tcW w:w="2419" w:type="pct"/>
            <w:vAlign w:val="center"/>
          </w:tcPr>
          <w:p w14:paraId="5F62A94B">
            <w:r>
              <w:rPr>
                <w:rFonts w:hint="eastAsia"/>
              </w:rPr>
              <w:t>2020年海洋与渔业发展专项资金</w:t>
            </w:r>
          </w:p>
        </w:tc>
        <w:tc>
          <w:tcPr>
            <w:tcW w:w="815" w:type="pct"/>
            <w:vAlign w:val="center"/>
          </w:tcPr>
          <w:p w14:paraId="559806F2">
            <w:r>
              <w:rPr>
                <w:rFonts w:hint="eastAsia"/>
              </w:rPr>
              <w:t>51.00%</w:t>
            </w:r>
          </w:p>
        </w:tc>
        <w:tc>
          <w:tcPr>
            <w:tcW w:w="592" w:type="pct"/>
            <w:vAlign w:val="center"/>
          </w:tcPr>
          <w:p w14:paraId="59F4402A">
            <w:r>
              <w:rPr>
                <w:rFonts w:hint="eastAsia"/>
              </w:rPr>
              <w:t>合格</w:t>
            </w:r>
          </w:p>
        </w:tc>
        <w:tc>
          <w:tcPr>
            <w:tcW w:w="722" w:type="pct"/>
            <w:vAlign w:val="center"/>
          </w:tcPr>
          <w:p w14:paraId="13EBE39C">
            <w:r>
              <w:rPr>
                <w:rFonts w:hint="eastAsia"/>
              </w:rPr>
              <w:t>部分完成</w:t>
            </w:r>
          </w:p>
        </w:tc>
      </w:tr>
      <w:tr w14:paraId="39FB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0668C3B0">
            <w:r>
              <w:rPr>
                <w:rFonts w:hint="eastAsia"/>
              </w:rPr>
              <w:t>12</w:t>
            </w:r>
          </w:p>
        </w:tc>
        <w:tc>
          <w:tcPr>
            <w:tcW w:w="2419" w:type="pct"/>
            <w:vAlign w:val="center"/>
          </w:tcPr>
          <w:p w14:paraId="6CF0EFAF">
            <w:r>
              <w:rPr>
                <w:rFonts w:hint="eastAsia"/>
              </w:rPr>
              <w:t>2020年海洋与渔业结构调整专项资金</w:t>
            </w:r>
          </w:p>
        </w:tc>
        <w:tc>
          <w:tcPr>
            <w:tcW w:w="815" w:type="pct"/>
            <w:vAlign w:val="center"/>
          </w:tcPr>
          <w:p w14:paraId="31278324">
            <w:r>
              <w:rPr>
                <w:rFonts w:hint="eastAsia"/>
              </w:rPr>
              <w:t>100.00%</w:t>
            </w:r>
          </w:p>
        </w:tc>
        <w:tc>
          <w:tcPr>
            <w:tcW w:w="592" w:type="pct"/>
            <w:vAlign w:val="center"/>
          </w:tcPr>
          <w:p w14:paraId="7222AF70">
            <w:r>
              <w:rPr>
                <w:rFonts w:hint="eastAsia"/>
              </w:rPr>
              <w:t>优秀</w:t>
            </w:r>
          </w:p>
        </w:tc>
        <w:tc>
          <w:tcPr>
            <w:tcW w:w="722" w:type="pct"/>
            <w:vAlign w:val="center"/>
          </w:tcPr>
          <w:p w14:paraId="7D908AEF">
            <w:r>
              <w:rPr>
                <w:rFonts w:hint="eastAsia"/>
              </w:rPr>
              <w:t>完成</w:t>
            </w:r>
          </w:p>
        </w:tc>
      </w:tr>
      <w:tr w14:paraId="7BA3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3A0B790B">
            <w:r>
              <w:rPr>
                <w:rFonts w:hint="eastAsia"/>
              </w:rPr>
              <w:t>13</w:t>
            </w:r>
          </w:p>
        </w:tc>
        <w:tc>
          <w:tcPr>
            <w:tcW w:w="2419" w:type="pct"/>
            <w:vAlign w:val="center"/>
          </w:tcPr>
          <w:p w14:paraId="1FEC96B3">
            <w:r>
              <w:rPr>
                <w:rFonts w:hint="eastAsia"/>
              </w:rPr>
              <w:t>莆田市沿海300吨级渔政船建造项目质保金</w:t>
            </w:r>
          </w:p>
        </w:tc>
        <w:tc>
          <w:tcPr>
            <w:tcW w:w="815" w:type="pct"/>
            <w:vAlign w:val="center"/>
          </w:tcPr>
          <w:p w14:paraId="5B0AFE17">
            <w:r>
              <w:rPr>
                <w:rFonts w:hint="eastAsia"/>
              </w:rPr>
              <w:t>0.00%</w:t>
            </w:r>
          </w:p>
        </w:tc>
        <w:tc>
          <w:tcPr>
            <w:tcW w:w="592" w:type="pct"/>
            <w:vAlign w:val="center"/>
          </w:tcPr>
          <w:p w14:paraId="710A47C5">
            <w:r>
              <w:rPr>
                <w:rFonts w:hint="eastAsia"/>
              </w:rPr>
              <w:t>不合格</w:t>
            </w:r>
          </w:p>
        </w:tc>
        <w:tc>
          <w:tcPr>
            <w:tcW w:w="722" w:type="pct"/>
            <w:vAlign w:val="center"/>
          </w:tcPr>
          <w:p w14:paraId="05DAE34F">
            <w:r>
              <w:rPr>
                <w:rFonts w:hint="eastAsia"/>
              </w:rPr>
              <w:t>未完成</w:t>
            </w:r>
          </w:p>
        </w:tc>
      </w:tr>
      <w:tr w14:paraId="307F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206D40E2">
            <w:r>
              <w:rPr>
                <w:rFonts w:hint="eastAsia"/>
              </w:rPr>
              <w:t>14</w:t>
            </w:r>
          </w:p>
        </w:tc>
        <w:tc>
          <w:tcPr>
            <w:tcW w:w="2419" w:type="pct"/>
            <w:vAlign w:val="center"/>
          </w:tcPr>
          <w:p w14:paraId="22858CE5">
            <w:r>
              <w:rPr>
                <w:rFonts w:hint="eastAsia"/>
              </w:rPr>
              <w:t>莆田市龙须菜新品种“鲁龙1号”示范推广项目（2019年项目尾款）</w:t>
            </w:r>
          </w:p>
        </w:tc>
        <w:tc>
          <w:tcPr>
            <w:tcW w:w="815" w:type="pct"/>
            <w:vAlign w:val="center"/>
          </w:tcPr>
          <w:p w14:paraId="1FD716ED">
            <w:r>
              <w:rPr>
                <w:rFonts w:hint="eastAsia"/>
              </w:rPr>
              <w:t>99.00%</w:t>
            </w:r>
          </w:p>
        </w:tc>
        <w:tc>
          <w:tcPr>
            <w:tcW w:w="592" w:type="pct"/>
            <w:vAlign w:val="center"/>
          </w:tcPr>
          <w:p w14:paraId="6C2A77B1">
            <w:r>
              <w:rPr>
                <w:rFonts w:hint="eastAsia"/>
              </w:rPr>
              <w:t>优秀</w:t>
            </w:r>
          </w:p>
        </w:tc>
        <w:tc>
          <w:tcPr>
            <w:tcW w:w="722" w:type="pct"/>
            <w:vAlign w:val="center"/>
          </w:tcPr>
          <w:p w14:paraId="61285891">
            <w:r>
              <w:rPr>
                <w:rFonts w:hint="eastAsia"/>
              </w:rPr>
              <w:t>完成</w:t>
            </w:r>
          </w:p>
        </w:tc>
      </w:tr>
      <w:tr w14:paraId="4762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4214FB0D">
            <w:r>
              <w:rPr>
                <w:rFonts w:hint="eastAsia"/>
              </w:rPr>
              <w:t>15</w:t>
            </w:r>
          </w:p>
        </w:tc>
        <w:tc>
          <w:tcPr>
            <w:tcW w:w="2419" w:type="pct"/>
            <w:vAlign w:val="center"/>
          </w:tcPr>
          <w:p w14:paraId="5C99D612">
            <w:r>
              <w:rPr>
                <w:rFonts w:hint="eastAsia"/>
              </w:rPr>
              <w:t>莆田市龙须菜新品种“鲁龙1号”示范推广项目</w:t>
            </w:r>
          </w:p>
        </w:tc>
        <w:tc>
          <w:tcPr>
            <w:tcW w:w="815" w:type="pct"/>
            <w:vAlign w:val="center"/>
          </w:tcPr>
          <w:p w14:paraId="4D8E82E1">
            <w:r>
              <w:rPr>
                <w:rFonts w:hint="eastAsia"/>
              </w:rPr>
              <w:t>44.00%</w:t>
            </w:r>
          </w:p>
        </w:tc>
        <w:tc>
          <w:tcPr>
            <w:tcW w:w="592" w:type="pct"/>
            <w:vAlign w:val="center"/>
          </w:tcPr>
          <w:p w14:paraId="4D577AE9">
            <w:r>
              <w:rPr>
                <w:rFonts w:hint="eastAsia"/>
              </w:rPr>
              <w:t>不合格</w:t>
            </w:r>
          </w:p>
        </w:tc>
        <w:tc>
          <w:tcPr>
            <w:tcW w:w="722" w:type="pct"/>
            <w:vAlign w:val="center"/>
          </w:tcPr>
          <w:p w14:paraId="709DBAE1">
            <w:r>
              <w:rPr>
                <w:rFonts w:hint="eastAsia"/>
              </w:rPr>
              <w:t>完成</w:t>
            </w:r>
          </w:p>
        </w:tc>
      </w:tr>
      <w:tr w14:paraId="218A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32441F86">
            <w:r>
              <w:rPr>
                <w:rFonts w:hint="eastAsia"/>
              </w:rPr>
              <w:t>16</w:t>
            </w:r>
          </w:p>
        </w:tc>
        <w:tc>
          <w:tcPr>
            <w:tcW w:w="2419" w:type="pct"/>
            <w:vAlign w:val="center"/>
          </w:tcPr>
          <w:p w14:paraId="54E960CB">
            <w:r>
              <w:rPr>
                <w:rFonts w:hint="eastAsia"/>
              </w:rPr>
              <w:t>水生动物病害疫病监测及健康养殖技术培训等工作经费</w:t>
            </w:r>
          </w:p>
        </w:tc>
        <w:tc>
          <w:tcPr>
            <w:tcW w:w="815" w:type="pct"/>
            <w:vAlign w:val="center"/>
          </w:tcPr>
          <w:p w14:paraId="7225C1E9">
            <w:r>
              <w:rPr>
                <w:rFonts w:hint="eastAsia"/>
              </w:rPr>
              <w:t>69.00%</w:t>
            </w:r>
          </w:p>
        </w:tc>
        <w:tc>
          <w:tcPr>
            <w:tcW w:w="592" w:type="pct"/>
            <w:vAlign w:val="center"/>
          </w:tcPr>
          <w:p w14:paraId="1C1C13DE">
            <w:r>
              <w:rPr>
                <w:rFonts w:hint="eastAsia"/>
              </w:rPr>
              <w:t>合格</w:t>
            </w:r>
          </w:p>
        </w:tc>
        <w:tc>
          <w:tcPr>
            <w:tcW w:w="722" w:type="pct"/>
            <w:vAlign w:val="center"/>
          </w:tcPr>
          <w:p w14:paraId="73912197">
            <w:r>
              <w:rPr>
                <w:rFonts w:hint="eastAsia"/>
              </w:rPr>
              <w:t>完成</w:t>
            </w:r>
          </w:p>
        </w:tc>
      </w:tr>
      <w:tr w14:paraId="4508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14:paraId="7F9BCC2B">
            <w:r>
              <w:rPr>
                <w:rFonts w:hint="eastAsia"/>
              </w:rPr>
              <w:t>17</w:t>
            </w:r>
          </w:p>
        </w:tc>
        <w:tc>
          <w:tcPr>
            <w:tcW w:w="2419" w:type="pct"/>
            <w:vAlign w:val="center"/>
          </w:tcPr>
          <w:p w14:paraId="02A7B059">
            <w:r>
              <w:rPr>
                <w:rFonts w:hint="eastAsia"/>
              </w:rPr>
              <w:t>福建莆田淡水增养殖科研中试基地清算费用及债务偿还</w:t>
            </w:r>
          </w:p>
        </w:tc>
        <w:tc>
          <w:tcPr>
            <w:tcW w:w="815" w:type="pct"/>
            <w:vAlign w:val="center"/>
          </w:tcPr>
          <w:p w14:paraId="0877448A">
            <w:r>
              <w:rPr>
                <w:rFonts w:hint="eastAsia"/>
              </w:rPr>
              <w:t>39.00%</w:t>
            </w:r>
          </w:p>
        </w:tc>
        <w:tc>
          <w:tcPr>
            <w:tcW w:w="592" w:type="pct"/>
            <w:vAlign w:val="center"/>
          </w:tcPr>
          <w:p w14:paraId="7F00CB35">
            <w:r>
              <w:rPr>
                <w:rFonts w:hint="eastAsia"/>
              </w:rPr>
              <w:t>不合格</w:t>
            </w:r>
          </w:p>
        </w:tc>
        <w:tc>
          <w:tcPr>
            <w:tcW w:w="722" w:type="pct"/>
            <w:vAlign w:val="center"/>
          </w:tcPr>
          <w:p w14:paraId="32CECA40">
            <w:r>
              <w:rPr>
                <w:rFonts w:hint="eastAsia"/>
              </w:rPr>
              <w:t>完成</w:t>
            </w:r>
          </w:p>
        </w:tc>
      </w:tr>
    </w:tbl>
    <w:p w14:paraId="32DB8B9A">
      <w:pPr>
        <w:ind w:firstLine="420" w:firstLineChars="200"/>
      </w:pPr>
      <w:r>
        <w:rPr>
          <w:rFonts w:hint="eastAsia"/>
        </w:rPr>
        <w:t>（3）项目完成及时率5分，得分3.82分。根据表5，莆田市海洋与渔业局2020年度17个项目中，确定及时完成的项目有13个，有4个项目未能及时全部完成。“莆田市水产科学研究所部门业务费”未全部完成是因为受到疫情影响，项目立项进展较慢或者无法立项；“妈祖文化等海洋意识宣传教育，海洋文化建设和海洋特色品牌打造等”未全部完成是因为受疫情影响，世界妈祖文化论坛未正常举行，采用线上举办的方式；“2020年海洋与渔业发展专项资金”未全部完成是因为受疫情影响，有两期培训未能开展，药残快检任务进度较慢；“莆田市沿海300吨级渔政船建造项目质保金”项目未完成是因为双方就相关争议提交厦门海事法院裁决，质保资金还未支付。根据计算公式，项目完成及时率为76.47%，按照评分标准，项目完成及时率得分为3.82。</w:t>
      </w:r>
    </w:p>
    <w:p w14:paraId="2401FADF">
      <w:pPr>
        <w:ind w:firstLine="420" w:firstLineChars="200"/>
      </w:pPr>
      <w:r>
        <w:rPr>
          <w:rFonts w:hint="eastAsia"/>
        </w:rPr>
        <w:t>（4）重点工作落实情况5分，得分5分。重点工作办结率主要是评价重点工作实际完成数占交办或下达任务数的比重。重点工作办结率=（重点工作实际完成数/交办或下达数）×100%。重点工作是指党委、政府、人大、相关部门交办或下达的工作任务。根据现场核查情况及部门工作报告、相关项目实施过程材料、工作总结等材料，该部门对重点工作办理落实程度较好，基本全部完成党委、政府、人大及相关部门交办或下达的工作任务。按照评分标准，得满分5分。</w:t>
      </w:r>
    </w:p>
    <w:p w14:paraId="68251CDE">
      <w:pPr>
        <w:ind w:firstLine="420" w:firstLineChars="200"/>
      </w:pPr>
      <w:bookmarkStart w:id="911" w:name="_Toc49477540"/>
      <w:bookmarkStart w:id="912" w:name="_Toc78184431"/>
      <w:r>
        <w:rPr>
          <w:rFonts w:hint="eastAsia"/>
        </w:rPr>
        <w:t>（四）效益指标得27分（共35分）</w:t>
      </w:r>
      <w:bookmarkEnd w:id="911"/>
      <w:bookmarkEnd w:id="912"/>
    </w:p>
    <w:p w14:paraId="41AC3574">
      <w:pPr>
        <w:ind w:firstLine="420" w:firstLineChars="200"/>
      </w:pPr>
      <w:r>
        <w:rPr>
          <w:rFonts w:hint="eastAsia"/>
        </w:rPr>
        <w:t>一级指标“项目效益”下设“经济效益”、“社会效益”、“生态效益”、“可持续效益”和“服务对象满意度”5个二级指标。效益指标满分35分，实际评价得分27分。</w:t>
      </w:r>
    </w:p>
    <w:p w14:paraId="01D9C396">
      <w:pPr>
        <w:ind w:firstLine="420" w:firstLineChars="200"/>
      </w:pPr>
      <w:bookmarkStart w:id="913" w:name="_Toc43693258"/>
      <w:bookmarkStart w:id="914" w:name="_Toc49477541"/>
      <w:r>
        <w:rPr>
          <w:rFonts w:hint="eastAsia"/>
        </w:rPr>
        <w:t>1.经济效益</w:t>
      </w:r>
      <w:bookmarkEnd w:id="913"/>
      <w:r>
        <w:rPr>
          <w:rFonts w:hint="eastAsia"/>
        </w:rPr>
        <w:t>得2分（共10分）</w:t>
      </w:r>
      <w:bookmarkEnd w:id="914"/>
    </w:p>
    <w:p w14:paraId="7C730559">
      <w:pPr>
        <w:ind w:firstLine="420" w:firstLineChars="200"/>
      </w:pPr>
      <w:bookmarkStart w:id="915" w:name="_Toc43693259"/>
      <w:bookmarkStart w:id="916" w:name="_Toc49477542"/>
      <w:r>
        <w:rPr>
          <w:rFonts w:hint="eastAsia"/>
        </w:rPr>
        <w:t>（1）海洋经济生产总值增长率5分，得分0分。2019年度莆田市海洋经济生产总值为744.53亿元，受疫情影响，2020年度莆田市海洋经济生产总值为701.33亿元，增长率为-5.8%。按照评分标准，扣5分，得0分。</w:t>
      </w:r>
    </w:p>
    <w:p w14:paraId="5B966346">
      <w:pPr>
        <w:ind w:firstLine="420" w:firstLineChars="200"/>
      </w:pPr>
      <w:r>
        <w:rPr>
          <w:rFonts w:hint="eastAsia"/>
        </w:rPr>
        <w:t>（2）水产品产量增长率5分，得分5分。受疫情影响，2020年度莆田市全市水产品总产量为99.51万吨，比增1.56%。按照评分标准，扣3分，得2分。</w:t>
      </w:r>
    </w:p>
    <w:p w14:paraId="5882E45B">
      <w:pPr>
        <w:ind w:firstLine="420" w:firstLineChars="200"/>
      </w:pPr>
      <w:r>
        <w:rPr>
          <w:rFonts w:hint="eastAsia"/>
        </w:rPr>
        <w:t>2.社会效益</w:t>
      </w:r>
      <w:bookmarkEnd w:id="915"/>
      <w:r>
        <w:rPr>
          <w:rFonts w:hint="eastAsia"/>
        </w:rPr>
        <w:t>得5分（共5分）</w:t>
      </w:r>
      <w:bookmarkEnd w:id="916"/>
    </w:p>
    <w:p w14:paraId="473A63E9">
      <w:pPr>
        <w:ind w:firstLine="420" w:firstLineChars="200"/>
      </w:pPr>
      <w:r>
        <w:rPr>
          <w:rFonts w:hint="eastAsia"/>
        </w:rPr>
        <w:t>（1）海洋渔业新增就业人数5分，得分5分。根据莆田市海洋与渔业局提供的数据资料汇总，2020年莆田市涉海产业实际新增就业人数为80人。按照评分标准，得满分5分。</w:t>
      </w:r>
    </w:p>
    <w:p w14:paraId="75C3CEB9">
      <w:pPr>
        <w:ind w:firstLine="420" w:firstLineChars="200"/>
      </w:pPr>
      <w:bookmarkStart w:id="917" w:name="_Toc43693260"/>
      <w:bookmarkStart w:id="918" w:name="_Toc49477543"/>
      <w:r>
        <w:rPr>
          <w:rFonts w:hint="eastAsia"/>
        </w:rPr>
        <w:t>3.生态效益</w:t>
      </w:r>
      <w:bookmarkEnd w:id="917"/>
      <w:r>
        <w:rPr>
          <w:rFonts w:hint="eastAsia"/>
        </w:rPr>
        <w:t>得10分（共10分）</w:t>
      </w:r>
      <w:bookmarkEnd w:id="918"/>
    </w:p>
    <w:p w14:paraId="566F6AB1">
      <w:pPr>
        <w:ind w:firstLine="420" w:firstLineChars="200"/>
      </w:pPr>
      <w:r>
        <w:rPr>
          <w:rFonts w:hint="eastAsia"/>
        </w:rPr>
        <w:t>（1）海水水质达标率5分，得分5分。2020年度，莆田市全市海水水质优良(一、二类水质)面积比例达到94%，达到全省最佳水平。全市水域滩涂养殖证发证率达100%，累计发证363本、面积2.30万多公顷；完成水产养殖入海排放口摸排，全市已核实确认水产养殖入海排放口268个。按照评分标准，得满分5分。</w:t>
      </w:r>
    </w:p>
    <w:p w14:paraId="553AA79F">
      <w:pPr>
        <w:ind w:firstLine="420" w:firstLineChars="200"/>
      </w:pPr>
      <w:r>
        <w:rPr>
          <w:rFonts w:hint="eastAsia"/>
        </w:rPr>
        <w:t>（2）水产品质量检测合格率5分，得分5分。2020年度，莆田市海洋与渔业局完成国家、省、市产地水产品抽检483批次，风险监测256批次，兽药残留快速检测540批次，合格率均达100%。按照评分标准，得满分5分。</w:t>
      </w:r>
    </w:p>
    <w:p w14:paraId="49449401">
      <w:pPr>
        <w:ind w:firstLine="420" w:firstLineChars="200"/>
      </w:pPr>
      <w:bookmarkStart w:id="919" w:name="_Toc43693261"/>
      <w:bookmarkStart w:id="920" w:name="_Toc49477544"/>
      <w:r>
        <w:rPr>
          <w:rFonts w:hint="eastAsia"/>
        </w:rPr>
        <w:t>4.可持续效益</w:t>
      </w:r>
      <w:bookmarkEnd w:id="919"/>
      <w:r>
        <w:rPr>
          <w:rFonts w:hint="eastAsia"/>
        </w:rPr>
        <w:t>得4分（共4分）</w:t>
      </w:r>
      <w:bookmarkEnd w:id="920"/>
    </w:p>
    <w:p w14:paraId="05B649C7">
      <w:pPr>
        <w:ind w:firstLine="420" w:firstLineChars="200"/>
      </w:pPr>
      <w:bookmarkStart w:id="921" w:name="_Toc43693262"/>
      <w:bookmarkStart w:id="922" w:name="_Toc49477545"/>
      <w:r>
        <w:rPr>
          <w:rFonts w:hint="eastAsia"/>
        </w:rPr>
        <w:t>（1）病害防控技术推广应用5分，得分5分。2020年度，莆田市海洋与渔业局开展水产健康养殖技术、赤潮灾害防控、水生动物病害疫情监测等各类培训班17期，培训全市水产系统专业技术人员、村级渔民技术员和渔民养殖户632人。在全市范围内设置11个病害监测点，覆盖率超过1200亩。。按照评分标准，得满分5分。</w:t>
      </w:r>
    </w:p>
    <w:p w14:paraId="7C89BDA2">
      <w:pPr>
        <w:ind w:firstLine="420" w:firstLineChars="200"/>
      </w:pPr>
      <w:r>
        <w:rPr>
          <w:rFonts w:hint="eastAsia"/>
        </w:rPr>
        <w:t>5.服务对象满意度</w:t>
      </w:r>
      <w:bookmarkEnd w:id="921"/>
      <w:r>
        <w:rPr>
          <w:rFonts w:hint="eastAsia"/>
        </w:rPr>
        <w:t>得6分（共6分）</w:t>
      </w:r>
      <w:bookmarkEnd w:id="922"/>
    </w:p>
    <w:p w14:paraId="7612EAC0">
      <w:pPr>
        <w:ind w:firstLine="420" w:firstLineChars="200"/>
      </w:pPr>
      <w:r>
        <w:rPr>
          <w:rFonts w:hint="eastAsia"/>
        </w:rPr>
        <w:t>（1）海上执法被投诉数3分，得分3分。2020年度，全年共开展港口执法巡查行动807余次，出动执法人员4530余人次，检查渔业港口798余个次，登临检查渔船2463艘次（其中60马力以上渔船489艘次）；开展海上执法巡查320余次，出动执法船艇320航次，执法人员4536人次，巡查海域9292余海里，登临检查船舶2650余艘次。全年度海上巡查执法被投诉数为0起。按照评分标准，得满分3分。</w:t>
      </w:r>
    </w:p>
    <w:p w14:paraId="1CED359B">
      <w:pPr>
        <w:ind w:firstLine="420" w:firstLineChars="200"/>
      </w:pPr>
      <w:r>
        <w:rPr>
          <w:rFonts w:hint="eastAsia"/>
        </w:rPr>
        <w:t>（2）公众满意度3分，得分3分。莆田市海洋与渔业局2020年度部门服务工作满意度调查问卷（见附件2）共回收问卷87份，根据回收的问卷显示，服务对象（包括行政事业单位工作者、企业员工、渔民、私营业主、自由职业者、科研院所人员等）对海洋与渔业局的服务工作和行政效能是比较认同的，非常满意的比例达40.23%，满意的比例占50.57%。总满意度达到90.8%，按照评分标准，得满分3分。</w:t>
      </w:r>
    </w:p>
    <w:p w14:paraId="5D0A1F55">
      <w:pPr>
        <w:ind w:firstLine="420" w:firstLineChars="200"/>
      </w:pPr>
      <w:bookmarkStart w:id="923" w:name="_Toc78184432"/>
      <w:bookmarkStart w:id="924" w:name="_Toc49477546"/>
      <w:r>
        <w:rPr>
          <w:rFonts w:hint="eastAsia"/>
        </w:rPr>
        <w:t>（五）总体结论</w:t>
      </w:r>
      <w:bookmarkEnd w:id="923"/>
      <w:bookmarkEnd w:id="924"/>
    </w:p>
    <w:p w14:paraId="2320C4C6">
      <w:pPr>
        <w:ind w:firstLine="420" w:firstLineChars="200"/>
      </w:pPr>
      <w:r>
        <w:rPr>
          <w:rFonts w:hint="eastAsia"/>
        </w:rPr>
        <w:t>经科学评价，莆田市海洋与渔业局2020年度部门整体支出绩效评价得分82.99分，评价等级为良好，详细评分表见附件1。4个一级指标的得分情况如表6所示。</w:t>
      </w:r>
    </w:p>
    <w:p w14:paraId="1DB1AF7D">
      <w:pPr>
        <w:ind w:firstLine="420" w:firstLineChars="200"/>
      </w:pPr>
      <w:r>
        <w:rPr>
          <w:rFonts w:hint="eastAsia"/>
        </w:rPr>
        <w:t>表6  绩效评价情况总表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984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50" w:type="pct"/>
            <w:vAlign w:val="center"/>
          </w:tcPr>
          <w:p w14:paraId="13BBD67F">
            <w:r>
              <w:rPr>
                <w:rFonts w:hint="eastAsia"/>
              </w:rPr>
              <w:t>评价指标</w:t>
            </w:r>
          </w:p>
        </w:tc>
        <w:tc>
          <w:tcPr>
            <w:tcW w:w="1250" w:type="pct"/>
            <w:vAlign w:val="center"/>
          </w:tcPr>
          <w:p w14:paraId="476EF12B">
            <w:r>
              <w:rPr>
                <w:rFonts w:hint="eastAsia"/>
              </w:rPr>
              <w:t>分值</w:t>
            </w:r>
          </w:p>
        </w:tc>
        <w:tc>
          <w:tcPr>
            <w:tcW w:w="1250" w:type="pct"/>
            <w:vAlign w:val="center"/>
          </w:tcPr>
          <w:p w14:paraId="138ACA65">
            <w:r>
              <w:rPr>
                <w:rFonts w:hint="eastAsia"/>
              </w:rPr>
              <w:t>评价得分</w:t>
            </w:r>
          </w:p>
        </w:tc>
        <w:tc>
          <w:tcPr>
            <w:tcW w:w="1250" w:type="pct"/>
            <w:vAlign w:val="center"/>
          </w:tcPr>
          <w:p w14:paraId="40E943D7">
            <w:r>
              <w:rPr>
                <w:rFonts w:hint="eastAsia"/>
              </w:rPr>
              <w:t>得分率</w:t>
            </w:r>
          </w:p>
        </w:tc>
      </w:tr>
      <w:tr w14:paraId="5443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50" w:type="pct"/>
            <w:vAlign w:val="center"/>
          </w:tcPr>
          <w:p w14:paraId="076F5552">
            <w:r>
              <w:rPr>
                <w:rFonts w:hint="eastAsia"/>
              </w:rPr>
              <w:t>投入</w:t>
            </w:r>
          </w:p>
        </w:tc>
        <w:tc>
          <w:tcPr>
            <w:tcW w:w="1250" w:type="pct"/>
            <w:vAlign w:val="center"/>
          </w:tcPr>
          <w:p w14:paraId="366AC60B">
            <w:r>
              <w:rPr>
                <w:rFonts w:hint="eastAsia"/>
              </w:rPr>
              <w:t>15</w:t>
            </w:r>
          </w:p>
        </w:tc>
        <w:tc>
          <w:tcPr>
            <w:tcW w:w="1250" w:type="pct"/>
            <w:vAlign w:val="center"/>
          </w:tcPr>
          <w:p w14:paraId="70CCBA67">
            <w:r>
              <w:rPr>
                <w:rFonts w:hint="eastAsia"/>
              </w:rPr>
              <w:t>13</w:t>
            </w:r>
          </w:p>
        </w:tc>
        <w:tc>
          <w:tcPr>
            <w:tcW w:w="1250" w:type="pct"/>
            <w:vAlign w:val="center"/>
          </w:tcPr>
          <w:p w14:paraId="50928A3B">
            <w:r>
              <w:rPr>
                <w:rFonts w:hint="eastAsia"/>
              </w:rPr>
              <w:t>86.67%</w:t>
            </w:r>
          </w:p>
        </w:tc>
      </w:tr>
      <w:tr w14:paraId="02A8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50" w:type="pct"/>
            <w:vAlign w:val="center"/>
          </w:tcPr>
          <w:p w14:paraId="4E9E98B2">
            <w:r>
              <w:rPr>
                <w:rFonts w:hint="eastAsia"/>
              </w:rPr>
              <w:t>过程</w:t>
            </w:r>
          </w:p>
        </w:tc>
        <w:tc>
          <w:tcPr>
            <w:tcW w:w="1250" w:type="pct"/>
            <w:vAlign w:val="center"/>
          </w:tcPr>
          <w:p w14:paraId="3909D1DD">
            <w:r>
              <w:rPr>
                <w:rFonts w:hint="eastAsia"/>
              </w:rPr>
              <w:t>30</w:t>
            </w:r>
          </w:p>
        </w:tc>
        <w:tc>
          <w:tcPr>
            <w:tcW w:w="1250" w:type="pct"/>
            <w:vAlign w:val="center"/>
          </w:tcPr>
          <w:p w14:paraId="2AAC1F14">
            <w:r>
              <w:rPr>
                <w:rFonts w:hint="eastAsia"/>
              </w:rPr>
              <w:t>28.11</w:t>
            </w:r>
          </w:p>
        </w:tc>
        <w:tc>
          <w:tcPr>
            <w:tcW w:w="1250" w:type="pct"/>
            <w:vAlign w:val="center"/>
          </w:tcPr>
          <w:p w14:paraId="3AD781F1">
            <w:r>
              <w:rPr>
                <w:rFonts w:hint="eastAsia"/>
              </w:rPr>
              <w:t>93.70%</w:t>
            </w:r>
          </w:p>
        </w:tc>
      </w:tr>
      <w:tr w14:paraId="7FF1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50" w:type="pct"/>
            <w:vAlign w:val="center"/>
          </w:tcPr>
          <w:p w14:paraId="174B5264">
            <w:r>
              <w:rPr>
                <w:rFonts w:hint="eastAsia"/>
              </w:rPr>
              <w:t>产出</w:t>
            </w:r>
          </w:p>
        </w:tc>
        <w:tc>
          <w:tcPr>
            <w:tcW w:w="1250" w:type="pct"/>
            <w:vAlign w:val="center"/>
          </w:tcPr>
          <w:p w14:paraId="1E4914E9">
            <w:r>
              <w:rPr>
                <w:rFonts w:hint="eastAsia"/>
              </w:rPr>
              <w:t>20</w:t>
            </w:r>
          </w:p>
        </w:tc>
        <w:tc>
          <w:tcPr>
            <w:tcW w:w="1250" w:type="pct"/>
            <w:vAlign w:val="center"/>
          </w:tcPr>
          <w:p w14:paraId="13CC0B17">
            <w:r>
              <w:rPr>
                <w:rFonts w:hint="eastAsia"/>
              </w:rPr>
              <w:t>14.88</w:t>
            </w:r>
          </w:p>
        </w:tc>
        <w:tc>
          <w:tcPr>
            <w:tcW w:w="1250" w:type="pct"/>
            <w:vAlign w:val="center"/>
          </w:tcPr>
          <w:p w14:paraId="2B97B5FF">
            <w:r>
              <w:rPr>
                <w:rFonts w:hint="eastAsia"/>
              </w:rPr>
              <w:t>74.40%</w:t>
            </w:r>
          </w:p>
        </w:tc>
      </w:tr>
      <w:tr w14:paraId="69AC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50" w:type="pct"/>
            <w:vAlign w:val="center"/>
          </w:tcPr>
          <w:p w14:paraId="7C2CD8B4">
            <w:r>
              <w:rPr>
                <w:rFonts w:hint="eastAsia"/>
              </w:rPr>
              <w:t>效益</w:t>
            </w:r>
          </w:p>
        </w:tc>
        <w:tc>
          <w:tcPr>
            <w:tcW w:w="1250" w:type="pct"/>
            <w:vAlign w:val="center"/>
          </w:tcPr>
          <w:p w14:paraId="469DE66B">
            <w:r>
              <w:rPr>
                <w:rFonts w:hint="eastAsia"/>
              </w:rPr>
              <w:t>35</w:t>
            </w:r>
          </w:p>
        </w:tc>
        <w:tc>
          <w:tcPr>
            <w:tcW w:w="1250" w:type="pct"/>
            <w:vAlign w:val="center"/>
          </w:tcPr>
          <w:p w14:paraId="382758A9">
            <w:r>
              <w:rPr>
                <w:rFonts w:hint="eastAsia"/>
              </w:rPr>
              <w:t>27</w:t>
            </w:r>
          </w:p>
        </w:tc>
        <w:tc>
          <w:tcPr>
            <w:tcW w:w="1250" w:type="pct"/>
            <w:vAlign w:val="center"/>
          </w:tcPr>
          <w:p w14:paraId="620425F8">
            <w:r>
              <w:rPr>
                <w:rFonts w:hint="eastAsia"/>
              </w:rPr>
              <w:t>77.14%</w:t>
            </w:r>
          </w:p>
        </w:tc>
      </w:tr>
      <w:tr w14:paraId="3F87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50" w:type="pct"/>
            <w:vAlign w:val="center"/>
          </w:tcPr>
          <w:p w14:paraId="39161636">
            <w:r>
              <w:rPr>
                <w:rFonts w:hint="eastAsia"/>
              </w:rPr>
              <w:t>评价总得分</w:t>
            </w:r>
          </w:p>
        </w:tc>
        <w:tc>
          <w:tcPr>
            <w:tcW w:w="1250" w:type="pct"/>
            <w:vAlign w:val="center"/>
          </w:tcPr>
          <w:p w14:paraId="6ADF02B8">
            <w:r>
              <w:rPr>
                <w:rFonts w:hint="eastAsia"/>
              </w:rPr>
              <w:t>100</w:t>
            </w:r>
          </w:p>
        </w:tc>
        <w:tc>
          <w:tcPr>
            <w:tcW w:w="1250" w:type="pct"/>
            <w:vAlign w:val="center"/>
          </w:tcPr>
          <w:p w14:paraId="46B3F00E">
            <w:r>
              <w:rPr>
                <w:rFonts w:hint="eastAsia"/>
              </w:rPr>
              <w:t>82.99</w:t>
            </w:r>
          </w:p>
        </w:tc>
        <w:tc>
          <w:tcPr>
            <w:tcW w:w="1250" w:type="pct"/>
            <w:vAlign w:val="center"/>
          </w:tcPr>
          <w:p w14:paraId="264EA830">
            <w:r>
              <w:rPr>
                <w:rFonts w:hint="eastAsia"/>
              </w:rPr>
              <w:t>82.99%</w:t>
            </w:r>
          </w:p>
        </w:tc>
      </w:tr>
    </w:tbl>
    <w:p w14:paraId="3241D86A">
      <w:pPr>
        <w:ind w:firstLine="420" w:firstLineChars="200"/>
      </w:pPr>
      <w:r>
        <w:rPr>
          <w:rFonts w:hint="eastAsia"/>
        </w:rPr>
        <w:t>总体而言，该部门业务水平较高，具体业务工作开展情况良好，预算支出的产出和效果取得了一定的效果。但是，部门整体支出绩效目标申报和管理水平有较大改进空间，财务制度方面还不够健全，业务管理与预算管理在目标、进度、结构等方面还未能有效衔接，造成项目完成质量和项目完成及时性都不是很理想。另外，受到疫情的大环境影响，部门的经济效益未能达到年初的目标，海洋经济生产总值出现负增长的情况。这些都影响了部门整体支出预算的总体绩效。</w:t>
      </w:r>
    </w:p>
    <w:p w14:paraId="7C68EEB4">
      <w:pPr>
        <w:ind w:firstLine="420" w:firstLineChars="200"/>
      </w:pPr>
      <w:r>
        <w:rPr>
          <w:rFonts w:hint="eastAsia"/>
        </w:rPr>
        <w:t>针对绩效评分中被扣分的项目，绩效评价工作组进行了问题原因分析，并提出改进意见，以期能对提高和改善莆田市海洋与渔业局部门整体支出资金的使用效益，加强部门资金的预算与管理提供建议与帮助。</w:t>
      </w:r>
    </w:p>
    <w:p w14:paraId="24D0F879">
      <w:pPr>
        <w:ind w:firstLine="420" w:firstLineChars="200"/>
        <w:outlineLvl w:val="0"/>
      </w:pPr>
      <w:bookmarkStart w:id="925" w:name="_Toc78184433"/>
      <w:bookmarkStart w:id="926" w:name="_Toc10119"/>
      <w:bookmarkStart w:id="927" w:name="_Toc49477547"/>
      <w:r>
        <w:rPr>
          <w:rFonts w:hint="eastAsia"/>
        </w:rPr>
        <w:t>四、主要绩效</w:t>
      </w:r>
      <w:bookmarkEnd w:id="925"/>
      <w:bookmarkEnd w:id="926"/>
    </w:p>
    <w:p w14:paraId="6A9B0510">
      <w:pPr>
        <w:ind w:firstLine="420" w:firstLineChars="200"/>
      </w:pPr>
      <w:r>
        <w:rPr>
          <w:rFonts w:hint="eastAsia"/>
        </w:rPr>
        <w:t>2020年，全市海洋与渔业系统牢牢把握推动海洋与渔业高质量发展超越这一战略目标，进一步推进海洋经济发展，提升现代渔业水平，全市渔业经济增加值155亿元左右，约占全市海洋生产总值780亿元的20%，其中全市渔业产值114.94亿元，受疫情影响仅增长0.75%。全市水产品总产量99.51万吨，比增1.56%；其中近海捕捞产量9.13万吨，比降6.82%；海水养殖87.62万吨，比增2.63%；淡水捕捞0.46万吨，比降0.43%;淡水养殖2.3万吨，比降1.93%。</w:t>
      </w:r>
    </w:p>
    <w:p w14:paraId="616059BA">
      <w:pPr>
        <w:ind w:firstLine="420" w:firstLineChars="200"/>
      </w:pPr>
      <w:bookmarkStart w:id="928" w:name="_Toc78184434"/>
      <w:r>
        <w:rPr>
          <w:rFonts w:hint="eastAsia"/>
        </w:rPr>
        <w:t>（一）高站位谋划海洋经济赶超发展</w:t>
      </w:r>
      <w:bookmarkEnd w:id="928"/>
    </w:p>
    <w:p w14:paraId="25025C02">
      <w:pPr>
        <w:ind w:firstLine="420" w:firstLineChars="200"/>
      </w:pPr>
      <w:r>
        <w:rPr>
          <w:rFonts w:hint="eastAsia"/>
        </w:rPr>
        <w:t>组织编制《莆田市“十四五”海洋经济发展暨海洋强市建设专项规划》，策划重点项目140多个，总投资达1000多亿元，已完成中期评估稿。策划渔业开放招商项目14个，计划总投资16.97亿元，已签约落地项目4个，促成彭成集团和我市渔企达成1.2亿采购合作协议，海兴农集团拟在莆田建设占地1800亩、总投资约20亿的鱼虾贝类育苗示范基地。全市纳入海洋强省建设9个在建重大项目和3个前期项目，实际完成投资12亿元左右，完成总投资11.77亿元的102%左右。全市10个渔业重点项目预计完成投资2.0亿元，完成年度计划投资的100%。南日岛海洋牧场区域1-7期人工鱼礁投放礁体构件总空方量达7.39万空立方米，使用海域面积达7.24平方公里。</w:t>
      </w:r>
    </w:p>
    <w:p w14:paraId="3BC54986">
      <w:pPr>
        <w:ind w:firstLine="420" w:firstLineChars="200"/>
      </w:pPr>
      <w:bookmarkStart w:id="929" w:name="_Toc78184435"/>
      <w:r>
        <w:rPr>
          <w:rFonts w:hint="eastAsia"/>
        </w:rPr>
        <w:t>（二）高质量推进渔业产业绿色发展</w:t>
      </w:r>
      <w:bookmarkEnd w:id="929"/>
    </w:p>
    <w:p w14:paraId="38183D8E">
      <w:pPr>
        <w:ind w:firstLine="420" w:firstLineChars="200"/>
      </w:pPr>
      <w:r>
        <w:rPr>
          <w:rFonts w:hint="eastAsia"/>
        </w:rPr>
        <w:t>新建环保型深水抗风浪网箱、全塑胶渔排1679口，全国首座全潜式可升降刚性深水网箱成功下水；谋划具有高科技含量和经济价值的万亩三倍体牡蛎（生蚝）贝类养殖基地项目建设，已建成3000多亩；组织申报国家重点研发计划项目1项，申报省、市级科研新项目7项，已立项4项；申请实用新型专利1项，获得渔业发明专利2项，渔业发明专利授权1项；国家级科研难题真蛸人工育苗试验实现重大突破，2个水产类科研项目获省科技进步奖；开展“赶海”系网红抖音直播卖货活动，今年全市鲍鱼深加工产品销量达历史之最；完成对木兰溪流域83家水产养殖企业排放尾水全面监测，试点及推广应用养殖尾水处理模式60家；开展增殖放流水生生物10个品种9.64亿单位。</w:t>
      </w:r>
    </w:p>
    <w:p w14:paraId="7CF36B70">
      <w:pPr>
        <w:ind w:firstLine="420" w:firstLineChars="200"/>
      </w:pPr>
      <w:bookmarkStart w:id="930" w:name="_Toc78184436"/>
      <w:r>
        <w:rPr>
          <w:rFonts w:hint="eastAsia"/>
        </w:rPr>
        <w:t>（三）高要求创新海上安全监管模式</w:t>
      </w:r>
      <w:bookmarkEnd w:id="930"/>
    </w:p>
    <w:p w14:paraId="316E9289">
      <w:pPr>
        <w:ind w:firstLine="420" w:firstLineChars="200"/>
      </w:pPr>
      <w:r>
        <w:rPr>
          <w:rFonts w:hint="eastAsia"/>
        </w:rPr>
        <w:t>严厉打击渔船进入敏感海域生产作业、非法采捕红珊瑚、盗采海砂等违法违规行为，全市查处渔业案件54起，结案50起，罚款金额73.93万元，查获涉渔“三无”船舶78艘，拆解39艘。在“管好自家人，看好自家船”的基础上，创新乡镇船舶“12345”动态监管模式，推动提升乡镇船舶集中集约管控水平。创新“横纵联动执法、闭环联动追查、案件联合查处、砂场联合清查整治”的打击海上非法采砂“四联”工作机制，得到中央和省扫黑除恶督导工作组的充分肯定。疫情期间成立4个驻港监管和指导工作组，发布《莆田市海上渔业生产须知》，明确渔船出海作业“六个严禁、六个不得”要求，有力保障海上安全。</w:t>
      </w:r>
    </w:p>
    <w:p w14:paraId="081FD67F">
      <w:pPr>
        <w:ind w:firstLine="420" w:firstLineChars="200"/>
      </w:pPr>
      <w:bookmarkStart w:id="931" w:name="_Toc78184437"/>
      <w:r>
        <w:rPr>
          <w:rFonts w:hint="eastAsia"/>
        </w:rPr>
        <w:t>（四）高标准构建海洋防灾减灾体系</w:t>
      </w:r>
      <w:bookmarkEnd w:id="931"/>
    </w:p>
    <w:p w14:paraId="4422C50B">
      <w:pPr>
        <w:ind w:firstLine="420" w:firstLineChars="200"/>
      </w:pPr>
      <w:r>
        <w:rPr>
          <w:rFonts w:hint="eastAsia"/>
        </w:rPr>
        <w:t>组织实施海洋渔船通导与安全装备建设项目，为全市691艘近海作业的海洋捕捞渔船安装固定式北斗示位仪。启动莆田市海上养殖渔排集中区视频监控项目建设，在全市沿海15个养殖渔排集中区岸边选址部署视频监控终端，更新改造17个沿海渔港视频监控系统，建成全省第一个渔排集中视频监控管理平台。完成10个台风、寒潮灾害天气的应对防范工作，累计撤离渔船5385艘次，组织撤离渔业人员7993人次，实现海上无人员伤亡目标；有效应对处置各类海洋渔业突发事件4件，救助遇险船舶3起（艘），救助船员14人。黄瓜二级渔港提升改造项目、南日鳌屿三级渔港提升改造项目、南日罗盘三级渔港提升改造项目3个渔港项目开工建设。</w:t>
      </w:r>
    </w:p>
    <w:p w14:paraId="63C283D2">
      <w:pPr>
        <w:ind w:firstLine="420" w:firstLineChars="200"/>
        <w:outlineLvl w:val="0"/>
      </w:pPr>
      <w:bookmarkStart w:id="932" w:name="_Toc31683"/>
      <w:bookmarkStart w:id="933" w:name="_Toc78184438"/>
      <w:r>
        <w:rPr>
          <w:rFonts w:hint="eastAsia"/>
        </w:rPr>
        <w:t>五、存在的问题</w:t>
      </w:r>
      <w:bookmarkEnd w:id="927"/>
      <w:bookmarkEnd w:id="932"/>
      <w:bookmarkEnd w:id="933"/>
    </w:p>
    <w:p w14:paraId="1A33803C">
      <w:pPr>
        <w:ind w:firstLine="420" w:firstLineChars="200"/>
      </w:pPr>
      <w:bookmarkStart w:id="934" w:name="_Toc49477548"/>
      <w:bookmarkStart w:id="935" w:name="_Toc78184439"/>
      <w:r>
        <w:rPr>
          <w:rFonts w:hint="eastAsia"/>
        </w:rPr>
        <w:t>（一）</w:t>
      </w:r>
      <w:bookmarkEnd w:id="934"/>
      <w:r>
        <w:rPr>
          <w:rFonts w:hint="eastAsia"/>
        </w:rPr>
        <w:t>部门预算缺乏绩效目标导向</w:t>
      </w:r>
      <w:bookmarkEnd w:id="935"/>
    </w:p>
    <w:p w14:paraId="5E541C59">
      <w:pPr>
        <w:ind w:firstLine="420" w:firstLineChars="200"/>
      </w:pPr>
      <w:r>
        <w:rPr>
          <w:rFonts w:hint="eastAsia"/>
        </w:rPr>
        <w:t>预算绩效目标设置工作不够到位。根据相关预算报表、绩效申报表及自评材料等，严格来说，该部门在整体支出绩效目标表中，并未制定完整充分的绩效目标或指标。根据部门发展规划、近三年度的工作计划及总结等材料，该部门事业发展规划、业务工作任务目标清晰、合理、明确，但是，这些目标并未能有效地与部门支出计划相结合，应用到部门预算绩效管理中。</w:t>
      </w:r>
    </w:p>
    <w:p w14:paraId="43AC7954">
      <w:pPr>
        <w:ind w:firstLine="420" w:firstLineChars="200"/>
      </w:pPr>
      <w:bookmarkStart w:id="936" w:name="_Toc78184440"/>
      <w:r>
        <w:rPr>
          <w:rFonts w:hint="eastAsia"/>
        </w:rPr>
        <w:t>（二）财务管理规范性还存在不足</w:t>
      </w:r>
      <w:bookmarkEnd w:id="936"/>
    </w:p>
    <w:p w14:paraId="7665BDD7">
      <w:pPr>
        <w:ind w:firstLine="420" w:firstLineChars="200"/>
      </w:pPr>
      <w:r>
        <w:rPr>
          <w:rFonts w:hint="eastAsia"/>
        </w:rPr>
        <w:t>该部门财务管理规范执行力度稍有不足，规范性问题主要表现为两个方面。一是财务管理规范执行的细致程度不足，现场核查发现，个别财务凭证存管不够规范的情况。二是专项资金管理办法不够完备。部门职能任务较多，虽然制定了财政资金管理、内部财务等制度，但专项资金管理办法尚不完备、未及时更新或补充，专项资金使用规范化水平需进一步提高。</w:t>
      </w:r>
    </w:p>
    <w:p w14:paraId="16661F9B">
      <w:pPr>
        <w:ind w:firstLine="420" w:firstLineChars="200"/>
      </w:pPr>
      <w:bookmarkStart w:id="937" w:name="_Toc49477551"/>
      <w:bookmarkStart w:id="938" w:name="_Toc78184441"/>
      <w:r>
        <w:rPr>
          <w:rFonts w:hint="eastAsia"/>
        </w:rPr>
        <w:t>（三）</w:t>
      </w:r>
      <w:bookmarkEnd w:id="937"/>
      <w:r>
        <w:rPr>
          <w:rFonts w:hint="eastAsia"/>
        </w:rPr>
        <w:t>部门项目预算执行率比较低</w:t>
      </w:r>
      <w:bookmarkEnd w:id="938"/>
    </w:p>
    <w:p w14:paraId="5BD41463">
      <w:pPr>
        <w:ind w:firstLine="420" w:firstLineChars="200"/>
      </w:pPr>
      <w:r>
        <w:rPr>
          <w:rFonts w:hint="eastAsia"/>
        </w:rPr>
        <w:t>超过一半的项目预算执行率低于80%，部分项目支出预算与实际工作计划不完全一致、部分项目资金支付与项目实施各阶段之间的衔接流程低效，造成预算支出计划与实际工作计划之间的不相符。部门在一定程度上存在预算支出项目固化的现象，导致个别项目的结转项目资金未及时清理。受疫情以及项目用海、用地、项目评审和验收工作经费等问题影响，个别县区设施渔业更新改造、水产品加工生产线、现代渔业招商等项目建设进展相对较慢。</w:t>
      </w:r>
    </w:p>
    <w:p w14:paraId="6619C9FC">
      <w:pPr>
        <w:ind w:firstLine="420" w:firstLineChars="200"/>
      </w:pPr>
      <w:bookmarkStart w:id="939" w:name="_Toc78184442"/>
      <w:r>
        <w:rPr>
          <w:rFonts w:hint="eastAsia"/>
        </w:rPr>
        <w:t>（四）科技兴渔战略实施仍有差距</w:t>
      </w:r>
      <w:bookmarkEnd w:id="939"/>
    </w:p>
    <w:p w14:paraId="404EDD66">
      <w:pPr>
        <w:ind w:firstLine="420" w:firstLineChars="200"/>
      </w:pPr>
      <w:r>
        <w:rPr>
          <w:rFonts w:hint="eastAsia"/>
        </w:rPr>
        <w:t>水产养殖大部分为传统养殖模式，多层立体生态养殖模式推广存在困难。科研立项与实际需求存在一定脱节，科技成果转化率不高，新技术应用、新品种研发均有待加强。海洋水产品加工水平总体偏低。水产加工业滞后于养殖业的快速发展，尤其是鲍鱼、海带、牡蛎等高值或大宗养殖产品精深加工能力不足、产量不高，海产品大部分以鲜活品、晒干品供应市场，产业链短、附加值低。养殖品种及种质亟需改良。育苗所用的亲体多数没有经过人工选育或遗传改良，导致养殖群体性状不同程度出现下降。</w:t>
      </w:r>
    </w:p>
    <w:p w14:paraId="7F439377">
      <w:pPr>
        <w:ind w:firstLine="420" w:firstLineChars="200"/>
        <w:outlineLvl w:val="0"/>
      </w:pPr>
      <w:bookmarkStart w:id="940" w:name="_Toc30804"/>
      <w:bookmarkStart w:id="941" w:name="_Toc78184443"/>
      <w:bookmarkStart w:id="942" w:name="_Toc49477552"/>
      <w:r>
        <w:rPr>
          <w:rFonts w:hint="eastAsia"/>
        </w:rPr>
        <w:t>六、相关建议</w:t>
      </w:r>
      <w:bookmarkEnd w:id="940"/>
      <w:bookmarkEnd w:id="941"/>
      <w:bookmarkEnd w:id="942"/>
    </w:p>
    <w:p w14:paraId="02F2CE00">
      <w:pPr>
        <w:ind w:firstLine="420" w:firstLineChars="200"/>
      </w:pPr>
      <w:bookmarkStart w:id="943" w:name="_Toc49477553"/>
      <w:bookmarkStart w:id="944" w:name="_Toc78184444"/>
      <w:r>
        <w:rPr>
          <w:rFonts w:hint="eastAsia"/>
        </w:rPr>
        <w:t>（一）合理制定绩效目标</w:t>
      </w:r>
      <w:bookmarkEnd w:id="943"/>
      <w:bookmarkEnd w:id="944"/>
    </w:p>
    <w:p w14:paraId="2603E2C7">
      <w:pPr>
        <w:ind w:firstLine="420" w:firstLineChars="200"/>
      </w:pPr>
      <w:r>
        <w:rPr>
          <w:rFonts w:hint="eastAsia"/>
        </w:rPr>
        <w:t>部门绩效管理工作有待加强，须重视事业发展规划、阶段性和年度工作目标、指标与部门预算绩效管理工作的有机结合。加强和完善海洋与渔业局部门整体支出中产出目标和效益目标的细化设计，选择能够与本单位工作相联系的指标设计恰当的目标体系。年度目标值的设定要与部门工作计划紧密衔接，保证目标值既有一定的前瞻性，也有一定的合理性，在综合考虑成本效益各方面因素基础上设计合理的绩效目标值。</w:t>
      </w:r>
    </w:p>
    <w:p w14:paraId="34E7123E">
      <w:pPr>
        <w:ind w:firstLine="420" w:firstLineChars="200"/>
      </w:pPr>
      <w:bookmarkStart w:id="945" w:name="_Toc49477556"/>
      <w:bookmarkStart w:id="946" w:name="_Toc78184445"/>
      <w:r>
        <w:rPr>
          <w:rFonts w:hint="eastAsia"/>
        </w:rPr>
        <w:t>（二）</w:t>
      </w:r>
      <w:bookmarkEnd w:id="945"/>
      <w:r>
        <w:rPr>
          <w:rFonts w:hint="eastAsia"/>
        </w:rPr>
        <w:t>加强财务规范管理</w:t>
      </w:r>
      <w:bookmarkEnd w:id="946"/>
    </w:p>
    <w:p w14:paraId="66482C51">
      <w:pPr>
        <w:ind w:firstLine="420" w:firstLineChars="200"/>
      </w:pPr>
      <w:r>
        <w:rPr>
          <w:rFonts w:hint="eastAsia"/>
        </w:rPr>
        <w:t>针对在评价过程中发现的一些财务管理不规范的情况，建议加大部门财政管理制度与规范的执行力度。一是加强对财务管理人员业务培训，提高财务工作的细致程度；二是完善专项支出的资金管理办法，严格落实专款专用；三是加强部门财务管理制度及流程规范的执行力度，强化支出责任。</w:t>
      </w:r>
    </w:p>
    <w:p w14:paraId="6712C794">
      <w:pPr>
        <w:ind w:firstLine="420" w:firstLineChars="200"/>
      </w:pPr>
      <w:bookmarkStart w:id="947" w:name="_Toc49477555"/>
      <w:bookmarkStart w:id="948" w:name="_Toc78184446"/>
      <w:r>
        <w:rPr>
          <w:rFonts w:hint="eastAsia"/>
        </w:rPr>
        <w:t>（三）</w:t>
      </w:r>
      <w:bookmarkEnd w:id="947"/>
      <w:r>
        <w:rPr>
          <w:rFonts w:hint="eastAsia"/>
        </w:rPr>
        <w:t>强化重点项目监管</w:t>
      </w:r>
      <w:bookmarkEnd w:id="948"/>
    </w:p>
    <w:p w14:paraId="6EC307D6">
      <w:pPr>
        <w:ind w:firstLine="420" w:firstLineChars="200"/>
      </w:pPr>
      <w:r>
        <w:rPr>
          <w:rFonts w:hint="eastAsia"/>
        </w:rPr>
        <w:t>梳理近三年部门预算支出项目，及时甄别无效项目与低效项目，对固化在部门整体支出预算中的无效项目及低效项目进行分类处理。对于多年来预算支出率偏低（预算完成率低于50%）的项目（低效项目），分析项目预算完成率偏低的原因，并依据往年支出情况测算项目支出预算合理规模，评估项目必要性及重要性，整理、形成低效项目竞争排序方案，严控低效项目在部门年度预算中的比例。严格落实项目监管机制，按照督办工作制度要求，规范登记督办事项台账、及时跟踪了解督办工作任务进展情况、及时催办、及时向上级报告督办任务进展情况。对于突出问题，采取督导组现场督办，按照项目任务推进时间节点表抓落实。</w:t>
      </w:r>
    </w:p>
    <w:p w14:paraId="06E89EFD">
      <w:pPr>
        <w:ind w:firstLine="420" w:firstLineChars="200"/>
      </w:pPr>
      <w:bookmarkStart w:id="949" w:name="_Toc78184447"/>
      <w:r>
        <w:rPr>
          <w:rFonts w:hint="eastAsia"/>
        </w:rPr>
        <w:t>（四）提高科技支持力度</w:t>
      </w:r>
      <w:bookmarkEnd w:id="949"/>
    </w:p>
    <w:p w14:paraId="6D1DBD9E">
      <w:pPr>
        <w:ind w:firstLine="420" w:firstLineChars="200"/>
      </w:pPr>
      <w:r>
        <w:rPr>
          <w:rFonts w:hint="eastAsia"/>
        </w:rPr>
        <w:t>通过创立海洋经济创新发展专项资金，带动全市涉海科研机构和企业投入海洋战略性新兴产业，促进渔业转型升级。鼓励和支持涉海企业科技创新，营造科技创新促进海洋经济发展的良好环境，为科技型涉海企业发展创造有利条件，提高涉海企业创新创业热情。密切产学研结合，集中财力，突出重点，有效配置科技资源，着力提高海洋经济的科技创新属性。</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2E65A">
    <w:pPr>
      <w:pStyle w:val="9"/>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79C43">
                          <w:pP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A379C43">
                    <w:pP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F0457">
    <w:pPr>
      <w:pStyle w:val="9"/>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AB77A">
                          <w:pPr>
                            <w:pStyle w:val="9"/>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DCAB77A">
                    <w:pPr>
                      <w:pStyle w:val="9"/>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161</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542A7">
    <w:pPr>
      <w:pStyle w:val="9"/>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65E8BB">
                          <w:pPr>
                            <w:pStyle w:val="9"/>
                            <w:jc w:val="center"/>
                          </w:pPr>
                          <w:r>
                            <w:fldChar w:fldCharType="begin"/>
                          </w:r>
                          <w:r>
                            <w:instrText xml:space="preserve"> PAGE  \* MERGEFORMAT </w:instrText>
                          </w:r>
                          <w:r>
                            <w:fldChar w:fldCharType="separate"/>
                          </w:r>
                          <w:r>
                            <w:t>190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665E8BB">
                    <w:pPr>
                      <w:pStyle w:val="9"/>
                      <w:jc w:val="center"/>
                    </w:pPr>
                    <w:r>
                      <w:fldChar w:fldCharType="begin"/>
                    </w:r>
                    <w:r>
                      <w:instrText xml:space="preserve"> PAGE  \* MERGEFORMAT </w:instrText>
                    </w:r>
                    <w:r>
                      <w:fldChar w:fldCharType="separate"/>
                    </w:r>
                    <w:r>
                      <w:t>190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NDFjN2IwMDYwMzA1OTE1NzY4ODkwMjQ1ODFhMWIifQ=="/>
  </w:docVars>
  <w:rsids>
    <w:rsidRoot w:val="00C26C80"/>
    <w:rsid w:val="00680971"/>
    <w:rsid w:val="00A706C8"/>
    <w:rsid w:val="00C26C80"/>
    <w:rsid w:val="05134FAC"/>
    <w:rsid w:val="08DD7890"/>
    <w:rsid w:val="09170B3E"/>
    <w:rsid w:val="0A0179EE"/>
    <w:rsid w:val="0C825154"/>
    <w:rsid w:val="19AC242B"/>
    <w:rsid w:val="1D823B84"/>
    <w:rsid w:val="1FF94B77"/>
    <w:rsid w:val="207A092D"/>
    <w:rsid w:val="24CE03C5"/>
    <w:rsid w:val="29102535"/>
    <w:rsid w:val="2B7978D7"/>
    <w:rsid w:val="2E6A261F"/>
    <w:rsid w:val="2FB9015F"/>
    <w:rsid w:val="30565BAC"/>
    <w:rsid w:val="31867655"/>
    <w:rsid w:val="35E63317"/>
    <w:rsid w:val="36696690"/>
    <w:rsid w:val="3E4F1989"/>
    <w:rsid w:val="470D64BF"/>
    <w:rsid w:val="4A8E3A0E"/>
    <w:rsid w:val="50095BEE"/>
    <w:rsid w:val="52D84DB4"/>
    <w:rsid w:val="539A1DCD"/>
    <w:rsid w:val="57566613"/>
    <w:rsid w:val="5AFF70F5"/>
    <w:rsid w:val="635228F6"/>
    <w:rsid w:val="6A4A4C31"/>
    <w:rsid w:val="71736D94"/>
    <w:rsid w:val="71F80007"/>
    <w:rsid w:val="73A23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spacing w:after="120"/>
    </w:pPr>
  </w:style>
  <w:style w:type="paragraph" w:styleId="7">
    <w:name w:val="Body Text Indent"/>
    <w:basedOn w:val="1"/>
    <w:next w:val="1"/>
    <w:qFormat/>
    <w:uiPriority w:val="99"/>
    <w:pPr>
      <w:spacing w:after="120"/>
      <w:ind w:left="420" w:leftChars="2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unhideWhenUsed/>
    <w:qFormat/>
    <w:uiPriority w:val="39"/>
    <w:pPr>
      <w:tabs>
        <w:tab w:val="right" w:leader="dot" w:pos="9344"/>
      </w:tabs>
      <w:spacing w:line="360" w:lineRule="auto"/>
    </w:pPr>
    <w:rPr>
      <w:rFonts w:ascii="Times New Roman" w:hAnsi="Times New Roman" w:cs="Times New Roman"/>
      <w:sz w:val="28"/>
      <w:szCs w:val="28"/>
    </w:rPr>
  </w:style>
  <w:style w:type="paragraph" w:styleId="12">
    <w:name w:val="toc 2"/>
    <w:basedOn w:val="1"/>
    <w:next w:val="1"/>
    <w:autoRedefine/>
    <w:unhideWhenUsed/>
    <w:qFormat/>
    <w:uiPriority w:val="39"/>
    <w:pPr>
      <w:ind w:left="420" w:leftChars="200"/>
    </w:p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Title"/>
    <w:basedOn w:val="1"/>
    <w:next w:val="1"/>
    <w:autoRedefine/>
    <w:qFormat/>
    <w:uiPriority w:val="10"/>
    <w:pPr>
      <w:spacing w:before="240" w:after="60"/>
      <w:jc w:val="center"/>
      <w:outlineLvl w:val="0"/>
    </w:pPr>
    <w:rPr>
      <w:rFonts w:ascii="Cambria" w:hAnsi="Cambria" w:eastAsia="宋体"/>
      <w:b/>
      <w:bCs/>
      <w:sz w:val="32"/>
      <w:szCs w:val="32"/>
    </w:rPr>
  </w:style>
  <w:style w:type="paragraph" w:styleId="15">
    <w:name w:val="Body Text First Indent"/>
    <w:basedOn w:val="6"/>
    <w:autoRedefine/>
    <w:qFormat/>
    <w:uiPriority w:val="0"/>
    <w:pPr>
      <w:ind w:firstLine="420" w:firstLineChars="100"/>
    </w:pPr>
    <w:rPr>
      <w:rFonts w:ascii="Calibri" w:hAnsi="Calibri" w:eastAsia="宋体"/>
      <w:kern w:val="0"/>
      <w:sz w:val="20"/>
      <w:szCs w:val="20"/>
    </w:rPr>
  </w:style>
  <w:style w:type="paragraph" w:styleId="16">
    <w:name w:val="Body Text First Indent 2"/>
    <w:basedOn w:val="7"/>
    <w:autoRedefine/>
    <w:qFormat/>
    <w:uiPriority w:val="99"/>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Emphasis"/>
    <w:basedOn w:val="19"/>
    <w:qFormat/>
    <w:uiPriority w:val="0"/>
    <w:rPr>
      <w:i/>
    </w:rPr>
  </w:style>
  <w:style w:type="character" w:customStyle="1" w:styleId="22">
    <w:name w:val="标题 1 Char"/>
    <w:qFormat/>
    <w:uiPriority w:val="0"/>
    <w:rPr>
      <w:rFonts w:eastAsia="黑体"/>
      <w:bCs/>
      <w:kern w:val="44"/>
      <w:sz w:val="28"/>
      <w:szCs w:val="44"/>
      <w:lang w:val="en-US" w:eastAsia="zh-CN" w:bidi="ar-SA"/>
    </w:rPr>
  </w:style>
  <w:style w:type="character" w:customStyle="1" w:styleId="23">
    <w:name w:val="标题 2 Char"/>
    <w:autoRedefine/>
    <w:qFormat/>
    <w:uiPriority w:val="0"/>
    <w:rPr>
      <w:rFonts w:ascii="Arial" w:hAnsi="Arial" w:eastAsia="黑体"/>
      <w:bCs/>
      <w:kern w:val="2"/>
      <w:sz w:val="24"/>
      <w:szCs w:val="32"/>
      <w:lang w:val="en-US" w:eastAsia="zh-CN" w:bidi="ar-SA"/>
    </w:rPr>
  </w:style>
  <w:style w:type="character" w:customStyle="1" w:styleId="24">
    <w:name w:val="fontstyle01"/>
    <w:basedOn w:val="19"/>
    <w:qFormat/>
    <w:uiPriority w:val="0"/>
    <w:rPr>
      <w:rFonts w:hint="eastAsia" w:ascii="仿宋_GB2312" w:eastAsia="仿宋_GB2312"/>
      <w:color w:val="000000"/>
      <w:sz w:val="32"/>
      <w:szCs w:val="32"/>
    </w:rPr>
  </w:style>
  <w:style w:type="paragraph" w:styleId="25">
    <w:name w:val="List Paragraph"/>
    <w:basedOn w:val="1"/>
    <w:autoRedefine/>
    <w:qFormat/>
    <w:uiPriority w:val="34"/>
    <w:pPr>
      <w:ind w:firstLine="420" w:firstLineChars="200"/>
    </w:pPr>
  </w:style>
  <w:style w:type="paragraph" w:customStyle="1" w:styleId="26">
    <w:name w:val="Body text|2"/>
    <w:basedOn w:val="1"/>
    <w:qFormat/>
    <w:uiPriority w:val="0"/>
    <w:pPr>
      <w:spacing w:line="2285" w:lineRule="exact"/>
      <w:ind w:firstLine="90"/>
    </w:pPr>
    <w:rPr>
      <w:rFonts w:ascii="宋体" w:hAnsi="宋体" w:eastAsia="宋体" w:cs="宋体"/>
      <w:sz w:val="132"/>
      <w:szCs w:val="132"/>
      <w:lang w:val="zh-TW" w:eastAsia="zh-TW" w:bidi="zh-TW"/>
    </w:rPr>
  </w:style>
  <w:style w:type="character" w:customStyle="1" w:styleId="27">
    <w:name w:val="font41"/>
    <w:basedOn w:val="19"/>
    <w:qFormat/>
    <w:uiPriority w:val="0"/>
    <w:rPr>
      <w:rFonts w:hint="default" w:ascii="楷体_GB2312" w:eastAsia="楷体_GB2312" w:cs="楷体_GB2312"/>
      <w:b/>
      <w:color w:val="000000"/>
      <w:sz w:val="20"/>
      <w:szCs w:val="20"/>
      <w:u w:val="none"/>
    </w:rPr>
  </w:style>
  <w:style w:type="paragraph" w:customStyle="1" w:styleId="28">
    <w:name w:val="p0"/>
    <w:basedOn w:val="1"/>
    <w:autoRedefine/>
    <w:qFormat/>
    <w:uiPriority w:val="0"/>
    <w:pPr>
      <w:widowControl/>
    </w:pPr>
    <w:rPr>
      <w:rFonts w:cs="宋体"/>
      <w:kern w:val="0"/>
      <w:szCs w:val="21"/>
    </w:rPr>
  </w:style>
  <w:style w:type="character" w:customStyle="1" w:styleId="29">
    <w:name w:val="标题 3 Char"/>
    <w:qFormat/>
    <w:uiPriority w:val="0"/>
    <w:rPr>
      <w:rFonts w:eastAsia="黑体"/>
      <w:bCs/>
      <w:kern w:val="2"/>
      <w:sz w:val="28"/>
      <w:szCs w:val="32"/>
      <w:lang w:val="en-US" w:eastAsia="zh-CN" w:bidi="ar-SA"/>
    </w:rPr>
  </w:style>
  <w:style w:type="paragraph" w:customStyle="1" w:styleId="30">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chart" Target="charts/chart2.xml"/><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chart" Target="charts/chart1.xml"/><Relationship Id="rId11" Type="http://schemas.openxmlformats.org/officeDocument/2006/relationships/oleObject" Target="embeddings/oleObject4.bin"/><Relationship Id="rId10" Type="http://schemas.openxmlformats.org/officeDocument/2006/relationships/oleObject" Target="embeddings/oleObject3.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[工作簿1]Sheet2!$H$1</c:f>
              <c:strCache>
                <c:ptCount val="1"/>
                <c:pt idx="0">
                  <c:v>得分</c:v>
                </c:pt>
              </c:strCache>
            </c:strRef>
          </c:tx>
          <c:spPr>
            <a:solidFill>
              <a:schemeClr val="accent1"/>
            </a:solidFill>
            <a:ln>
              <a:noFill/>
            </a:ln>
            <a:effectLst/>
          </c:spPr>
          <c:invertIfNegative val="0"/>
          <c:dLbls>
            <c:delete val="1"/>
          </c:dLbls>
          <c:cat>
            <c:strRef>
              <c:f>[工作簿1]Sheet2!$A$2:$A$6</c:f>
              <c:strCache>
                <c:ptCount val="5"/>
                <c:pt idx="0">
                  <c:v>您对新冠疫情防治工作专项补助资金政策是否满意？</c:v>
                </c:pt>
                <c:pt idx="1">
                  <c:v>您对当地政府及相关医疗卫生单位配齐防护物资、防护设备和防护用品调配是否满意？</c:v>
                </c:pt>
                <c:pt idx="2">
                  <c:v>您对疫情期间工作的安排或应对情况满意度如何？</c:v>
                </c:pt>
                <c:pt idx="3">
                  <c:v>您对抗疫资金的分配使用是否满意？</c:v>
                </c:pt>
                <c:pt idx="4">
                  <c:v>您对疫情防控中的个人权益保障方面是否满意？</c:v>
                </c:pt>
              </c:strCache>
            </c:strRef>
          </c:cat>
          <c:val>
            <c:numRef>
              <c:f>[工作簿1]Sheet2!$H$2:$H$6</c:f>
              <c:numCache>
                <c:formatCode>General</c:formatCode>
                <c:ptCount val="5"/>
                <c:pt idx="0">
                  <c:v>0.76</c:v>
                </c:pt>
                <c:pt idx="1">
                  <c:v>0.81</c:v>
                </c:pt>
                <c:pt idx="2">
                  <c:v>0.81</c:v>
                </c:pt>
                <c:pt idx="3">
                  <c:v>0.77</c:v>
                </c:pt>
                <c:pt idx="4">
                  <c:v>0.79</c:v>
                </c:pt>
              </c:numCache>
            </c:numRef>
          </c:val>
        </c:ser>
        <c:dLbls>
          <c:showLegendKey val="0"/>
          <c:showVal val="0"/>
          <c:showCatName val="0"/>
          <c:showSerName val="0"/>
          <c:showPercent val="0"/>
          <c:showBubbleSize val="0"/>
        </c:dLbls>
        <c:gapWidth val="219"/>
        <c:overlap val="100"/>
        <c:axId val="148768640"/>
        <c:axId val="148770176"/>
      </c:barChart>
      <c:catAx>
        <c:axId val="148768640"/>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770176"/>
        <c:crosses val="autoZero"/>
        <c:auto val="1"/>
        <c:lblAlgn val="ctr"/>
        <c:lblOffset val="100"/>
        <c:noMultiLvlLbl val="0"/>
      </c:catAx>
      <c:valAx>
        <c:axId val="14877017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768640"/>
        <c:crosses val="autoZero"/>
        <c:crossBetween val="between"/>
      </c:valAx>
      <c:spPr>
        <a:noFill/>
        <a:ln>
          <a:noFill/>
        </a:ln>
        <a:effectLst/>
      </c:spPr>
    </c:plotArea>
    <c:plotVisOnly val="1"/>
    <c:dispBlanksAs val="gap"/>
    <c:showDLblsOverMax val="0"/>
    <c:extLst>
      <c:ext uri="{0b15fc19-7d7d-44ad-8c2d-2c3a37ce22c3}">
        <chartProps xmlns="https://web.wps.cn/et/2018/main" chartId="{d85a6a98-ea7d-498f-a35d-017ee8eb165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得分</a:t>
            </a:r>
            <a:endParaRPr b="1"/>
          </a:p>
        </c:rich>
      </c:tx>
      <c:layout/>
      <c:overlay val="0"/>
      <c:spPr>
        <a:noFill/>
        <a:ln>
          <a:noFill/>
        </a:ln>
        <a:effectLst/>
      </c:spPr>
    </c:title>
    <c:autoTitleDeleted val="0"/>
    <c:plotArea>
      <c:layout/>
      <c:barChart>
        <c:barDir val="bar"/>
        <c:grouping val="clustered"/>
        <c:varyColors val="0"/>
        <c:ser>
          <c:idx val="0"/>
          <c:order val="0"/>
          <c:tx>
            <c:strRef>
              <c:f>[工作簿1]Sheet2!$H$1</c:f>
              <c:strCache>
                <c:ptCount val="1"/>
                <c:pt idx="0">
                  <c:v>得分</c:v>
                </c:pt>
              </c:strCache>
            </c:strRef>
          </c:tx>
          <c:spPr>
            <a:solidFill>
              <a:schemeClr val="accent1"/>
            </a:solidFill>
            <a:ln>
              <a:noFill/>
            </a:ln>
            <a:effectLst/>
          </c:spPr>
          <c:invertIfNegative val="0"/>
          <c:dLbls>
            <c:delete val="1"/>
          </c:dLbls>
          <c:cat>
            <c:strRef>
              <c:f>[工作簿1]Sheet2!$A$2:$A$9</c:f>
              <c:strCache>
                <c:ptCount val="8"/>
                <c:pt idx="0">
                  <c:v>您对当地政府及相关医疗卫生单位对“新冠病毒”如何预防的宣传工作是否满意？</c:v>
                </c:pt>
                <c:pt idx="1">
                  <c:v>您对当地政府及相关医疗卫生单位等部门疫情防控速度方面是否满意？</c:v>
                </c:pt>
                <c:pt idx="2">
                  <c:v>您对当地政府公布疫情信息的及时性是否满意？</c:v>
                </c:pt>
                <c:pt idx="3">
                  <c:v>您对当地医疗卫生等部门疫情防控措施实施方面是否满意？</c:v>
                </c:pt>
                <c:pt idx="4">
                  <c:v>您对当地医疗卫生等部门疫情防控人员健康监测方面是否满意？</c:v>
                </c:pt>
                <c:pt idx="5">
                  <c:v>您对当地医疗卫生等部门疫情防控专业知识储备方面是否满意？</c:v>
                </c:pt>
                <c:pt idx="6">
                  <c:v>您对当地疫情防控工作人员的工作情况是否满意？</c:v>
                </c:pt>
                <c:pt idx="7">
                  <c:v>总体来说， 您对当地相关部门的疫情防控工作是否满意？</c:v>
                </c:pt>
              </c:strCache>
            </c:strRef>
          </c:cat>
          <c:val>
            <c:numRef>
              <c:f>[工作簿1]Sheet2!$H$2:$H$9</c:f>
              <c:numCache>
                <c:formatCode>General</c:formatCode>
                <c:ptCount val="8"/>
                <c:pt idx="0">
                  <c:v>0.87</c:v>
                </c:pt>
                <c:pt idx="1">
                  <c:v>0.87</c:v>
                </c:pt>
                <c:pt idx="2">
                  <c:v>0.87</c:v>
                </c:pt>
                <c:pt idx="3">
                  <c:v>0.87</c:v>
                </c:pt>
                <c:pt idx="4">
                  <c:v>0.88</c:v>
                </c:pt>
                <c:pt idx="5">
                  <c:v>0.88</c:v>
                </c:pt>
                <c:pt idx="6">
                  <c:v>0.88</c:v>
                </c:pt>
                <c:pt idx="7">
                  <c:v>0.87</c:v>
                </c:pt>
              </c:numCache>
            </c:numRef>
          </c:val>
        </c:ser>
        <c:dLbls>
          <c:showLegendKey val="0"/>
          <c:showVal val="0"/>
          <c:showCatName val="0"/>
          <c:showSerName val="0"/>
          <c:showPercent val="0"/>
          <c:showBubbleSize val="0"/>
        </c:dLbls>
        <c:gapWidth val="182"/>
        <c:axId val="148777984"/>
        <c:axId val="148787968"/>
      </c:barChart>
      <c:catAx>
        <c:axId val="148777984"/>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787968"/>
        <c:crosses val="autoZero"/>
        <c:auto val="1"/>
        <c:lblAlgn val="ctr"/>
        <c:lblOffset val="100"/>
        <c:noMultiLvlLbl val="0"/>
      </c:catAx>
      <c:valAx>
        <c:axId val="148787968"/>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777984"/>
        <c:crosses val="autoZero"/>
        <c:crossBetween val="between"/>
      </c:valAx>
      <c:spPr>
        <a:noFill/>
        <a:ln>
          <a:noFill/>
        </a:ln>
        <a:effectLst/>
      </c:spPr>
    </c:plotArea>
    <c:plotVisOnly val="1"/>
    <c:dispBlanksAs val="gap"/>
    <c:showDLblsOverMax val="0"/>
    <c:extLst>
      <c:ext uri="{0b15fc19-7d7d-44ad-8c2d-2c3a37ce22c3}">
        <chartProps xmlns="https://web.wps.cn/et/2018/main" chartId="{53675c93-960d-4aa4-8855-056c45d0ab2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190</Pages>
  <Words>16002</Words>
  <Characters>17167</Characters>
  <Lines>1775</Lines>
  <Paragraphs>499</Paragraphs>
  <TotalTime>2</TotalTime>
  <ScaleCrop>false</ScaleCrop>
  <LinksUpToDate>false</LinksUpToDate>
  <CharactersWithSpaces>17226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空白~~</cp:lastModifiedBy>
  <cp:lastPrinted>2021-11-25T00:21:00Z</cp:lastPrinted>
  <dcterms:modified xsi:type="dcterms:W3CDTF">2026-03-31T07:03:30Z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10A15AD02D53429296874C42B44F522F_13</vt:lpwstr>
  </property>
  <property fmtid="{D5CDD505-2E9C-101B-9397-08002B2CF9AE}" pid="4" name="KSOTemplateDocerSaveRecord">
    <vt:lpwstr>eyJoZGlkIjoiOGI3NDFjN2IwMDYwMzA1OTE1NzY4ODkwMjQ1ODFhMWIiLCJ1c2VySWQiOiIyODg1MTg5NzUifQ==</vt:lpwstr>
  </property>
</Properties>
</file>