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rPr>
          <w:rFonts w:hint="eastAsia" w:ascii="方正小标宋简体" w:eastAsia="方正小标宋简体" w:cs="方正小标宋简体"/>
          <w:spacing w:val="120"/>
          <w:sz w:val="90"/>
          <w:szCs w:val="90"/>
        </w:rPr>
      </w:pPr>
    </w:p>
    <w:p>
      <w:pPr>
        <w:spacing w:line="1000" w:lineRule="exact"/>
        <w:rPr>
          <w:rFonts w:hint="eastAsia" w:ascii="方正小标宋简体" w:eastAsia="方正小标宋简体" w:cs="方正小标宋简体"/>
          <w:spacing w:val="120"/>
          <w:sz w:val="90"/>
          <w:szCs w:val="90"/>
        </w:rPr>
      </w:pPr>
      <w:r>
        <w:rPr>
          <w:sz w:val="90"/>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63500</wp:posOffset>
                </wp:positionV>
                <wp:extent cx="5927090" cy="771525"/>
                <wp:effectExtent l="0" t="0" r="16510" b="9525"/>
                <wp:wrapNone/>
                <wp:docPr id="5" name="文本框 2"/>
                <wp:cNvGraphicFramePr/>
                <a:graphic xmlns:a="http://schemas.openxmlformats.org/drawingml/2006/main">
                  <a:graphicData uri="http://schemas.microsoft.com/office/word/2010/wordprocessingShape">
                    <wps:wsp>
                      <wps:cNvSpPr txBox="1"/>
                      <wps:spPr>
                        <a:xfrm>
                          <a:off x="0" y="0"/>
                          <a:ext cx="5927090" cy="771525"/>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394"/>
                                <w:sz w:val="64"/>
                                <w:szCs w:val="64"/>
                              </w:rPr>
                            </w:pPr>
                            <w:r>
                              <w:rPr>
                                <w:rFonts w:hint="eastAsia" w:ascii="方正小标宋简体" w:hAnsi="方正小标宋简体" w:eastAsia="方正小标宋简体" w:cs="方正小标宋简体"/>
                                <w:spacing w:val="398"/>
                                <w:sz w:val="64"/>
                                <w:szCs w:val="64"/>
                              </w:rPr>
                              <w:t>莆田市财政</w:t>
                            </w:r>
                            <w:r>
                              <w:rPr>
                                <w:rFonts w:hint="eastAsia" w:ascii="方正小标宋简体" w:hAnsi="方正小标宋简体" w:eastAsia="方正小标宋简体" w:cs="方正小标宋简体"/>
                                <w:spacing w:val="394"/>
                                <w:sz w:val="64"/>
                                <w:szCs w:val="64"/>
                              </w:rPr>
                              <w:t>局</w:t>
                            </w:r>
                          </w:p>
                        </w:txbxContent>
                      </wps:txbx>
                      <wps:bodyPr wrap="square" lIns="91439" tIns="45719" rIns="91439" bIns="45719" upright="1"/>
                    </wps:wsp>
                  </a:graphicData>
                </a:graphic>
              </wp:anchor>
            </w:drawing>
          </mc:Choice>
          <mc:Fallback>
            <w:pict>
              <v:shape id="文本框 2" o:spid="_x0000_s1026" o:spt="202" type="#_x0000_t202" style="position:absolute;left:0pt;margin-left:-6.2pt;margin-top:5pt;height:60.75pt;width:466.7pt;z-index:251661312;mso-width-relative:page;mso-height-relative:page;" fillcolor="#FFFFFF" filled="t" stroked="f" coordsize="21600,21600" o:gfxdata="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B0kS9IAAAAKAQAADwAAAAAAAAABACAAAAA4AAAAZHJzL2Rvd25yZXYueG1sUEsBAhQA&#10;FAAAAAgAh07iQIqdNAniAQAAuQMAAA4AAAAAAAAAAQAgAAAANwEAAGRycy9lMm9Eb2MueG1sUEsF&#10;BgAAAAAGAAYAWQEAAIsFA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394"/>
                          <w:sz w:val="64"/>
                          <w:szCs w:val="64"/>
                        </w:rPr>
                      </w:pPr>
                      <w:r>
                        <w:rPr>
                          <w:rFonts w:hint="eastAsia" w:ascii="方正小标宋简体" w:hAnsi="方正小标宋简体" w:eastAsia="方正小标宋简体" w:cs="方正小标宋简体"/>
                          <w:spacing w:val="398"/>
                          <w:sz w:val="64"/>
                          <w:szCs w:val="64"/>
                        </w:rPr>
                        <w:t>莆田市财政</w:t>
                      </w:r>
                      <w:r>
                        <w:rPr>
                          <w:rFonts w:hint="eastAsia" w:ascii="方正小标宋简体" w:hAnsi="方正小标宋简体" w:eastAsia="方正小标宋简体" w:cs="方正小标宋简体"/>
                          <w:spacing w:val="394"/>
                          <w:sz w:val="64"/>
                          <w:szCs w:val="64"/>
                        </w:rPr>
                        <w:t>局</w:t>
                      </w:r>
                    </w:p>
                  </w:txbxContent>
                </v:textbox>
              </v:shape>
            </w:pict>
          </mc:Fallback>
        </mc:AlternateContent>
      </w:r>
    </w:p>
    <w:p>
      <w:pPr>
        <w:spacing w:line="1000" w:lineRule="exact"/>
        <w:rPr>
          <w:rFonts w:hint="eastAsia" w:ascii="方正小标宋简体" w:eastAsia="方正小标宋简体" w:cs="方正小标宋简体"/>
          <w:spacing w:val="-40"/>
          <w:sz w:val="90"/>
          <w:szCs w:val="90"/>
        </w:rPr>
      </w:pPr>
      <w:r>
        <w:rPr>
          <w:sz w:val="90"/>
        </w:rPr>
        <mc:AlternateContent>
          <mc:Choice Requires="wps">
            <w:drawing>
              <wp:anchor distT="0" distB="0" distL="114300" distR="114300" simplePos="0" relativeHeight="251663360" behindDoc="0" locked="0" layoutInCell="1" allowOverlap="1">
                <wp:simplePos x="0" y="0"/>
                <wp:positionH relativeFrom="column">
                  <wp:posOffset>5057775</wp:posOffset>
                </wp:positionH>
                <wp:positionV relativeFrom="paragraph">
                  <wp:posOffset>123825</wp:posOffset>
                </wp:positionV>
                <wp:extent cx="1104265" cy="846455"/>
                <wp:effectExtent l="0" t="0" r="635" b="10795"/>
                <wp:wrapNone/>
                <wp:docPr id="7" name="文本框 3"/>
                <wp:cNvGraphicFramePr/>
                <a:graphic xmlns:a="http://schemas.openxmlformats.org/drawingml/2006/main">
                  <a:graphicData uri="http://schemas.microsoft.com/office/word/2010/wordprocessingShape">
                    <wps:wsp>
                      <wps:cNvSpPr txBox="1"/>
                      <wps:spPr>
                        <a:xfrm>
                          <a:off x="0" y="0"/>
                          <a:ext cx="1104265" cy="846455"/>
                        </a:xfrm>
                        <a:prstGeom prst="rect">
                          <a:avLst/>
                        </a:prstGeom>
                        <a:solidFill>
                          <a:srgbClr val="FFFFFF"/>
                        </a:solidFill>
                        <a:ln>
                          <a:noFill/>
                        </a:ln>
                      </wps:spPr>
                      <wps:txbx>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文件</w:t>
                            </w:r>
                          </w:p>
                        </w:txbxContent>
                      </wps:txbx>
                      <wps:bodyPr vert="horz" wrap="square" lIns="91439" tIns="45719" rIns="91439" bIns="45719" upright="1"/>
                    </wps:wsp>
                  </a:graphicData>
                </a:graphic>
              </wp:anchor>
            </w:drawing>
          </mc:Choice>
          <mc:Fallback>
            <w:pict>
              <v:shape id="文本框 3" o:spid="_x0000_s1026" o:spt="202" type="#_x0000_t202" style="position:absolute;left:0pt;margin-left:398.25pt;margin-top:9.75pt;height:66.65pt;width:86.95pt;z-index:251663360;mso-width-relative:page;mso-height-relative:page;" fillcolor="#FFFFFF" filled="t" stroked="f" coordsize="21600,21600" o:gfxdata="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euaAPVAAAACgEAAA8AAAAAAAAAAQAgAAAAOAAAAGRycy9kb3du&#10;cmV2LnhtbFBLAQIUABQAAAAIAIdO4kBfta/R7AEAAMUDAAAOAAAAAAAAAAEAIAAAADoBAABkcnMv&#10;ZTJvRG9jLnhtbFBLBQYAAAAABgAGAFkBAACYBQAAAAA=&#10;">
                <v:fill on="t" focussize="0,0"/>
                <v:stroke on="f"/>
                <v:imagedata o:title=""/>
                <o:lock v:ext="edit" aspectratio="f"/>
                <v:textbox inset="7.19992125984252pt,3.59992125984252pt,7.19992125984252pt,3.59992125984252pt">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文件</w:t>
                      </w:r>
                    </w:p>
                  </w:txbxContent>
                </v:textbox>
              </v:shape>
            </w:pict>
          </mc:Fallback>
        </mc:AlternateContent>
      </w:r>
      <w:r>
        <w:rPr>
          <w:sz w:val="90"/>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160655</wp:posOffset>
                </wp:positionV>
                <wp:extent cx="5697220" cy="771525"/>
                <wp:effectExtent l="0" t="0" r="17780" b="9525"/>
                <wp:wrapNone/>
                <wp:docPr id="3" name="文本框 4"/>
                <wp:cNvGraphicFramePr/>
                <a:graphic xmlns:a="http://schemas.openxmlformats.org/drawingml/2006/main">
                  <a:graphicData uri="http://schemas.microsoft.com/office/word/2010/wordprocessingShape">
                    <wps:wsp>
                      <wps:cNvSpPr txBox="1"/>
                      <wps:spPr>
                        <a:xfrm>
                          <a:off x="0" y="0"/>
                          <a:ext cx="5697220" cy="771525"/>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17"/>
                                <w:sz w:val="64"/>
                                <w:szCs w:val="64"/>
                              </w:rPr>
                            </w:pPr>
                            <w:r>
                              <w:rPr>
                                <w:rFonts w:hint="eastAsia" w:ascii="方正小标宋简体" w:hAnsi="方正小标宋简体" w:eastAsia="方正小标宋简体" w:cs="方正小标宋简体"/>
                                <w:spacing w:val="-17"/>
                                <w:sz w:val="64"/>
                                <w:szCs w:val="64"/>
                              </w:rPr>
                              <w:t>莆田市人力资源</w:t>
                            </w:r>
                            <w:r>
                              <w:rPr>
                                <w:rFonts w:hint="eastAsia" w:ascii="方正小标宋简体" w:hAnsi="方正小标宋简体" w:eastAsia="方正小标宋简体" w:cs="方正小标宋简体"/>
                                <w:spacing w:val="-17"/>
                                <w:sz w:val="64"/>
                                <w:szCs w:val="64"/>
                                <w:lang w:eastAsia="zh-CN"/>
                              </w:rPr>
                              <w:t>和</w:t>
                            </w:r>
                            <w:r>
                              <w:rPr>
                                <w:rFonts w:hint="eastAsia" w:ascii="方正小标宋简体" w:hAnsi="方正小标宋简体" w:eastAsia="方正小标宋简体" w:cs="方正小标宋简体"/>
                                <w:spacing w:val="-17"/>
                                <w:sz w:val="64"/>
                                <w:szCs w:val="64"/>
                              </w:rPr>
                              <w:t>社会保障局</w:t>
                            </w:r>
                          </w:p>
                        </w:txbxContent>
                      </wps:txbx>
                      <wps:bodyPr wrap="square" lIns="91439" tIns="45719" rIns="91439" bIns="45719" upright="1"/>
                    </wps:wsp>
                  </a:graphicData>
                </a:graphic>
              </wp:anchor>
            </w:drawing>
          </mc:Choice>
          <mc:Fallback>
            <w:pict>
              <v:shape id="文本框 4" o:spid="_x0000_s1026" o:spt="202" type="#_x0000_t202" style="position:absolute;left:0pt;margin-left:-6.95pt;margin-top:12.65pt;height:60.75pt;width:448.6pt;z-index:251660288;mso-width-relative:page;mso-height-relative:page;" fillcolor="#FFFFFF" filled="t" stroked="f" coordsize="21600,21600" o:gfxdata="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pCnQLVAAAACgEAAA8AAAAAAAAAAQAgAAAAOAAAAGRycy9kb3ducmV2LnhtbFBL&#10;AQIUABQAAAAIAIdO4kALr/KP4wEAALkDAAAOAAAAAAAAAAEAIAAAADoBAABkcnMvZTJvRG9jLnht&#10;bFBLBQYAAAAABgAGAFkBAACPBQ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17"/>
                          <w:sz w:val="64"/>
                          <w:szCs w:val="64"/>
                        </w:rPr>
                      </w:pPr>
                      <w:r>
                        <w:rPr>
                          <w:rFonts w:hint="eastAsia" w:ascii="方正小标宋简体" w:hAnsi="方正小标宋简体" w:eastAsia="方正小标宋简体" w:cs="方正小标宋简体"/>
                          <w:spacing w:val="-17"/>
                          <w:sz w:val="64"/>
                          <w:szCs w:val="64"/>
                        </w:rPr>
                        <w:t>莆田市人力资源</w:t>
                      </w:r>
                      <w:r>
                        <w:rPr>
                          <w:rFonts w:hint="eastAsia" w:ascii="方正小标宋简体" w:hAnsi="方正小标宋简体" w:eastAsia="方正小标宋简体" w:cs="方正小标宋简体"/>
                          <w:spacing w:val="-17"/>
                          <w:sz w:val="64"/>
                          <w:szCs w:val="64"/>
                          <w:lang w:eastAsia="zh-CN"/>
                        </w:rPr>
                        <w:t>和</w:t>
                      </w:r>
                      <w:r>
                        <w:rPr>
                          <w:rFonts w:hint="eastAsia" w:ascii="方正小标宋简体" w:hAnsi="方正小标宋简体" w:eastAsia="方正小标宋简体" w:cs="方正小标宋简体"/>
                          <w:spacing w:val="-17"/>
                          <w:sz w:val="64"/>
                          <w:szCs w:val="64"/>
                        </w:rPr>
                        <w:t>社会保障局</w:t>
                      </w:r>
                    </w:p>
                  </w:txbxContent>
                </v:textbox>
              </v:shape>
            </w:pict>
          </mc:Fallback>
        </mc:AlternateContent>
      </w:r>
      <w:r>
        <w:rPr>
          <w:rFonts w:hint="eastAsia" w:ascii="方正小标宋简体" w:eastAsia="方正小标宋简体" w:cs="方正小标宋简体"/>
          <w:spacing w:val="120"/>
          <w:sz w:val="90"/>
          <w:szCs w:val="90"/>
        </w:rPr>
        <w:t>莆</w:t>
      </w:r>
    </w:p>
    <w:p>
      <w:pPr>
        <w:spacing w:line="1000" w:lineRule="exact"/>
        <w:rPr>
          <w:rFonts w:hint="eastAsia" w:ascii="方正小标宋简体" w:eastAsia="方正小标宋简体" w:cs="方正小标宋简体"/>
          <w:spacing w:val="-40"/>
          <w:sz w:val="90"/>
          <w:szCs w:val="90"/>
        </w:rPr>
      </w:pPr>
      <w:r>
        <w:rPr>
          <w:sz w:val="90"/>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321310</wp:posOffset>
                </wp:positionV>
                <wp:extent cx="5864860" cy="821690"/>
                <wp:effectExtent l="0" t="0" r="2540" b="16510"/>
                <wp:wrapNone/>
                <wp:docPr id="6" name="文本框 5"/>
                <wp:cNvGraphicFramePr/>
                <a:graphic xmlns:a="http://schemas.openxmlformats.org/drawingml/2006/main">
                  <a:graphicData uri="http://schemas.microsoft.com/office/word/2010/wordprocessingShape">
                    <wps:wsp>
                      <wps:cNvSpPr txBox="1"/>
                      <wps:spPr>
                        <a:xfrm>
                          <a:off x="0" y="0"/>
                          <a:ext cx="5864860" cy="821690"/>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202"/>
                                <w:sz w:val="64"/>
                                <w:szCs w:val="64"/>
                              </w:rPr>
                            </w:pPr>
                            <w:r>
                              <w:rPr>
                                <w:rFonts w:hint="eastAsia" w:ascii="方正小标宋简体" w:hAnsi="方正小标宋简体" w:eastAsia="方正小标宋简体" w:cs="方正小标宋简体"/>
                                <w:spacing w:val="202"/>
                                <w:sz w:val="64"/>
                                <w:szCs w:val="64"/>
                              </w:rPr>
                              <w:t>莆田市农业农村局</w:t>
                            </w:r>
                          </w:p>
                        </w:txbxContent>
                      </wps:txbx>
                      <wps:bodyPr wrap="square" lIns="91439" tIns="45719" rIns="91439" bIns="45719" upright="1"/>
                    </wps:wsp>
                  </a:graphicData>
                </a:graphic>
              </wp:anchor>
            </w:drawing>
          </mc:Choice>
          <mc:Fallback>
            <w:pict>
              <v:shape id="文本框 5" o:spid="_x0000_s1026" o:spt="202" type="#_x0000_t202" style="position:absolute;left:0pt;margin-left:-6.95pt;margin-top:25.3pt;height:64.7pt;width:461.8pt;z-index:251662336;mso-width-relative:page;mso-height-relative:page;" fillcolor="#FFFFFF" filled="t" stroked="f" coordsize="21600,21600" o:gfxdata="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Oz9Tq1AAAAAoBAAAPAAAAAAAAAAEAIAAAADgAAABkcnMvZG93bnJldi54bWxQ&#10;SwECFAAUAAAACACHTuJAHNK2juUBAAC5AwAADgAAAAAAAAABACAAAAA5AQAAZHJzL2Uyb0RvYy54&#10;bWxQSwUGAAAAAAYABgBZAQAAkAU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202"/>
                          <w:sz w:val="64"/>
                          <w:szCs w:val="64"/>
                        </w:rPr>
                      </w:pPr>
                      <w:r>
                        <w:rPr>
                          <w:rFonts w:hint="eastAsia" w:ascii="方正小标宋简体" w:hAnsi="方正小标宋简体" w:eastAsia="方正小标宋简体" w:cs="方正小标宋简体"/>
                          <w:spacing w:val="202"/>
                          <w:sz w:val="64"/>
                          <w:szCs w:val="64"/>
                        </w:rPr>
                        <w:t>莆田市农业农村局</w:t>
                      </w:r>
                    </w:p>
                  </w:txbxContent>
                </v:textbox>
              </v:shape>
            </w:pict>
          </mc:Fallback>
        </mc:AlternateContent>
      </w:r>
    </w:p>
    <w:p>
      <w:pPr>
        <w:spacing w:line="1000" w:lineRule="exact"/>
        <w:rPr>
          <w:rFonts w:ascii="方正小标宋简体" w:eastAsia="方正小标宋简体"/>
          <w:spacing w:val="-32"/>
          <w:sz w:val="90"/>
          <w:szCs w:val="90"/>
        </w:rPr>
      </w:pPr>
    </w:p>
    <w:p>
      <w:pPr>
        <w:jc w:val="center"/>
        <w:rPr>
          <w:b w:val="0"/>
          <w:bCs w:val="0"/>
        </w:rPr>
      </w:pPr>
      <w:r>
        <w:rPr>
          <w:rFonts w:hint="eastAsia" w:ascii="楷体_GB2312" w:eastAsia="楷体_GB2312" w:cs="楷体_GB2312"/>
          <w:b w:val="0"/>
          <w:bCs w:val="0"/>
          <w:sz w:val="32"/>
          <w:szCs w:val="32"/>
        </w:rPr>
        <w:t>　莆财农〔</w:t>
      </w:r>
      <w:r>
        <w:rPr>
          <w:rFonts w:ascii="楷体_GB2312" w:eastAsia="楷体_GB2312" w:cs="楷体_GB2312"/>
          <w:b w:val="0"/>
          <w:bCs w:val="0"/>
          <w:sz w:val="32"/>
          <w:szCs w:val="32"/>
        </w:rPr>
        <w:t>20</w:t>
      </w:r>
      <w:r>
        <w:rPr>
          <w:rFonts w:hint="eastAsia" w:ascii="楷体_GB2312" w:eastAsia="楷体_GB2312" w:cs="楷体_GB2312"/>
          <w:b w:val="0"/>
          <w:bCs w:val="0"/>
          <w:sz w:val="32"/>
          <w:szCs w:val="32"/>
          <w:lang w:val="en-US" w:eastAsia="zh-CN"/>
        </w:rPr>
        <w:t>25</w:t>
      </w: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lang w:val="en-US" w:eastAsia="zh-CN"/>
        </w:rPr>
        <w:t>87</w:t>
      </w:r>
      <w:r>
        <w:rPr>
          <w:rFonts w:hint="eastAsia" w:ascii="楷体_GB2312" w:eastAsia="楷体_GB2312" w:cs="楷体_GB2312"/>
          <w:b w:val="0"/>
          <w:bCs w:val="0"/>
          <w:sz w:val="32"/>
          <w:szCs w:val="32"/>
        </w:rPr>
        <w:t>号</w:t>
      </w:r>
    </w:p>
    <w:p>
      <w:pPr>
        <w:spacing w:line="520" w:lineRule="exac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5776595" cy="1270"/>
                <wp:effectExtent l="0" t="0" r="0" b="0"/>
                <wp:wrapNone/>
                <wp:docPr id="1" name="任意多边形 1"/>
                <wp:cNvGraphicFramePr/>
                <a:graphic xmlns:a="http://schemas.openxmlformats.org/drawingml/2006/main">
                  <a:graphicData uri="http://schemas.microsoft.com/office/word/2010/wordprocessingShape">
                    <wps:wsp>
                      <wps:cNvSpPr/>
                      <wps:spPr>
                        <a:xfrm>
                          <a:off x="0" y="0"/>
                          <a:ext cx="5776595" cy="1270"/>
                        </a:xfrm>
                        <a:custGeom>
                          <a:avLst/>
                          <a:gdLst>
                            <a:gd name="txL" fmla="*/ 0 w 9097"/>
                            <a:gd name="txT" fmla="*/ 0 h 2"/>
                            <a:gd name="txR" fmla="*/ 5776595 w 9097"/>
                            <a:gd name="txB" fmla="*/ 1270 h 2"/>
                            <a:gd name="G0" fmla="val 0"/>
                          </a:gdLst>
                          <a:ahLst/>
                          <a:cxnLst>
                            <a:cxn ang="2147483647">
                              <a:pos x="0" y="0"/>
                            </a:cxn>
                            <a:cxn ang="2147483647">
                              <a:pos x="G0" y="806450"/>
                            </a:cxn>
                          </a:cxnLst>
                          <a:rect l="txL" t="txT" r="txR" b="txB"/>
                          <a:pathLst>
                            <a:path w="9097" h="2">
                              <a:moveTo>
                                <a:pt x="0" y="0"/>
                              </a:moveTo>
                              <a:lnTo>
                                <a:pt x="9097" y="2"/>
                              </a:lnTo>
                            </a:path>
                          </a:pathLst>
                        </a:custGeom>
                        <a:noFill/>
                        <a:ln w="19050" cap="flat" cmpd="sng">
                          <a:solidFill>
                            <a:srgbClr val="000000"/>
                          </a:solidFill>
                          <a:prstDash val="solid"/>
                          <a:headEnd type="none" w="med" len="med"/>
                          <a:tailEnd type="none" w="med" len="med"/>
                        </a:ln>
                      </wps:spPr>
                      <wps:bodyPr vert="horz" wrap="square" upright="1"/>
                    </wps:wsp>
                  </a:graphicData>
                </a:graphic>
              </wp:anchor>
            </w:drawing>
          </mc:Choice>
          <mc:Fallback>
            <w:pict>
              <v:shape id="_x0000_s1026" o:spid="_x0000_s1026" o:spt="100" style="position:absolute;left:0pt;margin-left:0pt;margin-top:5.7pt;height:0.1pt;width:454.85pt;z-index:251659264;mso-width-relative:page;mso-height-relative:page;" filled="f" stroked="t" coordsize="9097,2" o:gfxdata="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C17mEU1gAAAAYBAAAPAAAAAAAAAAEAIAAAADgAAABkcnMvZG93bnJldi54&#10;bWxQSwECFAAUAAAACACHTuJAr/ej6soCAAAFBgAADgAAAAAAAAABACAAAAA7AQAAZHJzL2Uyb0Rv&#10;Yy54bWxQSwUGAAAAAAYABgBZAQAAdwYAAAAA&#10;" path="m0,0l9097,2e">
                <v:path o:connectlocs="0,0;0,806450" o:connectangles="32767,32767"/>
                <v:fill on="f" focussize="0,0"/>
                <v:stroke weight="1.5pt" color="#000000" joinstyle="round"/>
                <v:imagedata o:title=""/>
                <o:lock v:ext="edit" aspectratio="f"/>
              </v:shape>
            </w:pict>
          </mc:Fallback>
        </mc:AlternateConten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宋体" w:eastAsia="方正小标宋简体"/>
          <w:sz w:val="44"/>
          <w:szCs w:val="44"/>
        </w:rPr>
      </w:pPr>
      <w:bookmarkStart w:id="0" w:name="OLE_LINK1"/>
      <w:r>
        <w:rPr>
          <w:rFonts w:hint="eastAsia" w:ascii="方正小标宋简体" w:hAnsi="宋体" w:eastAsia="方正小标宋简体"/>
          <w:sz w:val="44"/>
          <w:szCs w:val="44"/>
        </w:rPr>
        <w:t xml:space="preserve">莆田市财政局 莆田市人力资源和社会保障局 </w: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莆田市农业农村局关于下达2025年市级财政</w: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衔接推进乡村振兴有关资金</w:t>
      </w:r>
      <w:r>
        <w:rPr>
          <w:rFonts w:hint="eastAsia" w:ascii="方正小标宋简体" w:hAnsi="宋体" w:eastAsia="方正小标宋简体"/>
          <w:sz w:val="44"/>
          <w:szCs w:val="44"/>
        </w:rPr>
        <w:t>的通知</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宋体"/>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管委会）财政局</w:t>
      </w:r>
      <w:r>
        <w:rPr>
          <w:rFonts w:hint="eastAsia" w:ascii="仿宋_GB2312" w:hAnsi="仿宋_GB2312" w:eastAsia="仿宋_GB2312" w:cs="仿宋_GB2312"/>
          <w:sz w:val="32"/>
          <w:szCs w:val="32"/>
          <w:lang w:eastAsia="zh-CN"/>
        </w:rPr>
        <w:t>（财政金融与国资局）</w:t>
      </w:r>
      <w:r>
        <w:rPr>
          <w:rFonts w:hint="eastAsia" w:ascii="仿宋_GB2312" w:hAnsi="仿宋_GB2312" w:eastAsia="仿宋_GB2312" w:cs="仿宋_GB2312"/>
          <w:sz w:val="32"/>
          <w:szCs w:val="32"/>
        </w:rPr>
        <w:t>、人社局</w:t>
      </w:r>
      <w:r>
        <w:rPr>
          <w:rFonts w:hint="eastAsia" w:ascii="仿宋_GB2312" w:hAnsi="仿宋_GB2312" w:eastAsia="仿宋_GB2312" w:cs="仿宋_GB2312"/>
          <w:sz w:val="32"/>
          <w:szCs w:val="32"/>
          <w:lang w:eastAsia="zh-CN"/>
        </w:rPr>
        <w:t>（社会事业保障局）</w:t>
      </w:r>
      <w:r>
        <w:rPr>
          <w:rFonts w:hint="eastAsia" w:ascii="仿宋_GB2312" w:hAnsi="仿宋_GB2312" w:eastAsia="仿宋_GB2312" w:cs="仿宋_GB2312"/>
          <w:sz w:val="32"/>
          <w:szCs w:val="32"/>
        </w:rPr>
        <w:t>、农业农村局</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城乡融合发展局</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《中共莆田市委</w:t>
      </w:r>
      <w:r>
        <w:rPr>
          <w:rFonts w:hint="eastAsia" w:ascii="仿宋_GB2312" w:hAnsi="仿宋_GB2312" w:eastAsia="仿宋_GB2312" w:cs="仿宋_GB2312"/>
          <w:sz w:val="32"/>
          <w:szCs w:val="32"/>
          <w:lang w:val="en-US" w:eastAsia="zh-CN"/>
        </w:rPr>
        <w:t xml:space="preserve"> 莆田市人民政府印发</w:t>
      </w:r>
      <w:r>
        <w:rPr>
          <w:rFonts w:hint="eastAsia" w:ascii="仿宋_GB2312" w:hAnsi="仿宋_GB2312" w:eastAsia="仿宋_GB2312" w:cs="仿宋_GB2312"/>
          <w:sz w:val="32"/>
          <w:szCs w:val="32"/>
          <w:lang w:eastAsia="zh-CN"/>
        </w:rPr>
        <w:t>&lt;关于实现巩固拓展脱贫攻坚成果同乡村振兴有效衔接的实施方案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w:t>
      </w:r>
      <w:r>
        <w:rPr>
          <w:rFonts w:hint="eastAsia" w:ascii="仿宋_GB2312" w:hAnsi="仿宋_GB2312" w:eastAsia="仿宋_GB2312" w:cs="仿宋_GB2312"/>
          <w:sz w:val="32"/>
          <w:szCs w:val="32"/>
          <w:lang w:eastAsia="zh-CN"/>
        </w:rPr>
        <w:t>委发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《莆田市</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 莆田市财政局 莆田市农业农村局关于做好建档立卡贫困户公益性岗位续聘工作的通知》（莆人社文〔2019〕186号）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《莆田市</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 莆田市农业农村局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莆田市财政局</w:t>
      </w:r>
      <w:r>
        <w:rPr>
          <w:rFonts w:hint="eastAsia" w:ascii="仿宋_GB2312" w:hAnsi="仿宋_GB2312" w:eastAsia="仿宋_GB2312" w:cs="仿宋_GB2312"/>
          <w:sz w:val="32"/>
          <w:szCs w:val="32"/>
          <w:lang w:eastAsia="zh-CN"/>
        </w:rPr>
        <w:t>印发&lt;莆田市开展银发建档立卡贫困人口劳务服务工作实施方案&gt;</w:t>
      </w:r>
      <w:r>
        <w:rPr>
          <w:rFonts w:hint="eastAsia" w:ascii="仿宋_GB2312" w:hAnsi="仿宋_GB2312" w:eastAsia="仿宋_GB2312" w:cs="仿宋_GB2312"/>
          <w:sz w:val="32"/>
          <w:szCs w:val="32"/>
        </w:rPr>
        <w:t>的通知》（莆人社文〔20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rPr>
        <w:t>，决定下达</w:t>
      </w:r>
      <w:r>
        <w:rPr>
          <w:rFonts w:hint="eastAsia" w:ascii="仿宋_GB2312" w:hAnsi="仿宋_GB2312" w:eastAsia="仿宋_GB2312" w:cs="仿宋_GB2312"/>
          <w:sz w:val="32"/>
          <w:szCs w:val="32"/>
          <w:lang w:eastAsia="zh-CN"/>
        </w:rPr>
        <w:t>市级财政衔接推进乡村振兴有关</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34.05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），款列“</w:t>
      </w:r>
      <w:r>
        <w:rPr>
          <w:rFonts w:hint="default" w:ascii="仿宋_GB2312" w:hAnsi="仿宋_GB2312" w:eastAsia="仿宋_GB2312" w:cs="仿宋_GB2312"/>
          <w:sz w:val="32"/>
          <w:szCs w:val="32"/>
          <w:lang w:val="en-US" w:eastAsia="zh-CN"/>
        </w:rPr>
        <w:t>2130599</w:t>
      </w:r>
      <w:r>
        <w:rPr>
          <w:rFonts w:hint="eastAsia" w:ascii="仿宋_GB2312" w:hAnsi="仿宋_GB2312" w:eastAsia="仿宋_GB2312" w:cs="仿宋_GB2312"/>
          <w:sz w:val="32"/>
          <w:szCs w:val="32"/>
          <w:lang w:val="en-US" w:eastAsia="zh-CN"/>
        </w:rPr>
        <w:t>”其他巩固脱贫攻坚成果衔接乡村振兴支出</w:t>
      </w:r>
      <w:r>
        <w:rPr>
          <w:rFonts w:hint="eastAsia" w:ascii="仿宋_GB2312" w:hAnsi="仿宋_GB2312" w:eastAsia="仿宋_GB2312" w:cs="仿宋_GB2312"/>
          <w:sz w:val="32"/>
          <w:szCs w:val="32"/>
        </w:rPr>
        <w:t>”科目报支。建档立卡</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公益性岗位续聘</w:t>
      </w:r>
      <w:r>
        <w:rPr>
          <w:rFonts w:hint="eastAsia" w:ascii="仿宋_GB2312" w:hAnsi="仿宋_GB2312" w:eastAsia="仿宋_GB2312" w:cs="仿宋_GB2312"/>
          <w:sz w:val="32"/>
          <w:szCs w:val="32"/>
          <w:lang w:eastAsia="zh-CN"/>
        </w:rPr>
        <w:t>和银发劳务服务项目完成实施但有结余的补助资金，可调整用于符合各级财政衔接推进乡村振兴补助资金支出范围的项目。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要按照《</w:t>
      </w:r>
      <w:r>
        <w:rPr>
          <w:rFonts w:hint="eastAsia" w:ascii="仿宋_GB2312" w:hAnsi="仿宋_GB2312" w:eastAsia="仿宋_GB2312" w:cs="仿宋_GB2312"/>
          <w:sz w:val="32"/>
          <w:szCs w:val="32"/>
        </w:rPr>
        <w:t>莆田市财政局</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莆田市农业农村局</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lang w:val="en-US" w:eastAsia="zh-CN"/>
        </w:rPr>
        <w:t>&lt;莆田市</w:t>
      </w:r>
      <w:r>
        <w:rPr>
          <w:rFonts w:hint="eastAsia" w:ascii="仿宋_GB2312" w:hAnsi="仿宋_GB2312" w:eastAsia="仿宋_GB2312" w:cs="仿宋_GB2312"/>
          <w:sz w:val="32"/>
          <w:szCs w:val="32"/>
        </w:rPr>
        <w:t>市级</w:t>
      </w:r>
      <w:r>
        <w:rPr>
          <w:rFonts w:hint="eastAsia" w:ascii="仿宋_GB2312" w:hAnsi="仿宋_GB2312" w:eastAsia="仿宋_GB2312" w:cs="仿宋_GB2312"/>
          <w:sz w:val="32"/>
          <w:szCs w:val="32"/>
          <w:lang w:eastAsia="zh-CN"/>
        </w:rPr>
        <w:t>财政衔接推进乡村振兴补助资金管理办法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的通知》（莆财农〔202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、《莆田市财政局</w:t>
      </w:r>
      <w:r>
        <w:rPr>
          <w:rFonts w:hint="eastAsia" w:ascii="仿宋_GB2312" w:hAnsi="仿宋_GB2312" w:eastAsia="仿宋_GB2312" w:cs="仿宋_GB2312"/>
          <w:sz w:val="32"/>
          <w:szCs w:val="32"/>
          <w:lang w:val="en-US" w:eastAsia="zh-CN"/>
        </w:rPr>
        <w:t xml:space="preserve"> 莆田市人力资源和社会保障局 莆田市农业农村局关于下达2025年市级财政衔接推进乡村振兴有关资金的通知</w:t>
      </w:r>
      <w:r>
        <w:rPr>
          <w:rFonts w:hint="eastAsia" w:ascii="仿宋_GB2312" w:hAnsi="仿宋_GB2312" w:eastAsia="仿宋_GB2312" w:cs="仿宋_GB2312"/>
          <w:sz w:val="32"/>
          <w:szCs w:val="32"/>
          <w:lang w:eastAsia="zh-CN"/>
        </w:rPr>
        <w:t>》（莆财农〔202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95号</w:t>
      </w:r>
      <w:r>
        <w:rPr>
          <w:rFonts w:hint="eastAsia" w:ascii="仿宋_GB2312" w:hAnsi="仿宋_GB2312" w:eastAsia="仿宋_GB2312" w:cs="仿宋_GB2312"/>
          <w:sz w:val="32"/>
          <w:szCs w:val="32"/>
          <w:lang w:eastAsia="zh-CN"/>
        </w:rPr>
        <w:t>）文件要求，做好绩效跟踪管理，</w:t>
      </w:r>
      <w:r>
        <w:rPr>
          <w:rFonts w:hint="eastAsia" w:ascii="仿宋_GB2312" w:hAnsi="仿宋_GB2312" w:eastAsia="仿宋_GB2312" w:cs="仿宋_GB2312"/>
          <w:sz w:val="32"/>
          <w:szCs w:val="32"/>
        </w:rPr>
        <w:t>加强资金拨付、跟踪、监督、检查和管理，</w:t>
      </w:r>
      <w:r>
        <w:rPr>
          <w:rFonts w:hint="eastAsia" w:ascii="仿宋_GB2312" w:hAnsi="仿宋_GB2312" w:eastAsia="仿宋_GB2312" w:cs="仿宋_GB2312"/>
          <w:sz w:val="32"/>
          <w:szCs w:val="32"/>
          <w:lang w:eastAsia="zh-CN"/>
        </w:rPr>
        <w:t>切实提高财政资金使用效益，</w:t>
      </w:r>
      <w:r>
        <w:rPr>
          <w:rFonts w:hint="eastAsia" w:ascii="仿宋_GB2312" w:hAnsi="仿宋_GB2312" w:eastAsia="仿宋_GB2312" w:cs="仿宋_GB2312"/>
          <w:sz w:val="32"/>
          <w:szCs w:val="32"/>
        </w:rPr>
        <w:t>发现违规问题及时制止并报告上级财政、</w:t>
      </w:r>
      <w:r>
        <w:rPr>
          <w:rFonts w:hint="eastAsia" w:ascii="仿宋_GB2312" w:hAnsi="仿宋_GB2312" w:eastAsia="仿宋_GB2312" w:cs="仿宋_GB2312"/>
          <w:sz w:val="32"/>
          <w:szCs w:val="32"/>
          <w:lang w:eastAsia="zh-CN"/>
        </w:rPr>
        <w:t>人社、</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。要执行公告公示制度，按照“谁分配、谁公开，谁使用、谁公开，分配到哪，公开到哪”的要求，逐级做好公告公示工作。</w:t>
      </w:r>
    </w:p>
    <w:p>
      <w:pPr>
        <w:pStyle w:val="2"/>
        <w:keepNext w:val="0"/>
        <w:keepLines w:val="0"/>
        <w:pageBreakBefore w:val="0"/>
        <w:widowControl w:val="0"/>
        <w:kinsoku/>
        <w:wordWrap/>
        <w:overflowPunct/>
        <w:topLinePunct w:val="0"/>
        <w:autoSpaceDE/>
        <w:autoSpaceDN/>
        <w:bidi w:val="0"/>
        <w:adjustRightInd/>
        <w:snapToGrid/>
        <w:spacing w:after="0" w:afterLines="0" w:line="640" w:lineRule="exact"/>
        <w:ind w:left="0" w:leftChars="0" w:firstLine="0" w:firstLineChars="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1.2025年市级财政衔接推进乡村振兴有关补助资金分配表</w:t>
      </w:r>
    </w:p>
    <w:p>
      <w:pPr>
        <w:pStyle w:val="2"/>
        <w:keepNext w:val="0"/>
        <w:keepLines w:val="0"/>
        <w:pageBreakBefore w:val="0"/>
        <w:widowControl w:val="0"/>
        <w:kinsoku/>
        <w:wordWrap/>
        <w:overflowPunct/>
        <w:topLinePunct w:val="0"/>
        <w:autoSpaceDE/>
        <w:autoSpaceDN/>
        <w:bidi w:val="0"/>
        <w:adjustRightInd/>
        <w:snapToGrid/>
        <w:spacing w:line="640" w:lineRule="exact"/>
        <w:ind w:left="1916" w:leftChars="760" w:hanging="320" w:hanging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2.2025年市级财政衔接推进乡村振兴有关补助资金绩效目标表</w:t>
      </w:r>
    </w:p>
    <w:p>
      <w:pPr>
        <w:pStyle w:val="2"/>
        <w:keepNext w:val="0"/>
        <w:keepLines w:val="0"/>
        <w:pageBreakBefore w:val="0"/>
        <w:widowControl w:val="0"/>
        <w:kinsoku/>
        <w:wordWrap/>
        <w:overflowPunct/>
        <w:topLinePunct w:val="0"/>
        <w:autoSpaceDE/>
        <w:autoSpaceDN/>
        <w:bidi w:val="0"/>
        <w:adjustRightInd/>
        <w:snapToGrid/>
        <w:spacing w:line="640" w:lineRule="exact"/>
        <w:ind w:left="1916" w:leftChars="760" w:hanging="320" w:hangingChars="100"/>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1916" w:leftChars="760" w:hanging="320" w:hangingChars="100"/>
        <w:jc w:val="left"/>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1916" w:leftChars="760" w:hanging="320" w:hangingChars="1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莆田市财政局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莆田市人力资源和社会保障局</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080" w:firstLineChars="1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莆田市农业农村局</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28"/>
          <w:szCs w:val="28"/>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spacing w:line="560" w:lineRule="exact"/>
        <w:jc w:val="center"/>
        <w:rPr>
          <w:rFonts w:hint="eastAsia" w:ascii="方正小标宋简体" w:hAnsi="方正小标宋简体" w:eastAsia="方正小标宋简体" w:cs="方正小标宋简体"/>
          <w:color w:val="000000"/>
          <w:sz w:val="36"/>
          <w:szCs w:val="36"/>
          <w:lang w:val="en-US" w:eastAsia="zh-CN"/>
        </w:rPr>
      </w:pPr>
    </w:p>
    <w:p>
      <w:pPr>
        <w:spacing w:line="560" w:lineRule="exact"/>
        <w:jc w:val="center"/>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2025年市级财政衔接推进乡村振兴有关补助资金分配表</w:t>
      </w:r>
    </w:p>
    <w:p>
      <w:pPr>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28"/>
          <w:szCs w:val="28"/>
          <w:lang w:val="en-US" w:eastAsia="zh-CN"/>
        </w:rPr>
        <w:t>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5"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560" w:lineRule="exact"/>
              <w:jc w:val="center"/>
              <w:rPr>
                <w:rFonts w:hint="eastAsia" w:ascii="仿宋_GB2312" w:hAnsi="仿宋_GB2312" w:eastAsia="仿宋_GB2312" w:cs="仿宋_GB2312"/>
                <w:b/>
                <w:bCs/>
                <w:sz w:val="28"/>
                <w:szCs w:val="28"/>
                <w:lang w:val="en-US" w:eastAsia="zh-CN"/>
              </w:rPr>
            </w:pPr>
          </w:p>
          <w:p>
            <w:pPr>
              <w:spacing w:line="560" w:lineRule="exact"/>
              <w:jc w:val="center"/>
              <mc:AlternateContent>
                <mc:Choice Requires="wpsCustomData">
                  <wpsCustomData:diagonalParaType/>
                </mc:Choice>
              </mc:AlternateConten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县区</w:t>
            </w:r>
          </w:p>
          <w:p>
            <w:pPr>
              <w:spacing w:line="56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sz w:val="24"/>
                <w:szCs w:val="24"/>
                <w:lang w:eastAsia="zh-CN"/>
              </w:rPr>
              <w:t>脱贫对象续聘公益性岗位市级财政配套补助资金</w:t>
            </w:r>
          </w:p>
        </w:tc>
        <w:tc>
          <w:tcPr>
            <w:tcW w:w="22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银发建档立卡脱贫</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kern w:val="0"/>
                <w:sz w:val="24"/>
                <w:szCs w:val="24"/>
                <w:lang w:val="en-US" w:eastAsia="zh-CN" w:bidi="ar"/>
              </w:rPr>
              <w:t>人口劳务服务市级财政补助资金</w:t>
            </w:r>
          </w:p>
        </w:tc>
        <w:tc>
          <w:tcPr>
            <w:tcW w:w="2266" w:type="dxa"/>
            <w:noWrap w:val="0"/>
            <w:vAlign w:val="center"/>
          </w:tcPr>
          <w:p>
            <w:pPr>
              <w:spacing w:line="560" w:lineRule="exact"/>
              <w:jc w:val="center"/>
              <w:rPr>
                <w:rFonts w:hint="eastAsia"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sz w:val="28"/>
                <w:szCs w:val="2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仙游县</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0.00</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0.00</w:t>
            </w:r>
          </w:p>
        </w:tc>
        <w:tc>
          <w:tcPr>
            <w:tcW w:w="22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荔城区</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18.93</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0.38</w:t>
            </w:r>
          </w:p>
        </w:tc>
        <w:tc>
          <w:tcPr>
            <w:tcW w:w="22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城厢区</w:t>
            </w:r>
          </w:p>
        </w:tc>
        <w:tc>
          <w:tcPr>
            <w:tcW w:w="226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3.31</w:t>
            </w:r>
          </w:p>
        </w:tc>
        <w:tc>
          <w:tcPr>
            <w:tcW w:w="226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1.71</w:t>
            </w:r>
          </w:p>
        </w:tc>
        <w:tc>
          <w:tcPr>
            <w:tcW w:w="22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涵江区</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4.75</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2.58</w:t>
            </w:r>
          </w:p>
        </w:tc>
        <w:tc>
          <w:tcPr>
            <w:tcW w:w="22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秀屿区</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1.52</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0.34</w:t>
            </w:r>
          </w:p>
        </w:tc>
        <w:tc>
          <w:tcPr>
            <w:tcW w:w="22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湄洲</w:t>
            </w:r>
          </w:p>
        </w:tc>
        <w:tc>
          <w:tcPr>
            <w:tcW w:w="226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0.53</w:t>
            </w:r>
          </w:p>
        </w:tc>
        <w:tc>
          <w:tcPr>
            <w:tcW w:w="226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0.00</w:t>
            </w:r>
          </w:p>
        </w:tc>
        <w:tc>
          <w:tcPr>
            <w:tcW w:w="22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总计</w:t>
            </w:r>
          </w:p>
        </w:tc>
        <w:tc>
          <w:tcPr>
            <w:tcW w:w="226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29.04</w:t>
            </w:r>
          </w:p>
        </w:tc>
        <w:tc>
          <w:tcPr>
            <w:tcW w:w="226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5.01</w:t>
            </w:r>
          </w:p>
        </w:tc>
        <w:tc>
          <w:tcPr>
            <w:tcW w:w="22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34.05</w:t>
            </w:r>
          </w:p>
        </w:tc>
      </w:tr>
    </w:tbl>
    <w:p>
      <w:pPr>
        <w:spacing w:line="560" w:lineRule="exact"/>
        <w:jc w:val="center"/>
        <w:rPr>
          <w:rFonts w:hint="eastAsia" w:ascii="方正小标宋简体" w:hAnsi="方正小标宋简体" w:eastAsia="方正小标宋简体" w:cs="方正小标宋简体"/>
          <w:color w:val="000000"/>
          <w:sz w:val="32"/>
          <w:szCs w:val="32"/>
          <w:lang w:val="en-US" w:eastAsia="zh-CN"/>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spacing w:line="560" w:lineRule="exac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spacing w:line="440" w:lineRule="exact"/>
        <w:jc w:val="center"/>
        <w:rPr>
          <w:rFonts w:hint="eastAsia" w:ascii="宋体" w:hAnsi="宋体" w:cs="宋体"/>
          <w:b/>
          <w:sz w:val="36"/>
          <w:szCs w:val="36"/>
        </w:rPr>
      </w:pPr>
    </w:p>
    <w:p>
      <w:pPr>
        <w:spacing w:line="440" w:lineRule="exact"/>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2025年市级财政衔接推进乡村振兴有关补助资金绩效目标表</w:t>
      </w:r>
    </w:p>
    <w:tbl>
      <w:tblPr>
        <w:tblStyle w:val="7"/>
        <w:tblpPr w:leftFromText="180" w:rightFromText="180" w:vertAnchor="text" w:horzAnchor="margin" w:tblpXSpec="center" w:tblpY="358"/>
        <w:tblOverlap w:val="never"/>
        <w:tblW w:w="9648" w:type="dxa"/>
        <w:jc w:val="center"/>
        <w:tblLayout w:type="fixed"/>
        <w:tblCellMar>
          <w:top w:w="0" w:type="dxa"/>
          <w:left w:w="0" w:type="dxa"/>
          <w:bottom w:w="0" w:type="dxa"/>
          <w:right w:w="0" w:type="dxa"/>
        </w:tblCellMar>
      </w:tblPr>
      <w:tblGrid>
        <w:gridCol w:w="695"/>
        <w:gridCol w:w="683"/>
        <w:gridCol w:w="646"/>
        <w:gridCol w:w="87"/>
        <w:gridCol w:w="1183"/>
        <w:gridCol w:w="1586"/>
        <w:gridCol w:w="589"/>
        <w:gridCol w:w="590"/>
        <w:gridCol w:w="584"/>
        <w:gridCol w:w="5"/>
        <w:gridCol w:w="525"/>
        <w:gridCol w:w="245"/>
        <w:gridCol w:w="344"/>
        <w:gridCol w:w="536"/>
        <w:gridCol w:w="568"/>
        <w:gridCol w:w="782"/>
      </w:tblGrid>
      <w:tr>
        <w:tblPrEx>
          <w:tblCellMar>
            <w:top w:w="0" w:type="dxa"/>
            <w:left w:w="0" w:type="dxa"/>
            <w:bottom w:w="0" w:type="dxa"/>
            <w:right w:w="0" w:type="dxa"/>
          </w:tblCellMar>
        </w:tblPrEx>
        <w:trPr>
          <w:trHeight w:val="589"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7537"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CN"/>
              </w:rPr>
              <w:t>2025年市级财政衔接推进乡村振兴有关资金</w:t>
            </w:r>
          </w:p>
        </w:tc>
      </w:tr>
      <w:tr>
        <w:tblPrEx>
          <w:tblCellMar>
            <w:top w:w="0" w:type="dxa"/>
            <w:left w:w="0" w:type="dxa"/>
            <w:bottom w:w="0" w:type="dxa"/>
            <w:right w:w="0" w:type="dxa"/>
          </w:tblCellMar>
        </w:tblPrEx>
        <w:trPr>
          <w:trHeight w:val="600"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主管部门（单位）名称及部门预算编码</w:t>
            </w:r>
          </w:p>
        </w:tc>
        <w:tc>
          <w:tcPr>
            <w:tcW w:w="394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莆田市人社局、</w:t>
            </w:r>
            <w:r>
              <w:rPr>
                <w:rFonts w:hint="eastAsia" w:ascii="仿宋_GB2312" w:hAnsi="仿宋_GB2312" w:eastAsia="仿宋_GB2312" w:cs="仿宋_GB2312"/>
                <w:color w:val="000000"/>
                <w:kern w:val="0"/>
                <w:sz w:val="24"/>
                <w:szCs w:val="24"/>
                <w:lang w:bidi="ar"/>
              </w:rPr>
              <w:t>莆田市农业农村局</w:t>
            </w:r>
          </w:p>
        </w:tc>
        <w:tc>
          <w:tcPr>
            <w:tcW w:w="1359"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补助区域</w:t>
            </w:r>
          </w:p>
        </w:tc>
        <w:tc>
          <w:tcPr>
            <w:tcW w:w="223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各</w:t>
            </w:r>
            <w:r>
              <w:rPr>
                <w:rFonts w:hint="eastAsia" w:ascii="仿宋_GB2312" w:hAnsi="仿宋_GB2312" w:eastAsia="仿宋_GB2312" w:cs="仿宋_GB2312"/>
                <w:color w:val="000000"/>
                <w:kern w:val="0"/>
                <w:sz w:val="24"/>
                <w:szCs w:val="24"/>
                <w:lang w:bidi="ar"/>
              </w:rPr>
              <w:t>县（区</w:t>
            </w:r>
            <w:r>
              <w:rPr>
                <w:rFonts w:hint="eastAsia" w:ascii="仿宋_GB2312" w:hAnsi="仿宋_GB2312" w:eastAsia="仿宋_GB2312" w:cs="仿宋_GB2312"/>
                <w:color w:val="000000"/>
                <w:kern w:val="0"/>
                <w:sz w:val="24"/>
                <w:szCs w:val="24"/>
                <w:lang w:eastAsia="zh-CN" w:bidi="ar"/>
              </w:rPr>
              <w:t>、管委会</w:t>
            </w:r>
            <w:r>
              <w:rPr>
                <w:rFonts w:hint="eastAsia" w:ascii="仿宋_GB2312" w:hAnsi="仿宋_GB2312" w:eastAsia="仿宋_GB2312" w:cs="仿宋_GB2312"/>
                <w:color w:val="000000"/>
                <w:kern w:val="0"/>
                <w:sz w:val="24"/>
                <w:szCs w:val="24"/>
                <w:lang w:bidi="ar"/>
              </w:rPr>
              <w:t>）</w:t>
            </w:r>
          </w:p>
        </w:tc>
      </w:tr>
      <w:tr>
        <w:tblPrEx>
          <w:tblCellMar>
            <w:top w:w="0" w:type="dxa"/>
            <w:left w:w="0" w:type="dxa"/>
            <w:bottom w:w="0" w:type="dxa"/>
            <w:right w:w="0" w:type="dxa"/>
          </w:tblCellMar>
        </w:tblPrEx>
        <w:trPr>
          <w:trHeight w:val="541" w:hRule="atLeast"/>
          <w:jc w:val="center"/>
        </w:trPr>
        <w:tc>
          <w:tcPr>
            <w:tcW w:w="2111"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资金情况</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万</w:t>
            </w:r>
            <w:r>
              <w:rPr>
                <w:rFonts w:hint="eastAsia" w:ascii="仿宋_GB2312" w:hAnsi="仿宋_GB2312" w:eastAsia="仿宋_GB2312" w:cs="仿宋_GB2312"/>
                <w:color w:val="000000"/>
                <w:kern w:val="0"/>
                <w:sz w:val="24"/>
                <w:szCs w:val="24"/>
                <w:lang w:bidi="ar"/>
              </w:rPr>
              <w:t>元）</w:t>
            </w:r>
          </w:p>
        </w:tc>
        <w:tc>
          <w:tcPr>
            <w:tcW w:w="118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资金总额：</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563.05</w:t>
            </w:r>
          </w:p>
        </w:tc>
      </w:tr>
      <w:tr>
        <w:tblPrEx>
          <w:tblCellMar>
            <w:top w:w="0" w:type="dxa"/>
            <w:left w:w="0" w:type="dxa"/>
            <w:bottom w:w="0" w:type="dxa"/>
            <w:right w:w="0" w:type="dxa"/>
          </w:tblCellMar>
        </w:tblPrEx>
        <w:trPr>
          <w:trHeight w:val="876" w:hRule="atLeast"/>
          <w:jc w:val="center"/>
        </w:trPr>
        <w:tc>
          <w:tcPr>
            <w:tcW w:w="2111" w:type="dxa"/>
            <w:gridSpan w:val="4"/>
            <w:vMerge w:val="continue"/>
            <w:tcBorders>
              <w:left w:val="single" w:color="000000" w:sz="4" w:space="0"/>
              <w:right w:val="single" w:color="000000" w:sz="4" w:space="0"/>
            </w:tcBorders>
            <w:noWrap w:val="0"/>
            <w:tcMar>
              <w:top w:w="15" w:type="dxa"/>
              <w:left w:w="15" w:type="dxa"/>
              <w:right w:w="15" w:type="dxa"/>
            </w:tcMar>
            <w:vAlign w:val="center"/>
          </w:tcPr>
          <w:p>
            <w:pPr>
              <w:spacing w:line="260" w:lineRule="exact"/>
              <w:jc w:val="both"/>
              <w:rPr>
                <w:rFonts w:hint="eastAsia" w:ascii="仿宋_GB2312" w:hAnsi="仿宋_GB2312" w:eastAsia="仿宋_GB2312" w:cs="仿宋_GB2312"/>
                <w:color w:val="000000"/>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其中：财政拨款</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563.05</w:t>
            </w:r>
          </w:p>
        </w:tc>
      </w:tr>
      <w:tr>
        <w:tblPrEx>
          <w:tblCellMar>
            <w:top w:w="0" w:type="dxa"/>
            <w:left w:w="0" w:type="dxa"/>
            <w:bottom w:w="0" w:type="dxa"/>
            <w:right w:w="0" w:type="dxa"/>
          </w:tblCellMar>
        </w:tblPrEx>
        <w:trPr>
          <w:trHeight w:val="466" w:hRule="atLeast"/>
          <w:jc w:val="center"/>
        </w:trPr>
        <w:tc>
          <w:tcPr>
            <w:tcW w:w="2111"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both"/>
              <w:rPr>
                <w:rFonts w:hint="eastAsia" w:ascii="仿宋_GB2312" w:hAnsi="仿宋_GB2312" w:eastAsia="仿宋_GB2312" w:cs="仿宋_GB2312"/>
                <w:color w:val="000000"/>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Style w:val="10"/>
                <w:rFonts w:hint="eastAsia" w:ascii="仿宋_GB2312" w:hAnsi="仿宋_GB2312" w:eastAsia="仿宋_GB2312" w:cs="仿宋_GB2312"/>
                <w:sz w:val="24"/>
                <w:szCs w:val="24"/>
                <w:lang w:bidi="ar"/>
              </w:rPr>
              <w:t>其他资金</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949"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总体</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w:t>
            </w:r>
          </w:p>
        </w:tc>
        <w:tc>
          <w:tcPr>
            <w:tcW w:w="8953"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对脱贫对象公益性岗位期限到期的予以续聘，为银发脱贫对象提供劳务服务,帮助实现就近就地就业，增加工资性稳定收入。</w:t>
            </w:r>
          </w:p>
        </w:tc>
      </w:tr>
      <w:tr>
        <w:tblPrEx>
          <w:tblCellMar>
            <w:top w:w="0" w:type="dxa"/>
            <w:left w:w="0" w:type="dxa"/>
            <w:bottom w:w="0" w:type="dxa"/>
            <w:right w:w="0" w:type="dxa"/>
          </w:tblCellMar>
        </w:tblPrEx>
        <w:trPr>
          <w:trHeight w:val="387" w:hRule="atLeast"/>
          <w:jc w:val="center"/>
        </w:trPr>
        <w:tc>
          <w:tcPr>
            <w:tcW w:w="69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8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二级指标</w:t>
            </w:r>
          </w:p>
        </w:tc>
        <w:tc>
          <w:tcPr>
            <w:tcW w:w="1270"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三级指标</w:t>
            </w:r>
          </w:p>
        </w:tc>
        <w:tc>
          <w:tcPr>
            <w:tcW w:w="1586"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指标解释</w:t>
            </w:r>
          </w:p>
        </w:tc>
        <w:tc>
          <w:tcPr>
            <w:tcW w:w="589"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计量单位</w:t>
            </w:r>
          </w:p>
        </w:tc>
        <w:tc>
          <w:tcPr>
            <w:tcW w:w="4179" w:type="dxa"/>
            <w:gridSpan w:val="9"/>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目标值</w:t>
            </w:r>
          </w:p>
        </w:tc>
      </w:tr>
      <w:tr>
        <w:tblPrEx>
          <w:tblCellMar>
            <w:top w:w="0" w:type="dxa"/>
            <w:left w:w="0" w:type="dxa"/>
            <w:bottom w:w="0" w:type="dxa"/>
            <w:right w:w="0" w:type="dxa"/>
          </w:tblCellMar>
        </w:tblPrEx>
        <w:trPr>
          <w:trHeight w:val="387"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1270"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1586"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589"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rPr>
            </w:pPr>
          </w:p>
        </w:tc>
        <w:tc>
          <w:tcPr>
            <w:tcW w:w="5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仙游</w:t>
            </w:r>
          </w:p>
        </w:tc>
        <w:tc>
          <w:tcPr>
            <w:tcW w:w="589"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荔城</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城厢</w:t>
            </w:r>
          </w:p>
        </w:tc>
        <w:tc>
          <w:tcPr>
            <w:tcW w:w="589"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涵江</w:t>
            </w:r>
          </w:p>
        </w:tc>
        <w:tc>
          <w:tcPr>
            <w:tcW w:w="53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秀屿</w:t>
            </w:r>
          </w:p>
        </w:tc>
        <w:tc>
          <w:tcPr>
            <w:tcW w:w="56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北岸</w:t>
            </w:r>
          </w:p>
        </w:tc>
        <w:tc>
          <w:tcPr>
            <w:tcW w:w="78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湄洲岛</w:t>
            </w:r>
          </w:p>
        </w:tc>
      </w:tr>
      <w:tr>
        <w:tblPrEx>
          <w:tblCellMar>
            <w:top w:w="0" w:type="dxa"/>
            <w:left w:w="0" w:type="dxa"/>
            <w:bottom w:w="0" w:type="dxa"/>
            <w:right w:w="0" w:type="dxa"/>
          </w:tblCellMar>
        </w:tblPrEx>
        <w:trPr>
          <w:trHeight w:val="1495"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产出</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数量指标</w:t>
            </w:r>
          </w:p>
        </w:tc>
        <w:tc>
          <w:tcPr>
            <w:tcW w:w="1270"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snapToGrid/>
                <w:color w:val="000000"/>
                <w:sz w:val="24"/>
                <w:szCs w:val="24"/>
                <w:u w:val="none"/>
                <w:lang w:eastAsia="zh-CN"/>
              </w:rPr>
              <w:t>扶持脱贫对象公益性岗位续聘</w:t>
            </w:r>
          </w:p>
        </w:tc>
        <w:tc>
          <w:tcPr>
            <w:tcW w:w="1586"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反映</w:t>
            </w:r>
            <w:r>
              <w:rPr>
                <w:rFonts w:hint="eastAsia" w:ascii="仿宋_GB2312" w:hAnsi="仿宋_GB2312" w:eastAsia="仿宋_GB2312" w:cs="仿宋_GB2312"/>
                <w:b w:val="0"/>
                <w:bCs w:val="0"/>
                <w:i w:val="0"/>
                <w:snapToGrid/>
                <w:color w:val="000000"/>
                <w:sz w:val="24"/>
                <w:szCs w:val="24"/>
                <w:u w:val="none"/>
                <w:lang w:eastAsia="zh-CN"/>
              </w:rPr>
              <w:t>公益性岗位续聘脱贫对象数量</w:t>
            </w:r>
          </w:p>
        </w:tc>
        <w:tc>
          <w:tcPr>
            <w:tcW w:w="5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人次</w:t>
            </w:r>
          </w:p>
        </w:tc>
        <w:tc>
          <w:tcPr>
            <w:tcW w:w="590"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155</w:t>
            </w:r>
          </w:p>
        </w:tc>
        <w:tc>
          <w:tcPr>
            <w:tcW w:w="584"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61</w:t>
            </w:r>
          </w:p>
        </w:tc>
        <w:tc>
          <w:tcPr>
            <w:tcW w:w="530"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44</w:t>
            </w:r>
          </w:p>
        </w:tc>
        <w:tc>
          <w:tcPr>
            <w:tcW w:w="589"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62</w:t>
            </w:r>
          </w:p>
        </w:tc>
        <w:tc>
          <w:tcPr>
            <w:tcW w:w="536"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32</w:t>
            </w:r>
          </w:p>
        </w:tc>
        <w:tc>
          <w:tcPr>
            <w:tcW w:w="568"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8</w:t>
            </w:r>
          </w:p>
        </w:tc>
        <w:tc>
          <w:tcPr>
            <w:tcW w:w="782"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15</w:t>
            </w:r>
          </w:p>
        </w:tc>
      </w:tr>
      <w:tr>
        <w:tblPrEx>
          <w:tblCellMar>
            <w:top w:w="0" w:type="dxa"/>
            <w:left w:w="0" w:type="dxa"/>
            <w:bottom w:w="0" w:type="dxa"/>
            <w:right w:w="0" w:type="dxa"/>
          </w:tblCellMar>
        </w:tblPrEx>
        <w:trPr>
          <w:trHeight w:val="1495"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rPr>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rPr>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rPr>
            </w:pPr>
          </w:p>
        </w:tc>
        <w:tc>
          <w:tcPr>
            <w:tcW w:w="1270"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i w:val="0"/>
                <w:snapToGrid/>
                <w:color w:val="000000"/>
                <w:sz w:val="24"/>
                <w:szCs w:val="24"/>
                <w:u w:val="none"/>
                <w:lang w:eastAsia="zh-CN"/>
              </w:rPr>
              <w:t>扶持银发脱贫对象参与劳务服务</w:t>
            </w:r>
          </w:p>
        </w:tc>
        <w:tc>
          <w:tcPr>
            <w:tcW w:w="1586"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eastAsia="zh-CN"/>
              </w:rPr>
              <w:t>反映</w:t>
            </w:r>
            <w:r>
              <w:rPr>
                <w:rFonts w:hint="eastAsia" w:ascii="仿宋_GB2312" w:hAnsi="仿宋_GB2312" w:eastAsia="仿宋_GB2312" w:cs="仿宋_GB2312"/>
                <w:b w:val="0"/>
                <w:bCs w:val="0"/>
                <w:i w:val="0"/>
                <w:snapToGrid/>
                <w:color w:val="000000"/>
                <w:sz w:val="24"/>
                <w:szCs w:val="24"/>
                <w:u w:val="none"/>
                <w:lang w:eastAsia="zh-CN"/>
              </w:rPr>
              <w:t>参与劳务服务的银发脱贫对象数量</w:t>
            </w:r>
          </w:p>
        </w:tc>
        <w:tc>
          <w:tcPr>
            <w:tcW w:w="5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人次</w:t>
            </w:r>
          </w:p>
        </w:tc>
        <w:tc>
          <w:tcPr>
            <w:tcW w:w="590"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u w:val="none"/>
                <w:lang w:val="en-US" w:eastAsia="zh-CN"/>
              </w:rPr>
            </w:pPr>
            <w:r>
              <w:rPr>
                <w:rFonts w:hint="eastAsia" w:ascii="仿宋_GB2312" w:hAnsi="仿宋_GB2312" w:eastAsia="仿宋_GB2312" w:cs="仿宋_GB2312"/>
                <w:b w:val="0"/>
                <w:bCs w:val="0"/>
                <w:i w:val="0"/>
                <w:snapToGrid/>
                <w:color w:val="000000"/>
                <w:sz w:val="24"/>
                <w:szCs w:val="24"/>
                <w:u w:val="none"/>
                <w:lang w:val="en-US" w:eastAsia="zh-CN"/>
              </w:rPr>
              <w:t>65</w:t>
            </w:r>
          </w:p>
        </w:tc>
        <w:tc>
          <w:tcPr>
            <w:tcW w:w="584"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b w:val="0"/>
                <w:bCs w:val="0"/>
                <w:i w:val="0"/>
                <w:snapToGrid/>
                <w:color w:val="000000"/>
                <w:sz w:val="24"/>
                <w:szCs w:val="24"/>
                <w:highlight w:val="none"/>
                <w:u w:val="none"/>
                <w:lang w:val="en-US" w:eastAsia="zh-CN"/>
              </w:rPr>
            </w:pPr>
            <w:r>
              <w:rPr>
                <w:rFonts w:hint="eastAsia" w:ascii="仿宋_GB2312" w:hAnsi="仿宋_GB2312" w:eastAsia="仿宋_GB2312" w:cs="仿宋_GB2312"/>
                <w:b w:val="0"/>
                <w:bCs w:val="0"/>
                <w:i w:val="0"/>
                <w:snapToGrid/>
                <w:color w:val="000000"/>
                <w:sz w:val="24"/>
                <w:szCs w:val="24"/>
                <w:highlight w:val="none"/>
                <w:u w:val="none"/>
                <w:lang w:val="en-US" w:eastAsia="zh-CN"/>
              </w:rPr>
              <w:t>29</w:t>
            </w:r>
          </w:p>
        </w:tc>
        <w:tc>
          <w:tcPr>
            <w:tcW w:w="530"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highlight w:val="none"/>
                <w:u w:val="none"/>
                <w:lang w:val="en-US" w:eastAsia="zh-CN"/>
              </w:rPr>
            </w:pPr>
            <w:r>
              <w:rPr>
                <w:rFonts w:hint="eastAsia" w:ascii="仿宋_GB2312" w:hAnsi="仿宋_GB2312" w:eastAsia="仿宋_GB2312" w:cs="仿宋_GB2312"/>
                <w:b w:val="0"/>
                <w:bCs w:val="0"/>
                <w:i w:val="0"/>
                <w:snapToGrid/>
                <w:color w:val="000000"/>
                <w:sz w:val="24"/>
                <w:szCs w:val="24"/>
                <w:highlight w:val="none"/>
                <w:u w:val="none"/>
                <w:lang w:val="en-US" w:eastAsia="zh-CN"/>
              </w:rPr>
              <w:t>14</w:t>
            </w:r>
          </w:p>
        </w:tc>
        <w:tc>
          <w:tcPr>
            <w:tcW w:w="589"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highlight w:val="none"/>
                <w:u w:val="none"/>
                <w:lang w:val="en-US" w:eastAsia="zh-CN"/>
              </w:rPr>
            </w:pPr>
            <w:r>
              <w:rPr>
                <w:rFonts w:hint="eastAsia" w:ascii="仿宋_GB2312" w:hAnsi="仿宋_GB2312" w:eastAsia="仿宋_GB2312" w:cs="仿宋_GB2312"/>
                <w:b w:val="0"/>
                <w:bCs w:val="0"/>
                <w:i w:val="0"/>
                <w:snapToGrid/>
                <w:color w:val="000000"/>
                <w:sz w:val="24"/>
                <w:szCs w:val="24"/>
                <w:highlight w:val="none"/>
                <w:u w:val="none"/>
                <w:lang w:val="en-US" w:eastAsia="zh-CN"/>
              </w:rPr>
              <w:t>18</w:t>
            </w:r>
          </w:p>
        </w:tc>
        <w:tc>
          <w:tcPr>
            <w:tcW w:w="536"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highlight w:val="none"/>
                <w:u w:val="none"/>
                <w:lang w:val="en-US" w:eastAsia="zh-CN"/>
              </w:rPr>
            </w:pPr>
            <w:r>
              <w:rPr>
                <w:rFonts w:hint="eastAsia" w:ascii="仿宋_GB2312" w:hAnsi="仿宋_GB2312" w:eastAsia="仿宋_GB2312" w:cs="仿宋_GB2312"/>
                <w:b w:val="0"/>
                <w:bCs w:val="0"/>
                <w:i w:val="0"/>
                <w:snapToGrid/>
                <w:color w:val="000000"/>
                <w:sz w:val="24"/>
                <w:szCs w:val="24"/>
                <w:highlight w:val="none"/>
                <w:u w:val="none"/>
                <w:lang w:val="en-US" w:eastAsia="zh-CN"/>
              </w:rPr>
              <w:t>7</w:t>
            </w:r>
          </w:p>
        </w:tc>
        <w:tc>
          <w:tcPr>
            <w:tcW w:w="568"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u w:val="none"/>
                <w:lang w:val="en-US" w:eastAsia="zh-CN"/>
              </w:rPr>
            </w:pPr>
            <w:r>
              <w:rPr>
                <w:rFonts w:hint="eastAsia" w:ascii="仿宋_GB2312" w:hAnsi="仿宋_GB2312" w:eastAsia="仿宋_GB2312" w:cs="仿宋_GB2312"/>
                <w:b w:val="0"/>
                <w:bCs w:val="0"/>
                <w:i w:val="0"/>
                <w:snapToGrid/>
                <w:color w:val="000000"/>
                <w:sz w:val="24"/>
                <w:szCs w:val="24"/>
                <w:u w:val="none"/>
                <w:lang w:val="en-US" w:eastAsia="zh-CN"/>
              </w:rPr>
              <w:t>0</w:t>
            </w:r>
          </w:p>
        </w:tc>
        <w:tc>
          <w:tcPr>
            <w:tcW w:w="782"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b w:val="0"/>
                <w:bCs w:val="0"/>
                <w:i w:val="0"/>
                <w:snapToGrid/>
                <w:color w:val="000000"/>
                <w:sz w:val="24"/>
                <w:szCs w:val="24"/>
                <w:u w:val="none"/>
                <w:lang w:val="en-US" w:eastAsia="zh-CN"/>
              </w:rPr>
            </w:pPr>
            <w:r>
              <w:rPr>
                <w:rFonts w:hint="eastAsia" w:ascii="仿宋_GB2312" w:hAnsi="仿宋_GB2312" w:eastAsia="仿宋_GB2312" w:cs="仿宋_GB2312"/>
                <w:b w:val="0"/>
                <w:bCs w:val="0"/>
                <w:i w:val="0"/>
                <w:snapToGrid/>
                <w:color w:val="000000"/>
                <w:sz w:val="24"/>
                <w:szCs w:val="24"/>
                <w:u w:val="none"/>
                <w:lang w:val="en-US" w:eastAsia="zh-CN"/>
              </w:rPr>
              <w:t>4</w:t>
            </w:r>
          </w:p>
        </w:tc>
      </w:tr>
      <w:tr>
        <w:tblPrEx>
          <w:tblCellMar>
            <w:top w:w="0" w:type="dxa"/>
            <w:left w:w="0" w:type="dxa"/>
            <w:bottom w:w="0" w:type="dxa"/>
            <w:right w:w="0" w:type="dxa"/>
          </w:tblCellMar>
        </w:tblPrEx>
        <w:trPr>
          <w:trHeight w:val="936"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效益指标</w:t>
            </w:r>
          </w:p>
        </w:tc>
        <w:tc>
          <w:tcPr>
            <w:tcW w:w="646" w:type="dxa"/>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社会效益指标</w:t>
            </w:r>
          </w:p>
        </w:tc>
        <w:tc>
          <w:tcPr>
            <w:tcW w:w="1270"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资金使用重大违规违纪问题</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反映专项补助资金使用规范性</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c>
          <w:tcPr>
            <w:tcW w:w="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无</w:t>
            </w:r>
          </w:p>
        </w:tc>
      </w:tr>
      <w:tr>
        <w:tblPrEx>
          <w:tblCellMar>
            <w:top w:w="0" w:type="dxa"/>
            <w:left w:w="0" w:type="dxa"/>
            <w:bottom w:w="0" w:type="dxa"/>
            <w:right w:w="0" w:type="dxa"/>
          </w:tblCellMar>
        </w:tblPrEx>
        <w:trPr>
          <w:trHeight w:val="1425" w:hRule="atLeast"/>
          <w:jc w:val="center"/>
        </w:trPr>
        <w:tc>
          <w:tcPr>
            <w:tcW w:w="695"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满意度指标</w:t>
            </w:r>
          </w:p>
        </w:tc>
        <w:tc>
          <w:tcPr>
            <w:tcW w:w="64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服务对象满意度指标</w:t>
            </w:r>
          </w:p>
        </w:tc>
        <w:tc>
          <w:tcPr>
            <w:tcW w:w="127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续聘公益性岗的位脱贫对象对项目实施的满意度</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eastAsia="zh-CN"/>
              </w:rPr>
              <w:t>反映项目补助对象对项目实施的满意度</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sz w:val="24"/>
                <w:szCs w:val="24"/>
                <w:lang w:val="en-US" w:eastAsia="zh-CN"/>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90</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90</w:t>
            </w:r>
          </w:p>
        </w:tc>
        <w:tc>
          <w:tcPr>
            <w:tcW w:w="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90</w:t>
            </w:r>
          </w:p>
        </w:tc>
        <w:tc>
          <w:tcPr>
            <w:tcW w:w="5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90</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90</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90</w:t>
            </w:r>
          </w:p>
        </w:tc>
        <w:tc>
          <w:tcPr>
            <w:tcW w:w="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90</w:t>
            </w:r>
          </w:p>
        </w:tc>
      </w:tr>
    </w:tbl>
    <w:p>
      <w:pPr>
        <w:pStyle w:val="2"/>
        <w:ind w:left="0" w:leftChars="0" w:firstLine="0" w:firstLineChars="0"/>
        <w:rPr>
          <w:rFonts w:hint="eastAsia" w:ascii="仿宋_GB2312" w:hAnsi="宋体-方正超大字符集" w:eastAsia="仿宋_GB2312" w:cs="宋体-方正超大字符集"/>
          <w:sz w:val="28"/>
          <w:szCs w:val="28"/>
        </w:rPr>
      </w:pPr>
    </w:p>
    <w:p>
      <w:pPr>
        <w:pStyle w:val="2"/>
        <w:ind w:left="0" w:leftChars="0" w:firstLine="0" w:firstLineChars="0"/>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spacing w:line="520" w:lineRule="exact"/>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ind w:left="0" w:leftChars="0" w:firstLine="0" w:firstLineChars="0"/>
        <w:rPr>
          <w:rFonts w:hint="eastAsia" w:ascii="仿宋_GB2312" w:hAnsi="宋体-方正超大字符集" w:eastAsia="仿宋_GB2312" w:cs="宋体-方正超大字符集"/>
          <w:sz w:val="28"/>
          <w:szCs w:val="28"/>
        </w:rPr>
      </w:pPr>
    </w:p>
    <w:p>
      <w:pPr>
        <w:spacing w:line="520" w:lineRule="exact"/>
        <w:rPr>
          <w:rFonts w:hint="eastAsia"/>
        </w:rPr>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6432" behindDoc="0" locked="0" layoutInCell="1" allowOverlap="1">
                <wp:simplePos x="0" y="0"/>
                <wp:positionH relativeFrom="column">
                  <wp:posOffset>-1270</wp:posOffset>
                </wp:positionH>
                <wp:positionV relativeFrom="paragraph">
                  <wp:posOffset>45085</wp:posOffset>
                </wp:positionV>
                <wp:extent cx="5615940" cy="307340"/>
                <wp:effectExtent l="0" t="4445" r="3810" b="12065"/>
                <wp:wrapNone/>
                <wp:docPr id="17" name="组合 17"/>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5" name="直接连接符 15"/>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6" name="直接连接符 16"/>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1pt;margin-top:3.55pt;height:24.2pt;width:442.2pt;z-index:251666432;mso-width-relative:page;mso-height-relative:page;" coordsize="8844,484" o:gfxdata="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mBjizdYA&#10;AAAGAQAADwAAAAAAAAABACAAAAA4AAAAZHJzL2Rvd25yZXYueG1sUEsBAhQAFAAAAAgAh07iQKWn&#10;Okp9AgAAFQcAAA4AAAAAAAAAAQAgAAAAOwEAAGRycy9lMm9Eb2MueG1sUEsFBgAAAAAGAAYAWQEA&#10;ACoGAAAAAA==&#10;">
                <o:lock v:ext="edit" aspectratio="f"/>
                <v:line id="_x0000_s1026" o:spid="_x0000_s1026" o:spt="20" style="position:absolute;left:0;top:0;height:0;width:8844;" filled="f" stroked="t" coordsize="21600,21600" o:gfxdata="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S3Mw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MeZ7Ue8AAAA2wAAAA8AAABkcnMvZG93bnJldi54bWxFT01rwkAQvRf6H5Yp&#10;9BLqrhZEopscqoEevJgqvQ7ZMQnNzsbsNrH+erdQ6G0e73M2+dV2YqTBt441zGcKBHHlTMu1huNH&#10;8bIC4QOywc4xafghD3n2+LDB1LiJDzSWoRYxhH2KGpoQ+lRKXzVk0c9cTxy5sxsshgiHWpoBpxhu&#10;O7lQaiktthwbGuzpraHqq/y2GnxxoktxS6pEfb7WjhaX7X6HWj8/zdUaRKBr+Bf/ud9NnL+E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me1H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莆田市</w:t>
      </w:r>
      <w:r>
        <w:rPr>
          <w:rFonts w:hint="eastAsia" w:ascii="仿宋_GB2312" w:hAnsi="宋体-方正超大字符集" w:eastAsia="仿宋_GB2312" w:cs="宋体-方正超大字符集"/>
          <w:sz w:val="28"/>
          <w:szCs w:val="28"/>
          <w:lang w:eastAsia="zh-CN"/>
        </w:rPr>
        <w:t>财政</w:t>
      </w:r>
      <w:r>
        <w:rPr>
          <w:rFonts w:hint="eastAsia" w:ascii="仿宋_GB2312" w:hAnsi="宋体-方正超大字符集" w:eastAsia="仿宋_GB2312" w:cs="宋体-方正超大字符集"/>
          <w:sz w:val="28"/>
          <w:szCs w:val="28"/>
        </w:rPr>
        <w:t xml:space="preserve">局办公室        </w:t>
      </w:r>
      <w:r>
        <w:rPr>
          <w:rFonts w:hint="eastAsia" w:ascii="仿宋_GB2312" w:hAnsi="宋体-方正超大字符集" w:eastAsia="仿宋_GB2312" w:cs="宋体-方正超大字符集"/>
          <w:sz w:val="28"/>
          <w:szCs w:val="28"/>
          <w:lang w:val="en-US" w:eastAsia="zh-CN"/>
        </w:rPr>
        <w:t xml:space="preserve">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rPr>
        <w:t>2</w:t>
      </w:r>
      <w:r>
        <w:rPr>
          <w:rFonts w:hint="eastAsia" w:ascii="仿宋_GB2312" w:hAnsi="宋体-方正超大字符集" w:eastAsia="仿宋_GB2312" w:cs="宋体-方正超大字符集"/>
          <w:sz w:val="28"/>
          <w:szCs w:val="28"/>
          <w:lang w:val="en-US" w:eastAsia="zh-CN"/>
        </w:rPr>
        <w:t>5</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10</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22</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0"/>
    </w:p>
    <w:p>
      <w:pPr>
        <w:spacing w:line="20" w:lineRule="exact"/>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5408" behindDoc="0" locked="0" layoutInCell="1" allowOverlap="1">
                <wp:simplePos x="0" y="0"/>
                <wp:positionH relativeFrom="column">
                  <wp:posOffset>151130</wp:posOffset>
                </wp:positionH>
                <wp:positionV relativeFrom="paragraph">
                  <wp:posOffset>9450070</wp:posOffset>
                </wp:positionV>
                <wp:extent cx="5615940" cy="307340"/>
                <wp:effectExtent l="0" t="4445" r="3810" b="12065"/>
                <wp:wrapNone/>
                <wp:docPr id="14" name="组合 14"/>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2" name="直接连接符 12"/>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9pt;margin-top:744.1pt;height:24.2pt;width:442.2pt;z-index:251665408;mso-width-relative:page;mso-height-relative:page;" coordsize="8844,484" o:gfxdata="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REsdsAAAAMAQAADwAAAAAAAAABACAAAAA4AAAAZHJzL2Rvd25yZXYueG1sUEsBAhQAFAAAAAgA&#10;h07iQI9q7iF+AgAAFQcAAA4AAAAAAAAAAQAgAAAAQAEAAGRycy9lMm9Eb2MueG1sUEsFBgAAAAAG&#10;AAYAWQEAADAGAAAAAA==&#10;">
                <o:lock v:ext="edit" aspectratio="f"/>
                <v:line id="_x0000_s1026" o:spid="_x0000_s1026" o:spt="20" style="position:absolute;left:0;top:0;height:0;width:8844;" filled="f" stroked="t" coordsize="21600,21600" o:gfxdata="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KLrR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NfuTt+8AAAA2wAAAA8AAABkcnMvZG93bnJldi54bWxFT01rwkAQvRf6H5Yp&#10;9CJ1VwNFopscqoEevJgqvQ7ZMQnNzsbsNrH+erdQ6G0e73M2+dV2YqTBt441LOYKBHHlTMu1huNH&#10;8bIC4QOywc4xafghD3n2+LDB1LiJDzSWoRYxhH2KGpoQ+lRKXzVk0c9dTxy5sxsshgiHWpoBpxhu&#10;O7lU6lVabDk2NNjTW0PVV/ltNfjiRJfiNqtm6jOpHS0v2/0OtX5+Wqg1iEDX8C/+c7+bOD+B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7k7f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4384" behindDoc="0" locked="0" layoutInCell="1" allowOverlap="1">
                <wp:simplePos x="0" y="0"/>
                <wp:positionH relativeFrom="column">
                  <wp:align>center</wp:align>
                </wp:positionH>
                <wp:positionV relativeFrom="paragraph">
                  <wp:posOffset>9293225</wp:posOffset>
                </wp:positionV>
                <wp:extent cx="5615940" cy="307340"/>
                <wp:effectExtent l="0" t="4445" r="3810" b="12065"/>
                <wp:wrapNone/>
                <wp:docPr id="11" name="组合 11"/>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9" name="直接连接符 9"/>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0" name="直接连接符 10"/>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top:731.75pt;height:24.2pt;width:442.2pt;mso-position-horizontal:center;z-index:251664384;mso-width-relative:page;mso-height-relative:page;" coordsize="8844,484" o:gfxdata="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NDKLDbaAAAACgEAAA8AAAAAAAAAAQAgAAAAOAAAAGRycy9kb3ducmV2LnhtbFBLAQIUABQAAAAI&#10;AIdO4kAvS5jogAIAABMHAAAOAAAAAAAAAAEAIAAAAD8BAABkcnMvZTJvRG9jLnhtbFBLBQYAAAAA&#10;BgAGAFkBAAAxBgAAAAA=&#10;">
                <o:lock v:ext="edit" aspectratio="f"/>
                <v:line id="_x0000_s1026" o:spid="_x0000_s1026" o:spt="20" style="position:absolute;left:0;top:0;height:0;width:8844;" filled="f" stroked="t" coordsize="21600,21600" o:gfxdata="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doOC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80K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group>
            </w:pict>
          </mc:Fallback>
        </mc:AlternateContent>
      </w:r>
    </w:p>
    <w:sectPr>
      <w:headerReference r:id="rId3" w:type="default"/>
      <w:footerReference r:id="rId4" w:type="default"/>
      <w:pgSz w:w="11906" w:h="16838"/>
      <w:pgMar w:top="1587"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宋体-方正超大字符集">
    <w:altName w:val="方正书宋_GBK"/>
    <w:panose1 w:val="03000509000000000000"/>
    <w:charset w:val="00"/>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upright="0">
                      <a:spAutoFit/>
                    </wps:bodyPr>
                  </wps:wsp>
                </a:graphicData>
              </a:graphic>
            </wp:anchor>
          </w:drawing>
        </mc:Choice>
        <mc:Fallback>
          <w:pict>
            <v:shape id="文本框8"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weEv0c8BAACkAwAA&#10;DgAAAAAAAAABACAAAAA0AQAAZHJzL2Uyb0RvYy54bWxQSwUGAAAAAAYABgBZAQAAdQU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YmE3MzhlOTkxOTI1OWUzY2U1MTMzYTNlOGZlNzEifQ=="/>
    <w:docVar w:name="KSO_WPS_MARK_KEY" w:val="7f819f8d-1af9-4c6a-9ba8-ecf6c40e06e7"/>
  </w:docVars>
  <w:rsids>
    <w:rsidRoot w:val="00172A27"/>
    <w:rsid w:val="200B0B9D"/>
    <w:rsid w:val="261F36AC"/>
    <w:rsid w:val="3DB6056C"/>
    <w:rsid w:val="3FEBB535"/>
    <w:rsid w:val="46FB80FF"/>
    <w:rsid w:val="51D788F5"/>
    <w:rsid w:val="6CB26B48"/>
    <w:rsid w:val="6FD774BE"/>
    <w:rsid w:val="75FF375B"/>
    <w:rsid w:val="77D744F9"/>
    <w:rsid w:val="77EC1D26"/>
    <w:rsid w:val="7DF93DBE"/>
    <w:rsid w:val="7E9FCC90"/>
    <w:rsid w:val="7EDFC60C"/>
    <w:rsid w:val="7FBFE722"/>
    <w:rsid w:val="87AE67E1"/>
    <w:rsid w:val="A7962F05"/>
    <w:rsid w:val="ADBFC75F"/>
    <w:rsid w:val="CBBC9381"/>
    <w:rsid w:val="DFF3A9DB"/>
    <w:rsid w:val="E6C833DE"/>
    <w:rsid w:val="EB5F0EDF"/>
    <w:rsid w:val="EBAE6F7A"/>
    <w:rsid w:val="EFFB51F8"/>
    <w:rsid w:val="EFFD052B"/>
    <w:rsid w:val="F6E4ADA8"/>
    <w:rsid w:val="FACC1B1C"/>
    <w:rsid w:val="FF767DAC"/>
    <w:rsid w:val="FFBF944E"/>
    <w:rsid w:val="FFDC9757"/>
    <w:rsid w:val="FFFB8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unhideWhenUsed/>
    <w:qFormat/>
    <w:uiPriority w:val="99"/>
    <w:pPr>
      <w:spacing w:after="120" w:afterLines="0"/>
    </w:pPr>
  </w:style>
  <w:style w:type="paragraph" w:styleId="4">
    <w:name w:val="Body Text Indent"/>
    <w:basedOn w:val="1"/>
    <w:qFormat/>
    <w:uiPriority w:val="0"/>
    <w:pPr>
      <w:ind w:firstLine="720" w:firstLineChars="225"/>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 w:type="paragraph" w:customStyle="1" w:styleId="11">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1353</Words>
  <Characters>1428</Characters>
  <Lines>12</Lines>
  <Paragraphs>3</Paragraphs>
  <TotalTime>59</TotalTime>
  <ScaleCrop>false</ScaleCrop>
  <LinksUpToDate>false</LinksUpToDate>
  <CharactersWithSpaces>1621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2012-06-09T01:30:00Z</dcterms:created>
  <dc:creator>Administrator</dc:creator>
  <cp:lastModifiedBy>ptxc</cp:lastModifiedBy>
  <cp:lastPrinted>2025-10-28T11:06:55Z</cp:lastPrinted>
  <dcterms:modified xsi:type="dcterms:W3CDTF">2025-10-28T11:09:21Z</dcterms:modified>
  <dc:title>莆田市财政局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76037AAF86BC4D88A4220069B2277508</vt:lpwstr>
  </property>
</Properties>
</file>