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CESI黑体-GB18030" w:hAnsi="CESI黑体-GB18030" w:eastAsia="CESI黑体-GB18030" w:cs="CESI黑体-GB18030"/>
          <w:sz w:val="32"/>
          <w:szCs w:val="32"/>
          <w:lang w:val="en"/>
        </w:rPr>
      </w:pPr>
      <w:bookmarkStart w:id="0" w:name="_GoBack"/>
      <w:bookmarkEnd w:id="0"/>
      <w:r>
        <w:rPr>
          <w:rFonts w:hint="eastAsia" w:ascii="CESI黑体-GB18030" w:hAnsi="CESI黑体-GB18030" w:eastAsia="CESI黑体-GB18030" w:cs="CESI黑体-GB18030"/>
          <w:sz w:val="32"/>
          <w:szCs w:val="32"/>
          <w:lang w:val="en"/>
        </w:rPr>
        <w:t>附件</w:t>
      </w:r>
      <w:r>
        <w:rPr>
          <w:rFonts w:hint="eastAsia" w:ascii="CESI黑体-GB18030" w:hAnsi="CESI黑体-GB18030" w:eastAsia="CESI黑体-GB18030" w:cs="CESI黑体-GB1803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年度行政事业性国有资产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分析报告提纲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CESI黑体-GB18030" w:hAnsi="CESI黑体-GB18030" w:eastAsia="CESI黑体-GB18030" w:cs="CESI黑体-GB18030"/>
          <w:color w:val="000000"/>
          <w:sz w:val="32"/>
          <w:szCs w:val="32"/>
        </w:rPr>
      </w:pPr>
      <w:r>
        <w:rPr>
          <w:rFonts w:hint="eastAsia" w:ascii="CESI黑体-GB18030" w:hAnsi="CESI黑体-GB18030" w:eastAsia="CESI黑体-GB18030" w:cs="CESI黑体-GB18030"/>
          <w:color w:val="000000"/>
          <w:sz w:val="32"/>
          <w:szCs w:val="32"/>
          <w:lang w:eastAsia="zh-CN"/>
        </w:rPr>
        <w:t>一、</w:t>
      </w:r>
      <w:r>
        <w:rPr>
          <w:rFonts w:hint="eastAsia" w:ascii="CESI黑体-GB18030" w:hAnsi="CESI黑体-GB18030" w:eastAsia="CESI黑体-GB18030" w:cs="CESI黑体-GB18030"/>
          <w:color w:val="000000"/>
          <w:sz w:val="32"/>
          <w:szCs w:val="32"/>
        </w:rPr>
        <w:t>地区/部门的基本情况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分析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所属行政事业单位机构数、编制人数、实有人数等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中央部门还应写明部门主要职责。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CESI黑体-GB18030" w:hAnsi="CESI黑体-GB18030" w:eastAsia="CESI黑体-GB18030" w:cs="CESI黑体-GB18030"/>
          <w:color w:val="000000"/>
          <w:sz w:val="32"/>
          <w:szCs w:val="32"/>
          <w:lang w:eastAsia="zh-CN"/>
        </w:rPr>
      </w:pPr>
      <w:r>
        <w:rPr>
          <w:rFonts w:hint="eastAsia" w:ascii="CESI黑体-GB18030" w:hAnsi="CESI黑体-GB18030" w:eastAsia="CESI黑体-GB18030" w:cs="CESI黑体-GB18030"/>
          <w:color w:val="000000"/>
          <w:sz w:val="32"/>
          <w:szCs w:val="32"/>
          <w:lang w:eastAsia="zh-CN"/>
        </w:rPr>
        <w:t>二、资产总量情况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资产的总体情况分析。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主要包括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资产总量、分布、构成、变动等情况，同时可结合预算收支、债务、历年情况等对资产分布、构成、变动的原因作出分析。其中，构成情况包含流动资产、无形资产、固定资产、在建工程、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长期投资、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公共基础设施、政府储备物资、文物文化资产、保障性住房等占资产总额比例情况。地方财政部门应对本地区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教育、科技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卫生、文化、交通等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重点行业进行分析。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（二）资产配置、使用、处置、收益情况分析。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资产整体配置、使用、处置、收益情况，特别是与部门、单位履行职能和促进事业发展相关的重点资产的配置、使用、处置、收益等情况。</w:t>
      </w:r>
    </w:p>
    <w:p>
      <w:pPr>
        <w:keepNext w:val="0"/>
        <w:keepLines w:val="0"/>
        <w:pageBreakBefore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（三）资产总体绩效情况。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资产整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体配置效率和使用效益等。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CESI黑体-GB18030" w:hAnsi="CESI黑体-GB18030" w:eastAsia="CESI黑体-GB18030" w:cs="CESI黑体-GB18030"/>
          <w:color w:val="000000"/>
          <w:sz w:val="32"/>
          <w:szCs w:val="32"/>
          <w:lang w:eastAsia="zh-CN"/>
        </w:rPr>
      </w:pPr>
      <w:r>
        <w:rPr>
          <w:rFonts w:hint="eastAsia" w:ascii="CESI黑体-GB18030" w:hAnsi="CESI黑体-GB18030" w:eastAsia="CESI黑体-GB18030" w:cs="CESI黑体-GB18030"/>
          <w:color w:val="000000"/>
          <w:sz w:val="32"/>
          <w:szCs w:val="32"/>
          <w:lang w:eastAsia="zh-CN"/>
        </w:rPr>
        <w:t>三、资产管理工作情况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结合贯彻落实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《行政事业性国有资产管理条例》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，全面、系统、深入总结五年来，特别是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行政事业性国有资产管理工作情况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重点围绕制度建设、基础管理、全生命周期管理、信息化建设、资产盘活、财会监督、绩效评价、年报编报、科技成果转化、专项改革等方面，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总结行政事业单位国有资产管理工作进展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情况，采取的主要举措、工作亮点和取得成效。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/>
        </w:rPr>
        <w:t>重点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围绕加强交通、水利、市政基础设施和政府储备物资、保障性住房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/>
        </w:rPr>
        <w:t>资产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入账核算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等方面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总结本地区、本部门公共基础设施等行政事业性国有资产管理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进展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情况，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采取的主要举措、工作亮点和取得成效。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CESI黑体-GB18030" w:hAnsi="CESI黑体-GB18030" w:eastAsia="CESI黑体-GB18030" w:cs="CESI黑体-GB18030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CESI黑体-GB18030" w:hAnsi="CESI黑体-GB18030" w:eastAsia="CESI黑体-GB18030" w:cs="CESI黑体-GB18030"/>
          <w:b w:val="0"/>
          <w:bCs w:val="0"/>
          <w:color w:val="000000"/>
          <w:sz w:val="32"/>
          <w:szCs w:val="32"/>
          <w:lang w:eastAsia="zh-CN"/>
        </w:rPr>
        <w:t>四、保障单位履职和促进事业发展情况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全面反映行政事业性国有资产管理在贯彻落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党中央、国务院决策部署，保障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单位履职和事业发展、提供公共服务，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以及推进各项改革等方面所发挥的积极作用。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重点反映教育、科技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卫生、文化等行业资产在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落实科教兴国战略、实现科技自立自强、支持基本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公共服务均等化、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推进文化自信自强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方面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发挥的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重要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作用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（二）重点反映交通基础设施、水利基础设施、保障性住房、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文物文化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资产等行业资产在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/>
        </w:rPr>
        <w:t>服务加快建设交通强国、推动新阶段水利高质量发展、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“让全体人民住有所居”、加强文物保护利用等方面发挥的基础性支撑作用。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CESI黑体-GB18030" w:hAnsi="CESI黑体-GB18030" w:eastAsia="CESI黑体-GB18030" w:cs="CESI黑体-GB18030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CESI黑体-GB18030" w:hAnsi="CESI黑体-GB18030" w:eastAsia="CESI黑体-GB18030" w:cs="CESI黑体-GB18030"/>
          <w:b w:val="0"/>
          <w:bCs w:val="0"/>
          <w:color w:val="000000"/>
          <w:sz w:val="32"/>
          <w:szCs w:val="32"/>
          <w:lang w:eastAsia="zh-CN"/>
        </w:rPr>
        <w:t>五、资产管理工作存在的问题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（一）系统梳理本地区、本部门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行政事业性国有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资产管理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存在的主要问题，并深入分析产生的原因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人大、审计、巡视等提出的行政事业性国有资产管理问题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整改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情况。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CESI黑体-GB18030" w:hAnsi="CESI黑体-GB18030" w:eastAsia="CESI黑体-GB18030" w:cs="CESI黑体-GB18030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CESI黑体-GB18030" w:hAnsi="CESI黑体-GB18030" w:eastAsia="CESI黑体-GB18030" w:cs="CESI黑体-GB18030"/>
          <w:b w:val="0"/>
          <w:bCs w:val="0"/>
          <w:color w:val="000000"/>
          <w:sz w:val="32"/>
          <w:szCs w:val="32"/>
          <w:lang w:eastAsia="zh-CN"/>
        </w:rPr>
        <w:t>六、下一步工作思路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结合贯彻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党的二十大精神，落实党中央、国务院决策部署，按照上级党委和政府工作要求，立足新发展阶段，着眼于构建新发展格局、推动高质量发展，坚持问题导向和目标导向，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认真研究提出务实管用的措施和推动资产管理高质量发展的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工作思路。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18030">
    <w:altName w:val="黑体"/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C7BA5"/>
    <w:multiLevelType w:val="singleLevel"/>
    <w:tmpl w:val="EF7C7B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2C5223E"/>
    <w:rsid w:val="7BBD4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color w:val="000000"/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长安</cp:lastModifiedBy>
  <dcterms:modified xsi:type="dcterms:W3CDTF">2024-01-19T02:56:11Z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576B7E74BADE4769A7DE84C03048363D_13</vt:lpwstr>
  </property>
</Properties>
</file>