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ind w:left="0" w:leftChars="0" w:firstLine="0" w:firstLineChars="0"/>
        <w:jc w:val="left"/>
        <w:rPr>
          <w:rFonts w:hint="eastAsia" w:ascii="CESI黑体-GB18030" w:hAnsi="CESI黑体-GB18030" w:eastAsia="CESI黑体-GB18030" w:cs="CESI黑体-GB18030"/>
          <w:sz w:val="32"/>
          <w:szCs w:val="32"/>
        </w:rPr>
      </w:pPr>
      <w:bookmarkStart w:id="0" w:name="_GoBack"/>
      <w:bookmarkEnd w:id="0"/>
      <w:r>
        <w:rPr>
          <w:rFonts w:hint="eastAsia" w:ascii="CESI黑体-GB18030" w:hAnsi="CESI黑体-GB18030" w:eastAsia="CESI黑体-GB18030" w:cs="CESI黑体-GB18030"/>
          <w:sz w:val="32"/>
          <w:szCs w:val="32"/>
          <w:lang w:val="en"/>
        </w:rPr>
        <w:t>附件</w:t>
      </w:r>
      <w:r>
        <w:rPr>
          <w:rFonts w:hint="eastAsia" w:ascii="CESI黑体-GB18030" w:hAnsi="CESI黑体-GB18030" w:eastAsia="CESI黑体-GB18030" w:cs="CESI黑体-GB18030"/>
          <w:sz w:val="32"/>
          <w:szCs w:val="32"/>
          <w:lang w:val="en-US" w:eastAsia="zh-CN"/>
        </w:rPr>
        <w:t>2</w:t>
      </w:r>
    </w:p>
    <w:p>
      <w:pPr>
        <w:spacing w:line="500" w:lineRule="atLeas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年度行政事业性国有资产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填报说明提纲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eastAsia" w:ascii="CESI黑体-GB18030" w:hAnsi="CESI黑体-GB18030" w:eastAsia="CESI黑体-GB18030" w:cs="CESI黑体-GB18030"/>
          <w:bCs/>
          <w:sz w:val="32"/>
          <w:szCs w:val="32"/>
        </w:rPr>
      </w:pPr>
      <w:r>
        <w:rPr>
          <w:rFonts w:hint="eastAsia" w:ascii="CESI黑体-GB18030" w:hAnsi="CESI黑体-GB18030" w:eastAsia="CESI黑体-GB18030" w:cs="CESI黑体-GB18030"/>
          <w:bCs/>
          <w:sz w:val="32"/>
          <w:szCs w:val="32"/>
        </w:rPr>
        <w:t>一、数据填报口径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本地区、本部门应纳入202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年度行政事业性国有资产报表（以下简称资产报表）填报范围的行政事业单位共XX个，实际上报单位XX个。说明未上报单位原因。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eastAsia" w:ascii="CESI黑体-GB18030" w:hAnsi="CESI黑体-GB18030" w:eastAsia="CESI黑体-GB18030" w:cs="CESI黑体-GB18030"/>
          <w:bCs/>
          <w:sz w:val="32"/>
          <w:szCs w:val="32"/>
        </w:rPr>
      </w:pPr>
      <w:r>
        <w:rPr>
          <w:rFonts w:hint="eastAsia" w:ascii="CESI黑体-GB18030" w:hAnsi="CESI黑体-GB18030" w:eastAsia="CESI黑体-GB18030" w:cs="CESI黑体-GB18030"/>
          <w:bCs/>
          <w:sz w:val="32"/>
          <w:szCs w:val="32"/>
        </w:rPr>
        <w:t>二、数据审核情况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70" w:firstLineChars="147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（一）审核情况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1.核实性审核。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本地区、本部门全表审核后核实性问题提示共XX条，涉及XX个单位，说明主要原因。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2.基础数据审核。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本地区、本部门资产数据与上年对比，增减超过20%且≥±100万元的，说明主要原因。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3.与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部门所属企业名录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对比审核。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对外投资情况表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被投资单位与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部门所属企业名录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是否一致，若有差异说明原因。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4.与政府部门财务报告对比审核。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本地区、本部门报送资产报表的单位中，有XX个单位未纳入政府部门财务报告；纳入本地区、本部门政府部门财务报告的行政事业单位（不含企业化管理事业单位）有XX个未报送资产报表，说明主要原因。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5.与部门决算对比审核。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本地区、本部门资产报表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房屋、车辆、单价100万元（含）以上的设备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等重点资产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，与部门决算相关数据对比，若有差异说明原因。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70" w:firstLineChars="147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（二）对报表指标、审核公式和分析表的设置建议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资产</w:t>
      </w:r>
      <w:r>
        <w:rPr>
          <w:rFonts w:hint="eastAsia" w:ascii="仿宋_GB2312" w:hAnsi="仿宋_GB2312" w:eastAsia="仿宋_GB2312" w:cs="仿宋_GB2312"/>
          <w:sz w:val="32"/>
          <w:szCs w:val="32"/>
        </w:rPr>
        <w:t>报表指标设置的建议。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2.如有不适用的审核公式，列出并说明修改意见。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本地区、本部门自行增加的审核公式，列出并说明设置依据。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 w:firstLineChars="225"/>
        <w:textAlignment w:val="auto"/>
        <w:rPr>
          <w:rFonts w:hint="eastAsia" w:ascii="CESI黑体-GB18030" w:hAnsi="CESI黑体-GB18030" w:eastAsia="CESI黑体-GB18030" w:cs="CESI黑体-GB18030"/>
          <w:color w:val="000000"/>
          <w:sz w:val="32"/>
          <w:szCs w:val="32"/>
          <w:highlight w:val="none"/>
        </w:rPr>
      </w:pPr>
      <w:r>
        <w:rPr>
          <w:rFonts w:hint="eastAsia" w:ascii="CESI黑体-GB18030" w:hAnsi="CESI黑体-GB18030" w:eastAsia="CESI黑体-GB18030" w:cs="CESI黑体-GB18030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CESI黑体-GB18030" w:hAnsi="CESI黑体-GB18030" w:eastAsia="CESI黑体-GB18030" w:cs="CESI黑体-GB18030"/>
          <w:color w:val="000000"/>
          <w:sz w:val="32"/>
          <w:szCs w:val="32"/>
          <w:highlight w:val="none"/>
        </w:rPr>
        <w:t>、其他需要</w:t>
      </w:r>
      <w:r>
        <w:rPr>
          <w:rFonts w:hint="eastAsia" w:ascii="CESI黑体-GB18030" w:hAnsi="CESI黑体-GB18030" w:eastAsia="CESI黑体-GB18030" w:cs="CESI黑体-GB18030"/>
          <w:color w:val="000000"/>
          <w:sz w:val="32"/>
          <w:szCs w:val="32"/>
          <w:highlight w:val="none"/>
          <w:lang w:val="en-US" w:eastAsia="zh-CN"/>
        </w:rPr>
        <w:t>说明</w:t>
      </w:r>
      <w:r>
        <w:rPr>
          <w:rFonts w:hint="eastAsia" w:ascii="CESI黑体-GB18030" w:hAnsi="CESI黑体-GB18030" w:eastAsia="CESI黑体-GB18030" w:cs="CESI黑体-GB18030"/>
          <w:color w:val="000000"/>
          <w:sz w:val="32"/>
          <w:szCs w:val="32"/>
          <w:highlight w:val="none"/>
        </w:rPr>
        <w:t>的重要事项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对本地区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产损失、权属不清晰等重要资产情况以及其他重要事项进行详细分析说明。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  <w:sectPr>
          <w:footerReference r:id="rId3" w:type="default"/>
          <w:pgSz w:w="11906" w:h="16838"/>
          <w:pgMar w:top="1701" w:right="1474" w:bottom="1984" w:left="1587" w:header="851" w:footer="652" w:gutter="0"/>
          <w:pgNumType w:fmt="numberInDash"/>
          <w:cols w:space="720" w:num="1"/>
          <w:rtlGutter w:val="0"/>
          <w:docGrid w:type="lines" w:linePitch="454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公共基础设施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政府储备物资、文物文化资产、保障性住房数据与行业统计数据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对比情况，如不一致应说明差异原因。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18030">
    <w:altName w:val="黑体"/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A5o/H0QEAAKM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87F3B3C"/>
    <w:rsid w:val="AE7E12DE"/>
    <w:rsid w:val="EF6EB8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长安</cp:lastModifiedBy>
  <dcterms:modified xsi:type="dcterms:W3CDTF">2024-01-19T02:55:58Z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8008634F0B914EFBA342C127BA2969D2_13</vt:lpwstr>
  </property>
</Properties>
</file>